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4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7072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7072630"/>
                    </a:xfrm>
                    <a:prstGeom prst="rect">
                      <a:avLst/>
                    </a:prstGeom>
                    <a:noFill/>
                  </pic:spPr>
                </pic:pic>
              </a:graphicData>
            </a:graphic>
          </wp:anchor>
        </w:drawing>
      </w:r>
    </w:p>
    <w:p>
      <w:pPr>
        <w:spacing w:after="0" w:line="97" w:lineRule="exact"/>
        <w:rPr>
          <w:sz w:val="24"/>
          <w:szCs w:val="24"/>
          <w:color w:val="auto"/>
        </w:rPr>
      </w:pPr>
    </w:p>
    <w:p>
      <w:pPr>
        <w:sectPr>
          <w:pgSz w:w="11900" w:h="16892" w:orient="portrait"/>
          <w:cols w:equalWidth="0" w:num="2">
            <w:col w:w="2240" w:space="52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KUBASIK CHRISTOPHER E</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L3 TECHNOLOGIES,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 THIRD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0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L3 TECHNOLOGIES,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LLL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06/29/2019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760"/>
        <w:spacing w:after="0" w:line="238"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220"/>
        <w:spacing w:after="0"/>
        <w:rPr>
          <w:sz w:val="20"/>
          <w:szCs w:val="20"/>
          <w:color w:val="auto"/>
        </w:rPr>
      </w:pPr>
      <w:r>
        <w:rPr>
          <w:rFonts w:ascii="Arial" w:cs="Arial" w:eastAsia="Arial" w:hAnsi="Arial"/>
          <w:sz w:val="17"/>
          <w:szCs w:val="17"/>
          <w:color w:val="0000FF"/>
        </w:rPr>
        <w:t>See Remarks</w:t>
      </w:r>
    </w:p>
    <w:p>
      <w:pPr>
        <w:spacing w:after="0" w:line="523" w:lineRule="exact"/>
        <w:rPr>
          <w:sz w:val="24"/>
          <w:szCs w:val="24"/>
          <w:color w:val="auto"/>
        </w:rPr>
      </w:pPr>
    </w:p>
    <w:p>
      <w:pPr>
        <w:sectPr>
          <w:pgSz w:w="11900" w:h="16892" w:orient="portrait"/>
          <w:cols w:equalWidth="0" w:num="3">
            <w:col w:w="3340" w:space="720"/>
            <w:col w:w="3260" w:space="720"/>
            <w:col w:w="3480"/>
          </w:cols>
          <w:pgMar w:left="240" w:top="222" w:right="139" w:bottom="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gridSpan w:val="8"/>
          </w:tcPr>
          <w:p>
            <w:pPr>
              <w:jc w:val="center"/>
              <w:ind w:right="46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760" w:type="dxa"/>
            <w:vAlign w:val="bottom"/>
          </w:tcPr>
          <w:p>
            <w:pPr>
              <w:ind w:left="220"/>
              <w:spacing w:after="0"/>
              <w:rPr>
                <w:sz w:val="20"/>
                <w:szCs w:val="20"/>
                <w:color w:val="auto"/>
              </w:rPr>
            </w:pPr>
            <w:r>
              <w:rPr>
                <w:rFonts w:ascii="Arial" w:cs="Arial" w:eastAsia="Arial" w:hAnsi="Arial"/>
                <w:sz w:val="17"/>
                <w:szCs w:val="17"/>
                <w:color w:val="0000FF"/>
              </w:rPr>
              <w:t>NY</w:t>
            </w:r>
          </w:p>
        </w:tc>
        <w:tc>
          <w:tcPr>
            <w:tcW w:w="1980" w:type="dxa"/>
            <w:vAlign w:val="bottom"/>
            <w:gridSpan w:val="2"/>
          </w:tcPr>
          <w:p>
            <w:pPr>
              <w:ind w:left="740"/>
              <w:spacing w:after="0"/>
              <w:rPr>
                <w:sz w:val="20"/>
                <w:szCs w:val="20"/>
                <w:color w:val="auto"/>
              </w:rPr>
            </w:pPr>
            <w:r>
              <w:rPr>
                <w:rFonts w:ascii="Arial" w:cs="Arial" w:eastAsia="Arial" w:hAnsi="Arial"/>
                <w:sz w:val="17"/>
                <w:szCs w:val="17"/>
                <w:color w:val="0000FF"/>
              </w:rPr>
              <w:t>10016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0" w:type="dxa"/>
            <w:vAlign w:val="bottom"/>
            <w:gridSpan w:val="6"/>
          </w:tcPr>
          <w:p>
            <w:pPr>
              <w:ind w:left="3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ind w:left="220"/>
              <w:spacing w:after="0"/>
              <w:rPr>
                <w:sz w:val="20"/>
                <w:szCs w:val="20"/>
                <w:color w:val="auto"/>
              </w:rPr>
            </w:pPr>
            <w:r>
              <w:rPr>
                <w:rFonts w:ascii="Arial" w:cs="Arial" w:eastAsia="Arial" w:hAnsi="Arial"/>
                <w:sz w:val="13"/>
                <w:szCs w:val="13"/>
                <w:color w:val="auto"/>
              </w:rPr>
              <w:t>(State)</w:t>
            </w:r>
          </w:p>
        </w:tc>
        <w:tc>
          <w:tcPr>
            <w:tcW w:w="1080" w:type="dxa"/>
            <w:vAlign w:val="bottom"/>
          </w:tcPr>
          <w:p>
            <w:pPr>
              <w:ind w:left="7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jc w:val="center"/>
              <w:ind w:left="25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4"/>
                <w:szCs w:val="14"/>
                <w:color w:val="auto"/>
              </w:rPr>
            </w:pPr>
          </w:p>
        </w:tc>
        <w:tc>
          <w:tcPr>
            <w:tcW w:w="1480" w:type="dxa"/>
            <w:vAlign w:val="bottom"/>
            <w:gridSpan w:val="4"/>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2"/>
          </w:tcPr>
          <w:p>
            <w:pPr>
              <w:ind w:left="460"/>
              <w:spacing w:after="0" w:line="126"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4"/>
          </w:tcPr>
          <w:p>
            <w:pPr>
              <w:ind w:left="46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1"/>
              </w:rPr>
              <w:t>Common Stock</w:t>
            </w: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06/29/2019</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61,440</w:t>
            </w:r>
            <w:r>
              <w:rPr>
                <w:rFonts w:ascii="Arial" w:cs="Arial" w:eastAsia="Arial" w:hAnsi="Arial"/>
                <w:sz w:val="21"/>
                <w:szCs w:val="21"/>
                <w:color w:val="008000"/>
                <w:w w:val="83"/>
                <w:vertAlign w:val="superscript"/>
              </w:rPr>
              <w:t>(2)(3)</w:t>
            </w:r>
          </w:p>
        </w:tc>
        <w:tc>
          <w:tcPr>
            <w:tcW w:w="660" w:type="dxa"/>
            <w:vAlign w:val="bottom"/>
            <w:tcBorders>
              <w:bottom w:val="single" w:sz="8" w:color="2C2C2C"/>
            </w:tcBorders>
          </w:tcPr>
          <w:p>
            <w:pPr>
              <w:ind w:left="14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(1)(2)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6"/>
              </w:rPr>
              <w:t>(1)(2)</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419"/>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1"/>
              </w:rPr>
              <w:t>Common Stock</w:t>
            </w: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06/29/2019</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27,678</w:t>
            </w:r>
            <w:r>
              <w:rPr>
                <w:rFonts w:ascii="Arial" w:cs="Arial" w:eastAsia="Arial" w:hAnsi="Arial"/>
                <w:sz w:val="21"/>
                <w:szCs w:val="21"/>
                <w:color w:val="008000"/>
                <w:w w:val="83"/>
                <w:vertAlign w:val="superscript"/>
              </w:rPr>
              <w:t>(4)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27,678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1"/>
              </w:rPr>
              <w:t>Common Stock</w:t>
            </w: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06/29/2019</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27,678</w:t>
            </w:r>
            <w:r>
              <w:rPr>
                <w:rFonts w:ascii="Arial" w:cs="Arial" w:eastAsia="Arial" w:hAnsi="Arial"/>
                <w:sz w:val="21"/>
                <w:szCs w:val="21"/>
                <w:color w:val="008000"/>
                <w:w w:val="83"/>
                <w:vertAlign w:val="superscript"/>
              </w:rPr>
              <w:t>(4)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6"/>
              </w:rPr>
              <w:t>(1)(4)</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419"/>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2"/>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59"/>
              <w:spacing w:after="0" w:line="129"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w w:val="97"/>
              </w:rPr>
              <w:t>10/30/15Employee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50,968</w:t>
            </w:r>
          </w:p>
        </w:tc>
        <w:tc>
          <w:tcPr>
            <w:tcW w:w="40" w:type="dxa"/>
            <w:vAlign w:val="bottom"/>
          </w:tcPr>
          <w:p>
            <w:pPr>
              <w:spacing w:after="0"/>
              <w:rPr>
                <w:sz w:val="16"/>
                <w:szCs w:val="16"/>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1"/>
                <w:szCs w:val="11"/>
                <w:color w:val="008000"/>
                <w:w w:val="88"/>
              </w:rPr>
              <w:t>(6)</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 Option</w:t>
            </w:r>
          </w:p>
        </w:tc>
        <w:tc>
          <w:tcPr>
            <w:tcW w:w="760" w:type="dxa"/>
            <w:vAlign w:val="bottom"/>
          </w:tcPr>
          <w:p>
            <w:pPr>
              <w:jc w:val="center"/>
              <w:spacing w:after="0" w:line="125" w:lineRule="exact"/>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126.4</w:t>
            </w:r>
          </w:p>
        </w:tc>
        <w:tc>
          <w:tcPr>
            <w:tcW w:w="1080" w:type="dxa"/>
            <w:vAlign w:val="bottom"/>
          </w:tcPr>
          <w:p>
            <w:pPr>
              <w:jc w:val="center"/>
              <w:spacing w:after="0" w:line="125" w:lineRule="exact"/>
              <w:rPr>
                <w:sz w:val="20"/>
                <w:szCs w:val="20"/>
                <w:color w:val="auto"/>
              </w:rPr>
            </w:pPr>
            <w:r>
              <w:rPr>
                <w:rFonts w:ascii="Arial" w:cs="Arial" w:eastAsia="Arial" w:hAnsi="Arial"/>
                <w:sz w:val="13"/>
                <w:szCs w:val="13"/>
                <w:color w:val="0000FF"/>
                <w:w w:val="92"/>
              </w:rPr>
              <w:t>06/29/2019</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ind w:left="180"/>
              <w:spacing w:after="0" w:line="125" w:lineRule="exact"/>
              <w:rPr>
                <w:sz w:val="20"/>
                <w:szCs w:val="20"/>
                <w:color w:val="auto"/>
              </w:rPr>
            </w:pPr>
            <w:r>
              <w:rPr>
                <w:rFonts w:ascii="Arial" w:cs="Arial" w:eastAsia="Arial" w:hAnsi="Arial"/>
                <w:sz w:val="13"/>
                <w:szCs w:val="13"/>
                <w:color w:val="0000FF"/>
              </w:rPr>
              <w:t>D</w:t>
            </w:r>
          </w:p>
        </w:tc>
        <w:tc>
          <w:tcPr>
            <w:tcW w:w="420" w:type="dxa"/>
            <w:vAlign w:val="bottom"/>
          </w:tcPr>
          <w:p>
            <w:pPr>
              <w:spacing w:after="0"/>
              <w:rPr>
                <w:sz w:val="10"/>
                <w:szCs w:val="10"/>
                <w:color w:val="auto"/>
              </w:rPr>
            </w:pPr>
          </w:p>
        </w:tc>
        <w:tc>
          <w:tcPr>
            <w:tcW w:w="720" w:type="dxa"/>
            <w:vAlign w:val="bottom"/>
            <w:gridSpan w:val="2"/>
          </w:tcPr>
          <w:p>
            <w:pPr>
              <w:ind w:left="360"/>
              <w:spacing w:after="0" w:line="125" w:lineRule="exact"/>
              <w:rPr>
                <w:sz w:val="20"/>
                <w:szCs w:val="20"/>
                <w:color w:val="auto"/>
              </w:rPr>
            </w:pPr>
            <w:r>
              <w:rPr>
                <w:rFonts w:ascii="Arial" w:cs="Arial" w:eastAsia="Arial" w:hAnsi="Arial"/>
                <w:sz w:val="13"/>
                <w:szCs w:val="13"/>
                <w:color w:val="0000FF"/>
                <w:w w:val="85"/>
              </w:rPr>
              <w:t>50,968</w:t>
            </w:r>
          </w:p>
        </w:tc>
        <w:tc>
          <w:tcPr>
            <w:tcW w:w="800" w:type="dxa"/>
            <w:vAlign w:val="bottom"/>
            <w:vMerge w:val="continue"/>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3"/>
                <w:szCs w:val="13"/>
                <w:color w:val="0000FF"/>
              </w:rPr>
              <w:t>10/30/2025</w:t>
            </w: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ind w:left="36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4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 Buy)</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60" w:type="dxa"/>
            <w:vAlign w:val="bottom"/>
            <w:gridSpan w:val="3"/>
          </w:tcPr>
          <w:p>
            <w:pPr>
              <w:ind w:left="80"/>
              <w:spacing w:after="0"/>
              <w:rPr>
                <w:sz w:val="20"/>
                <w:szCs w:val="20"/>
                <w:color w:val="auto"/>
              </w:rPr>
            </w:pPr>
            <w:r>
              <w:rPr>
                <w:rFonts w:ascii="Arial" w:cs="Arial" w:eastAsia="Arial" w:hAnsi="Arial"/>
                <w:sz w:val="13"/>
                <w:szCs w:val="13"/>
                <w:color w:val="0000FF"/>
              </w:rPr>
              <w:t>02/16/16</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Employee Stock</w:t>
            </w:r>
          </w:p>
        </w:tc>
        <w:tc>
          <w:tcPr>
            <w:tcW w:w="760" w:type="dxa"/>
            <w:vAlign w:val="bottom"/>
          </w:tcPr>
          <w:p>
            <w:pPr>
              <w:jc w:val="center"/>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116.2</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06/29/2019</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0000FF"/>
                <w:w w:val="85"/>
              </w:rPr>
              <w:t>58,608</w:t>
            </w:r>
          </w:p>
        </w:tc>
        <w:tc>
          <w:tcPr>
            <w:tcW w:w="800" w:type="dxa"/>
            <w:vAlign w:val="bottom"/>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ind w:left="120"/>
              <w:spacing w:after="0"/>
              <w:rPr>
                <w:sz w:val="20"/>
                <w:szCs w:val="20"/>
                <w:color w:val="auto"/>
              </w:rPr>
            </w:pPr>
            <w:r>
              <w:rPr>
                <w:rFonts w:ascii="Arial" w:cs="Arial" w:eastAsia="Arial" w:hAnsi="Arial"/>
                <w:sz w:val="13"/>
                <w:szCs w:val="13"/>
                <w:color w:val="0000FF"/>
              </w:rPr>
              <w:t>02/16/2026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58,608</w:t>
            </w:r>
          </w:p>
        </w:tc>
        <w:tc>
          <w:tcPr>
            <w:tcW w:w="40" w:type="dxa"/>
            <w:vAlign w:val="bottom"/>
          </w:tcPr>
          <w:p>
            <w:pPr>
              <w:spacing w:after="0"/>
              <w:rPr>
                <w:sz w:val="17"/>
                <w:szCs w:val="17"/>
                <w:color w:val="auto"/>
              </w:rPr>
            </w:pPr>
          </w:p>
        </w:tc>
        <w:tc>
          <w:tcPr>
            <w:tcW w:w="720" w:type="dxa"/>
            <w:vAlign w:val="bottom"/>
          </w:tcPr>
          <w:p>
            <w:pPr>
              <w:jc w:val="center"/>
              <w:ind w:right="59"/>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40" w:type="dxa"/>
            <w:vAlign w:val="bottom"/>
            <w:gridSpan w:val="2"/>
          </w:tcPr>
          <w:p>
            <w:pPr>
              <w:ind w:left="60"/>
              <w:spacing w:after="0" w:line="82" w:lineRule="exact"/>
              <w:rPr>
                <w:sz w:val="20"/>
                <w:szCs w:val="20"/>
                <w:color w:val="auto"/>
              </w:rPr>
            </w:pPr>
            <w:r>
              <w:rPr>
                <w:rFonts w:ascii="Arial" w:cs="Arial" w:eastAsia="Arial" w:hAnsi="Arial"/>
                <w:sz w:val="9"/>
                <w:szCs w:val="9"/>
                <w:color w:val="0000FF"/>
              </w:rPr>
              <w:t>Option (Right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60" w:type="dxa"/>
            <w:vAlign w:val="bottom"/>
            <w:gridSpan w:val="3"/>
          </w:tcPr>
          <w:p>
            <w:pPr>
              <w:ind w:left="80"/>
              <w:spacing w:after="0"/>
              <w:rPr>
                <w:sz w:val="20"/>
                <w:szCs w:val="20"/>
                <w:color w:val="auto"/>
              </w:rPr>
            </w:pPr>
            <w:r>
              <w:rPr>
                <w:rFonts w:ascii="Arial" w:cs="Arial" w:eastAsia="Arial" w:hAnsi="Arial"/>
                <w:sz w:val="13"/>
                <w:szCs w:val="13"/>
                <w:color w:val="0000FF"/>
              </w:rPr>
              <w:t>02/21/17</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Employee Stock</w:t>
            </w:r>
          </w:p>
        </w:tc>
        <w:tc>
          <w:tcPr>
            <w:tcW w:w="760" w:type="dxa"/>
            <w:vAlign w:val="bottom"/>
          </w:tcPr>
          <w:p>
            <w:pPr>
              <w:jc w:val="center"/>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168.8</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06/29/2019</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0000FF"/>
                <w:w w:val="85"/>
              </w:rPr>
              <w:t>43,557</w:t>
            </w:r>
          </w:p>
        </w:tc>
        <w:tc>
          <w:tcPr>
            <w:tcW w:w="800" w:type="dxa"/>
            <w:vAlign w:val="bottom"/>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ind w:left="120"/>
              <w:spacing w:after="0"/>
              <w:rPr>
                <w:sz w:val="20"/>
                <w:szCs w:val="20"/>
                <w:color w:val="auto"/>
              </w:rPr>
            </w:pPr>
            <w:r>
              <w:rPr>
                <w:rFonts w:ascii="Arial" w:cs="Arial" w:eastAsia="Arial" w:hAnsi="Arial"/>
                <w:sz w:val="13"/>
                <w:szCs w:val="13"/>
                <w:color w:val="0000FF"/>
              </w:rPr>
              <w:t>02/21/2027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43,557</w:t>
            </w:r>
          </w:p>
        </w:tc>
        <w:tc>
          <w:tcPr>
            <w:tcW w:w="40" w:type="dxa"/>
            <w:vAlign w:val="bottom"/>
          </w:tcPr>
          <w:p>
            <w:pPr>
              <w:spacing w:after="0"/>
              <w:rPr>
                <w:sz w:val="17"/>
                <w:szCs w:val="17"/>
                <w:color w:val="auto"/>
              </w:rPr>
            </w:pPr>
          </w:p>
        </w:tc>
        <w:tc>
          <w:tcPr>
            <w:tcW w:w="720" w:type="dxa"/>
            <w:vAlign w:val="bottom"/>
          </w:tcPr>
          <w:p>
            <w:pPr>
              <w:jc w:val="center"/>
              <w:ind w:right="59"/>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40" w:type="dxa"/>
            <w:vAlign w:val="bottom"/>
            <w:gridSpan w:val="2"/>
          </w:tcPr>
          <w:p>
            <w:pPr>
              <w:ind w:left="60"/>
              <w:spacing w:after="0" w:line="82" w:lineRule="exact"/>
              <w:rPr>
                <w:sz w:val="20"/>
                <w:szCs w:val="20"/>
                <w:color w:val="auto"/>
              </w:rPr>
            </w:pPr>
            <w:r>
              <w:rPr>
                <w:rFonts w:ascii="Arial" w:cs="Arial" w:eastAsia="Arial" w:hAnsi="Arial"/>
                <w:sz w:val="9"/>
                <w:szCs w:val="9"/>
                <w:color w:val="0000FF"/>
              </w:rPr>
              <w:t>Option (Right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60" w:type="dxa"/>
            <w:vAlign w:val="bottom"/>
            <w:gridSpan w:val="3"/>
          </w:tcPr>
          <w:p>
            <w:pPr>
              <w:ind w:left="80"/>
              <w:spacing w:after="0"/>
              <w:rPr>
                <w:sz w:val="20"/>
                <w:szCs w:val="20"/>
                <w:color w:val="auto"/>
              </w:rPr>
            </w:pPr>
            <w:r>
              <w:rPr>
                <w:rFonts w:ascii="Arial" w:cs="Arial" w:eastAsia="Arial" w:hAnsi="Arial"/>
                <w:sz w:val="13"/>
                <w:szCs w:val="13"/>
                <w:color w:val="0000FF"/>
              </w:rPr>
              <w:t>12/20/17</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Employee Stock</w:t>
            </w:r>
          </w:p>
        </w:tc>
        <w:tc>
          <w:tcPr>
            <w:tcW w:w="760" w:type="dxa"/>
            <w:vAlign w:val="bottom"/>
          </w:tcPr>
          <w:p>
            <w:pPr>
              <w:jc w:val="center"/>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194.1</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06/29/2019</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0000FF"/>
                <w:w w:val="85"/>
              </w:rPr>
              <w:t>86,260</w:t>
            </w:r>
          </w:p>
        </w:tc>
        <w:tc>
          <w:tcPr>
            <w:tcW w:w="800" w:type="dxa"/>
            <w:vAlign w:val="bottom"/>
          </w:tcPr>
          <w:p>
            <w:pPr>
              <w:ind w:left="400"/>
              <w:spacing w:after="0"/>
              <w:rPr>
                <w:sz w:val="20"/>
                <w:szCs w:val="20"/>
                <w:color w:val="auto"/>
              </w:rPr>
            </w:pPr>
            <w:r>
              <w:rPr>
                <w:rFonts w:ascii="Arial" w:cs="Arial" w:eastAsia="Arial" w:hAnsi="Arial"/>
                <w:sz w:val="11"/>
                <w:szCs w:val="11"/>
                <w:color w:val="008000"/>
              </w:rPr>
              <w:t>(7)</w:t>
            </w:r>
          </w:p>
        </w:tc>
        <w:tc>
          <w:tcPr>
            <w:tcW w:w="800" w:type="dxa"/>
            <w:vAlign w:val="bottom"/>
          </w:tcPr>
          <w:p>
            <w:pPr>
              <w:ind w:left="120"/>
              <w:spacing w:after="0"/>
              <w:rPr>
                <w:sz w:val="20"/>
                <w:szCs w:val="20"/>
                <w:color w:val="auto"/>
              </w:rPr>
            </w:pPr>
            <w:r>
              <w:rPr>
                <w:rFonts w:ascii="Arial" w:cs="Arial" w:eastAsia="Arial" w:hAnsi="Arial"/>
                <w:sz w:val="13"/>
                <w:szCs w:val="13"/>
                <w:color w:val="0000FF"/>
              </w:rPr>
              <w:t>12/20/2027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86,260</w:t>
            </w:r>
          </w:p>
        </w:tc>
        <w:tc>
          <w:tcPr>
            <w:tcW w:w="40" w:type="dxa"/>
            <w:vAlign w:val="bottom"/>
          </w:tcPr>
          <w:p>
            <w:pPr>
              <w:spacing w:after="0"/>
              <w:rPr>
                <w:sz w:val="17"/>
                <w:szCs w:val="17"/>
                <w:color w:val="auto"/>
              </w:rPr>
            </w:pPr>
          </w:p>
        </w:tc>
        <w:tc>
          <w:tcPr>
            <w:tcW w:w="720" w:type="dxa"/>
            <w:vAlign w:val="bottom"/>
          </w:tcPr>
          <w:p>
            <w:pPr>
              <w:jc w:val="center"/>
              <w:ind w:right="59"/>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40" w:type="dxa"/>
            <w:vAlign w:val="bottom"/>
            <w:gridSpan w:val="2"/>
          </w:tcPr>
          <w:p>
            <w:pPr>
              <w:ind w:left="60"/>
              <w:spacing w:after="0" w:line="82" w:lineRule="exact"/>
              <w:rPr>
                <w:sz w:val="20"/>
                <w:szCs w:val="20"/>
                <w:color w:val="auto"/>
              </w:rPr>
            </w:pPr>
            <w:r>
              <w:rPr>
                <w:rFonts w:ascii="Arial" w:cs="Arial" w:eastAsia="Arial" w:hAnsi="Arial"/>
                <w:sz w:val="9"/>
                <w:szCs w:val="9"/>
                <w:color w:val="0000FF"/>
              </w:rPr>
              <w:t>Option (Right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60" w:type="dxa"/>
            <w:vAlign w:val="bottom"/>
            <w:gridSpan w:val="3"/>
          </w:tcPr>
          <w:p>
            <w:pPr>
              <w:ind w:left="80"/>
              <w:spacing w:after="0"/>
              <w:rPr>
                <w:sz w:val="20"/>
                <w:szCs w:val="20"/>
                <w:color w:val="auto"/>
              </w:rPr>
            </w:pPr>
            <w:r>
              <w:rPr>
                <w:rFonts w:ascii="Arial" w:cs="Arial" w:eastAsia="Arial" w:hAnsi="Arial"/>
                <w:sz w:val="13"/>
                <w:szCs w:val="13"/>
                <w:color w:val="0000FF"/>
              </w:rPr>
              <w:t>02/20/18</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0000FF"/>
              </w:rPr>
              <w:t>Employee Stock</w:t>
            </w:r>
          </w:p>
        </w:tc>
        <w:tc>
          <w:tcPr>
            <w:tcW w:w="76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210.98</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06/29/2019</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0000FF"/>
                <w:w w:val="85"/>
              </w:rPr>
              <w:t>74,747</w:t>
            </w:r>
          </w:p>
        </w:tc>
        <w:tc>
          <w:tcPr>
            <w:tcW w:w="800" w:type="dxa"/>
            <w:vAlign w:val="bottom"/>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ind w:left="120"/>
              <w:spacing w:after="0"/>
              <w:rPr>
                <w:sz w:val="20"/>
                <w:szCs w:val="20"/>
                <w:color w:val="auto"/>
              </w:rPr>
            </w:pPr>
            <w:r>
              <w:rPr>
                <w:rFonts w:ascii="Arial" w:cs="Arial" w:eastAsia="Arial" w:hAnsi="Arial"/>
                <w:sz w:val="13"/>
                <w:szCs w:val="13"/>
                <w:color w:val="0000FF"/>
              </w:rPr>
              <w:t>02/20/2028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74,747</w:t>
            </w:r>
          </w:p>
        </w:tc>
        <w:tc>
          <w:tcPr>
            <w:tcW w:w="40" w:type="dxa"/>
            <w:vAlign w:val="bottom"/>
          </w:tcPr>
          <w:p>
            <w:pPr>
              <w:spacing w:after="0"/>
              <w:rPr>
                <w:sz w:val="16"/>
                <w:szCs w:val="16"/>
                <w:color w:val="auto"/>
              </w:rPr>
            </w:pPr>
          </w:p>
        </w:tc>
        <w:tc>
          <w:tcPr>
            <w:tcW w:w="720" w:type="dxa"/>
            <w:vAlign w:val="bottom"/>
          </w:tcPr>
          <w:p>
            <w:pPr>
              <w:jc w:val="center"/>
              <w:ind w:right="59"/>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Option (Right to</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60" w:firstLine="2"/>
        <w:spacing w:after="0" w:line="258"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June 29, 2019, pursuant to an Agreement and Plan of Merger (the "Merger Agreement"), L3 Technologies, Inc. ("L3") and Harris Corporation ("Harris") effected an all-stock, merger of equals to combine their respective businesses in which a wholly-owned subsidiary of Harris merged with and into L3 with L3 surviving as a wholly-owned subsidiary of Harris (the "Merger"). Pursuant to the Merger Agreement, upon completion of the Merger, Harris changed its name to "L3Harris Technologies, Inc." ("L3Harris"), each issued and outstanding share of L3 common stock was converted into the right to receive 1.30 shares of L3Harris common stock (the "exchange ratio"), any vesting conditions of each unvested restricted stock unit ("RSU") held by the reporting person were deemed satisfied and accelerated in full and each RSU was cancelled and entitled the holder to receive a number of shares of L3Harris common stock equal to the number of RSUs multiplied by the exchange ratio.</w:t>
      </w:r>
    </w:p>
    <w:p>
      <w:pPr>
        <w:spacing w:after="0" w:line="20" w:lineRule="exact"/>
        <w:rPr>
          <w:rFonts w:ascii="Arial" w:cs="Arial" w:eastAsia="Arial" w:hAnsi="Arial"/>
          <w:sz w:val="12"/>
          <w:szCs w:val="12"/>
          <w:color w:val="008000"/>
        </w:rPr>
      </w:pPr>
    </w:p>
    <w:p>
      <w:pPr>
        <w:ind w:left="40" w:right="24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24,455 shares of L3 restricted stock subject to time-based vesting conditions. Pursuant to the Merger Agreement, at the effective time of the Merger, such L3 restricted shares were converted into restricted shares of L3Harris common stock equal to the number of L3 restricted shares multiplied by the exchange ratio. All shares of L3Harris common stock received in respect of such shares of L3 restricted stock will remain subject to the same time-based vesting conditions applicable to the original award.</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additional shares acquired through L3's Master Savings (401(k)) Plan.</w:t>
      </w:r>
    </w:p>
    <w:p>
      <w:pPr>
        <w:spacing w:after="0" w:line="44" w:lineRule="exact"/>
        <w:rPr>
          <w:rFonts w:ascii="Arial" w:cs="Arial" w:eastAsia="Arial" w:hAnsi="Arial"/>
          <w:sz w:val="13"/>
          <w:szCs w:val="13"/>
          <w:color w:val="008000"/>
        </w:rPr>
      </w:pPr>
    </w:p>
    <w:p>
      <w:pPr>
        <w:jc w:val="both"/>
        <w:ind w:left="40" w:right="200" w:firstLine="2"/>
        <w:spacing w:after="0" w:line="234"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February 2017 and February 2018, the reporting person was granted performance units which provided for delivery of shares of common stock upon the achievement of specified performance criteria. Pursuant to the Merger Agreement, at the effective time of the Merger, the outstanding performance units were deemed earned based on the greater of target and actual level of performance through the effective time of the Merger (as reasonably determined by the compensation committee of the L3 Board in consultation with Harris), and each performance unit was cancelled and the reporting person became entitled to receive a combination of (i) shares of L3Harris common stock and (ii) time-vesting restricted stock units denominated in shares of L3Harris common stock, as set forth in the Merger Agreement, in an amount calculated by multiplying each earned performance unit by the exchange ratio.</w:t>
      </w:r>
    </w:p>
    <w:p>
      <w:pPr>
        <w:spacing w:after="0" w:line="33"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were originally scheduled to vest in equal one-third increments beginning on the one-year anniversary of the grant date.</w:t>
      </w:r>
    </w:p>
    <w:p>
      <w:pPr>
        <w:spacing w:after="0" w:line="44" w:lineRule="exact"/>
        <w:rPr>
          <w:rFonts w:ascii="Arial" w:cs="Arial" w:eastAsia="Arial" w:hAnsi="Arial"/>
          <w:sz w:val="13"/>
          <w:szCs w:val="13"/>
          <w:color w:val="008000"/>
        </w:rPr>
      </w:pPr>
    </w:p>
    <w:p>
      <w:pPr>
        <w:ind w:left="40" w:right="32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At the effective time of the Merger, all vesting conditions applicable to outstanding stock options were deemed satisfied and accelerated in full and each option was converted into an option to purchase a number of shares of L3Harris common stock equal to the product of the number of shares of L3 common stock subject to such option and the exchange ratio, at an exercise price per share equal to the exercise price per share of such option divided by the exchange ratio.</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were originally scheduled to vest three years from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92" w:orient="portrait"/>
          <w:cols w:equalWidth="0" w:num="1">
            <w:col w:w="11520"/>
          </w:cols>
          <w:pgMar w:left="240" w:top="222" w:right="1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Chief Executive Officer and President</w:t>
      </w:r>
    </w:p>
    <w:p>
      <w:pPr>
        <w:sectPr>
          <w:pgSz w:w="11900" w:h="16892" w:orient="portrait"/>
          <w:cols w:equalWidth="0" w:num="1">
            <w:col w:w="11520"/>
          </w:cols>
          <w:pgMar w:left="240" w:top="222"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4"/>
          <w:szCs w:val="14"/>
          <w:color w:val="0000FF"/>
        </w:rPr>
        <w:t xml:space="preserve">/s/ Allen E. Danzig as Attorney-  </w:t>
      </w:r>
      <w:r>
        <w:rPr>
          <w:rFonts w:ascii="Arial" w:cs="Arial" w:eastAsia="Arial" w:hAnsi="Arial"/>
          <w:sz w:val="26"/>
          <w:szCs w:val="26"/>
          <w:color w:val="0000FF"/>
          <w:vertAlign w:val="subscript"/>
        </w:rPr>
        <w:t>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-27305</wp:posOffset>
            </wp:positionV>
            <wp:extent cx="1374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-20320</wp:posOffset>
            </wp:positionV>
            <wp:extent cx="302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226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719" w:firstLine="2"/>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001" TargetMode="External"/><Relationship Id="rId13" Type="http://schemas.openxmlformats.org/officeDocument/2006/relationships/hyperlink" Target="http://www.sec.gov/cgi-bin/browse-edgar?action=getcompany&amp;CIK=0001039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2019-12-23T21:53:00Z</dcterms:created>
  <dcterms:modified xsi:type="dcterms:W3CDTF">2019-12-23T21:53:00Z</dcterms:modified>
</cp:coreProperties>
</file>