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161290</wp:posOffset>
            </wp:positionV>
            <wp:extent cx="6071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97"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jc w:val="center"/>
        <w:ind w:right="-119"/>
        <w:spacing w:after="0" w:line="218" w:lineRule="auto"/>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8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jc w:val="center"/>
        <w:ind w:right="-119"/>
        <w:spacing w:after="0"/>
        <w:rPr>
          <w:sz w:val="20"/>
          <w:szCs w:val="20"/>
          <w:color w:val="auto"/>
        </w:rPr>
      </w:pPr>
      <w:r>
        <w:rPr>
          <w:rFonts w:ascii="Arial" w:cs="Arial" w:eastAsia="Arial" w:hAnsi="Arial"/>
          <w:sz w:val="22"/>
          <w:szCs w:val="22"/>
          <w:b w:val="1"/>
          <w:bCs w:val="1"/>
          <w:color w:val="auto"/>
        </w:rPr>
        <w:t>(Rule 14a-101)</w:t>
      </w:r>
    </w:p>
    <w:p>
      <w:pPr>
        <w:spacing w:after="0" w:line="7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 INFORMATION</w:t>
      </w:r>
    </w:p>
    <w:p>
      <w:pPr>
        <w:spacing w:after="0" w:line="7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5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20" w:hanging="373"/>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3" w:lineRule="exact"/>
        <w:rPr>
          <w:sz w:val="24"/>
          <w:szCs w:val="24"/>
          <w:color w:val="auto"/>
        </w:rPr>
      </w:pPr>
    </w:p>
    <w:p>
      <w:pPr>
        <w:ind w:left="420" w:hanging="373"/>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28" w:lineRule="exact"/>
        <w:rPr>
          <w:rFonts w:ascii="Arial" w:cs="Arial" w:eastAsia="Arial" w:hAnsi="Arial"/>
          <w:sz w:val="18"/>
          <w:szCs w:val="18"/>
          <w:color w:val="auto"/>
        </w:rPr>
      </w:pPr>
    </w:p>
    <w:p>
      <w:pPr>
        <w:ind w:left="420" w:hanging="373"/>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36" w:lineRule="exact"/>
        <w:rPr>
          <w:rFonts w:ascii="Arial" w:cs="Arial" w:eastAsia="Arial" w:hAnsi="Arial"/>
          <w:sz w:val="18"/>
          <w:szCs w:val="18"/>
          <w:color w:val="auto"/>
        </w:rPr>
      </w:pPr>
    </w:p>
    <w:p>
      <w:pPr>
        <w:ind w:left="420" w:hanging="373"/>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36" w:lineRule="exact"/>
        <w:rPr>
          <w:rFonts w:ascii="Arial" w:cs="Arial" w:eastAsia="Arial" w:hAnsi="Arial"/>
          <w:sz w:val="18"/>
          <w:szCs w:val="18"/>
          <w:color w:val="auto"/>
        </w:rPr>
      </w:pPr>
    </w:p>
    <w:p>
      <w:pPr>
        <w:ind w:left="420" w:hanging="373"/>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L3 Technologies, Inc.</w:t>
      </w: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193675</wp:posOffset>
            </wp:positionV>
            <wp:extent cx="6037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37580" cy="8890"/>
                    </a:xfrm>
                    <a:prstGeom prst="rect">
                      <a:avLst/>
                    </a:prstGeom>
                    <a:noFill/>
                  </pic:spPr>
                </pic:pic>
              </a:graphicData>
            </a:graphic>
          </wp:anchor>
        </w:drawing>
      </w:r>
    </w:p>
    <w:p>
      <w:pPr>
        <w:spacing w:after="0" w:line="311" w:lineRule="exact"/>
        <w:rPr>
          <w:sz w:val="24"/>
          <w:szCs w:val="24"/>
          <w:color w:val="auto"/>
        </w:rPr>
      </w:pPr>
    </w:p>
    <w:p>
      <w:pPr>
        <w:ind w:left="2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20" w:hanging="373"/>
        <w:spacing w:after="0"/>
        <w:tabs>
          <w:tab w:leader="none" w:pos="4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43" w:lineRule="exact"/>
        <w:rPr>
          <w:sz w:val="24"/>
          <w:szCs w:val="24"/>
          <w:color w:val="auto"/>
        </w:rPr>
      </w:pPr>
    </w:p>
    <w:p>
      <w:pPr>
        <w:ind w:left="420" w:hanging="373"/>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8" w:lineRule="exact"/>
        <w:rPr>
          <w:rFonts w:ascii="Arial" w:cs="Arial" w:eastAsia="Arial" w:hAnsi="Arial"/>
          <w:sz w:val="18"/>
          <w:szCs w:val="18"/>
          <w:color w:val="auto"/>
        </w:rPr>
      </w:pPr>
    </w:p>
    <w:p>
      <w:pPr>
        <w:ind w:left="860" w:hanging="435"/>
        <w:spacing w:after="0"/>
        <w:tabs>
          <w:tab w:leader="none" w:pos="8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860" w:hanging="435"/>
        <w:spacing w:after="0"/>
        <w:tabs>
          <w:tab w:leader="none" w:pos="8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860" w:right="340" w:hanging="435"/>
        <w:spacing w:after="0" w:line="277" w:lineRule="auto"/>
        <w:tabs>
          <w:tab w:leader="none" w:pos="8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860" w:hanging="435"/>
        <w:spacing w:after="0"/>
        <w:tabs>
          <w:tab w:leader="none" w:pos="8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860" w:hanging="435"/>
        <w:spacing w:after="0"/>
        <w:tabs>
          <w:tab w:leader="none" w:pos="8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92" w:lineRule="exact"/>
        <w:rPr>
          <w:rFonts w:ascii="Arial" w:cs="Arial" w:eastAsia="Arial" w:hAnsi="Arial"/>
          <w:sz w:val="18"/>
          <w:szCs w:val="18"/>
          <w:color w:val="auto"/>
        </w:rPr>
      </w:pPr>
    </w:p>
    <w:p>
      <w:pPr>
        <w:ind w:left="420" w:hanging="373"/>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36" w:lineRule="exact"/>
        <w:rPr>
          <w:rFonts w:ascii="Arial" w:cs="Arial" w:eastAsia="Arial" w:hAnsi="Arial"/>
          <w:sz w:val="18"/>
          <w:szCs w:val="18"/>
          <w:color w:val="auto"/>
        </w:rPr>
      </w:pPr>
    </w:p>
    <w:p>
      <w:pPr>
        <w:ind w:left="420" w:hanging="373"/>
        <w:spacing w:after="0" w:line="260"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rFonts w:ascii="Arial" w:cs="Arial" w:eastAsia="Arial" w:hAnsi="Arial"/>
          <w:sz w:val="18"/>
          <w:szCs w:val="18"/>
          <w:color w:val="auto"/>
        </w:rPr>
      </w:pPr>
    </w:p>
    <w:p>
      <w:pPr>
        <w:ind w:left="860" w:hanging="435"/>
        <w:spacing w:after="0"/>
        <w:tabs>
          <w:tab w:leader="none" w:pos="8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860" w:hanging="435"/>
        <w:spacing w:after="0"/>
        <w:tabs>
          <w:tab w:leader="none" w:pos="8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860" w:hanging="435"/>
        <w:spacing w:after="0"/>
        <w:tabs>
          <w:tab w:leader="none" w:pos="8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860" w:hanging="435"/>
        <w:spacing w:after="0"/>
        <w:tabs>
          <w:tab w:leader="none" w:pos="8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240030</wp:posOffset>
            </wp:positionH>
            <wp:positionV relativeFrom="paragraph">
              <wp:posOffset>-3088640</wp:posOffset>
            </wp:positionV>
            <wp:extent cx="5814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240030</wp:posOffset>
            </wp:positionH>
            <wp:positionV relativeFrom="paragraph">
              <wp:posOffset>-2771775</wp:posOffset>
            </wp:positionV>
            <wp:extent cx="58146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240030</wp:posOffset>
            </wp:positionH>
            <wp:positionV relativeFrom="paragraph">
              <wp:posOffset>-2317115</wp:posOffset>
            </wp:positionV>
            <wp:extent cx="58146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240030</wp:posOffset>
            </wp:positionH>
            <wp:positionV relativeFrom="paragraph">
              <wp:posOffset>-1999615</wp:posOffset>
            </wp:positionV>
            <wp:extent cx="58146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240030</wp:posOffset>
            </wp:positionH>
            <wp:positionV relativeFrom="paragraph">
              <wp:posOffset>-1682750</wp:posOffset>
            </wp:positionV>
            <wp:extent cx="58146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240030</wp:posOffset>
            </wp:positionH>
            <wp:positionV relativeFrom="paragraph">
              <wp:posOffset>-782320</wp:posOffset>
            </wp:positionV>
            <wp:extent cx="58146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240030</wp:posOffset>
            </wp:positionH>
            <wp:positionV relativeFrom="paragraph">
              <wp:posOffset>-464820</wp:posOffset>
            </wp:positionV>
            <wp:extent cx="58146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240030</wp:posOffset>
            </wp:positionH>
            <wp:positionV relativeFrom="paragraph">
              <wp:posOffset>-147320</wp:posOffset>
            </wp:positionV>
            <wp:extent cx="58146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240030</wp:posOffset>
            </wp:positionH>
            <wp:positionV relativeFrom="paragraph">
              <wp:posOffset>169545</wp:posOffset>
            </wp:positionV>
            <wp:extent cx="581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186690</wp:posOffset>
            </wp:positionV>
            <wp:extent cx="6071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229235</wp:posOffset>
            </wp:positionV>
            <wp:extent cx="60718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537845</wp:posOffset>
            </wp:positionV>
            <wp:extent cx="607187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38" w:right="127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2" w:lineRule="exact"/>
        <w:rPr>
          <w:sz w:val="20"/>
          <w:szCs w:val="20"/>
          <w:color w:val="auto"/>
        </w:rPr>
      </w:pPr>
    </w:p>
    <w:p>
      <w:pPr>
        <w:ind w:left="2860"/>
        <w:spacing w:after="0"/>
        <w:rPr>
          <w:sz w:val="20"/>
          <w:szCs w:val="20"/>
          <w:color w:val="auto"/>
        </w:rPr>
      </w:pPr>
      <w:r>
        <w:rPr>
          <w:rFonts w:ascii="Arial" w:cs="Arial" w:eastAsia="Arial" w:hAnsi="Arial"/>
          <w:sz w:val="50"/>
          <w:szCs w:val="50"/>
          <w:color w:val="005C7D"/>
        </w:rPr>
        <w:t>Notice of</w:t>
      </w:r>
    </w:p>
    <w:p>
      <w:pPr>
        <w:ind w:left="1040"/>
        <w:spacing w:after="0" w:line="180" w:lineRule="auto"/>
        <w:rPr>
          <w:sz w:val="20"/>
          <w:szCs w:val="20"/>
          <w:color w:val="auto"/>
        </w:rPr>
      </w:pPr>
      <w:r>
        <w:rPr>
          <w:rFonts w:ascii="Arial" w:cs="Arial" w:eastAsia="Arial" w:hAnsi="Arial"/>
          <w:sz w:val="104"/>
          <w:szCs w:val="104"/>
          <w:color w:val="005C7D"/>
          <w:vertAlign w:val="subscript"/>
        </w:rPr>
        <w:t>2017</w:t>
      </w:r>
      <w:r>
        <w:rPr>
          <w:rFonts w:ascii="Arial" w:cs="Arial" w:eastAsia="Arial" w:hAnsi="Arial"/>
          <w:sz w:val="43"/>
          <w:szCs w:val="43"/>
          <w:color w:val="005C7D"/>
        </w:rPr>
        <w:t xml:space="preserve"> Annual Meeting</w:t>
      </w:r>
    </w:p>
    <w:p>
      <w:pPr>
        <w:spacing w:after="0" w:line="4" w:lineRule="exact"/>
        <w:rPr>
          <w:sz w:val="20"/>
          <w:szCs w:val="20"/>
          <w:color w:val="auto"/>
        </w:rPr>
      </w:pPr>
    </w:p>
    <w:p>
      <w:pPr>
        <w:ind w:left="2860"/>
        <w:spacing w:after="0"/>
        <w:rPr>
          <w:sz w:val="20"/>
          <w:szCs w:val="20"/>
          <w:color w:val="auto"/>
        </w:rPr>
      </w:pPr>
      <w:r>
        <w:rPr>
          <w:rFonts w:ascii="Arial" w:cs="Arial" w:eastAsia="Arial" w:hAnsi="Arial"/>
          <w:sz w:val="50"/>
          <w:szCs w:val="50"/>
          <w:color w:val="005C7D"/>
        </w:rPr>
        <w:t>of Shareholders</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44"/>
          <w:szCs w:val="44"/>
          <w:color w:val="005C7D"/>
        </w:rPr>
        <w:t>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2024380</wp:posOffset>
            </wp:positionV>
            <wp:extent cx="607187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2152650</wp:posOffset>
            </wp:positionH>
            <wp:positionV relativeFrom="paragraph">
              <wp:posOffset>1166495</wp:posOffset>
            </wp:positionV>
            <wp:extent cx="1741170"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41170" cy="53149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2152650</wp:posOffset>
            </wp:positionH>
            <wp:positionV relativeFrom="paragraph">
              <wp:posOffset>109220</wp:posOffset>
            </wp:positionV>
            <wp:extent cx="1741170"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4117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C7D"/>
        </w:rPr>
        <w:t>600 Third Avenue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C7D"/>
        </w:rPr>
        <w:t>New York, NY 10016</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Dear Fellow Shareholder:</w:t>
      </w:r>
    </w:p>
    <w:p>
      <w:pPr>
        <w:spacing w:after="0" w:line="175" w:lineRule="exact"/>
        <w:rPr>
          <w:sz w:val="20"/>
          <w:szCs w:val="20"/>
          <w:color w:val="auto"/>
        </w:rPr>
      </w:pPr>
    </w:p>
    <w:p>
      <w:pPr>
        <w:ind w:right="1920"/>
        <w:spacing w:after="0" w:line="270" w:lineRule="auto"/>
        <w:rPr>
          <w:sz w:val="20"/>
          <w:szCs w:val="20"/>
          <w:color w:val="auto"/>
        </w:rPr>
      </w:pPr>
      <w:r>
        <w:rPr>
          <w:rFonts w:ascii="Arial" w:cs="Arial" w:eastAsia="Arial" w:hAnsi="Arial"/>
          <w:sz w:val="17"/>
          <w:szCs w:val="17"/>
          <w:color w:val="auto"/>
        </w:rPr>
        <w:t>On behalf of the Board of Directors, I cordially invite you to attend the Annual Meeting of Shareholders of L3 Technologies, Inc., to be held at 2:30 p.m., Eastern Daylight Time, on Tuesday, May 9, 2017, at The Ritz-Carlton New York, Battery Park, located at Two West Street, New York, New York 10004. This year we are also offering a virtual shareholder experience through which you can view the meeting and vote online at LLL.onlineshareholdermeeting.com. The question and answer session will include both live questions from shareholders attending the meeting at the physical location as well as questions submitted to us in advance at www.proxyvote.com. We will respond to as many inquiries as time allows. The notice and proxy statement for the Annual Meeting are attached to this letter and describe the business to be conducted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4905375</wp:posOffset>
            </wp:positionH>
            <wp:positionV relativeFrom="paragraph">
              <wp:posOffset>-1247140</wp:posOffset>
            </wp:positionV>
            <wp:extent cx="1115060" cy="14408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5060" cy="144081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rules of the Securities and Exchange Commission, we sent a Notice of Internet</w:t>
      </w:r>
    </w:p>
    <w:p>
      <w:pPr>
        <w:spacing w:after="0" w:line="23" w:lineRule="exact"/>
        <w:rPr>
          <w:sz w:val="20"/>
          <w:szCs w:val="20"/>
          <w:color w:val="auto"/>
        </w:rPr>
      </w:pPr>
    </w:p>
    <w:p>
      <w:pPr>
        <w:ind w:right="20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Availability of Proxy Materials on or about , 2017 to our shareholders of record as of the close of business on March 13, 2017. We also provided access to our proxy materials over the Internet beginning on that date. If you received a Notice of Internet Availability of Proxy Materials by mail and did not receive, but would like to receive, a printed copy of our proxy materials, you should follow the instructions for requesting such materials included on page </w:t>
      </w:r>
      <w:hyperlink w:anchor="page12">
        <w:r>
          <w:rPr>
            <w:rFonts w:ascii="Arial" w:cs="Arial" w:eastAsia="Arial" w:hAnsi="Arial"/>
            <w:sz w:val="18"/>
            <w:szCs w:val="18"/>
            <w:u w:val="single" w:color="auto"/>
            <w:color w:val="0000EE"/>
          </w:rPr>
          <w:t>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 or in the Notice of Internet Availability of Proxy Materials.</w:t>
      </w:r>
    </w:p>
    <w:p>
      <w:pPr>
        <w:spacing w:after="0" w:line="137" w:lineRule="exact"/>
        <w:rPr>
          <w:sz w:val="20"/>
          <w:szCs w:val="20"/>
          <w:color w:val="auto"/>
        </w:rPr>
      </w:pPr>
    </w:p>
    <w:p>
      <w:pPr>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To have your vote recorded, you should vote over the Internet or by telephone. In addition, if you have requested or received a paper copy of the proxy materials, you may vote by signing, dating and returning the proxy card sent to you in the envelope accompanying the proxy materials sent to you. We encourage you to vote by any of these methods even if you currently plan to attend the Annual Meeting. By doing so, you will ensure that your shares are represented and voted at the Annual Meeting. If you decide to attend, you can still vote your shares in person if you wish. If you wish to attend the Annual Meeting in person, you will need to register and request an admission ticket in advance. You can register and request a ticket by following the instructions set forth on page </w:t>
      </w:r>
      <w:hyperlink w:anchor="page15">
        <w:r>
          <w:rPr>
            <w:rFonts w:ascii="Arial" w:cs="Arial" w:eastAsia="Arial" w:hAnsi="Arial"/>
            <w:sz w:val="18"/>
            <w:szCs w:val="18"/>
            <w:u w:val="single" w:color="auto"/>
            <w:color w:val="0000EE"/>
          </w:rPr>
          <w:t>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Board of Directors, I thank you for your cooperation and look forward to seeing you on May 9, 2017.</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2017</w:t>
      </w:r>
    </w:p>
    <w:p>
      <w:pPr>
        <w:spacing w:after="0" w:line="17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14605</wp:posOffset>
            </wp:positionV>
            <wp:extent cx="1920875" cy="428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20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Michael T. Strianese</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607187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2152650</wp:posOffset>
            </wp:positionH>
            <wp:positionV relativeFrom="paragraph">
              <wp:posOffset>109220</wp:posOffset>
            </wp:positionV>
            <wp:extent cx="1741170" cy="531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4117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160" w:type="dxa"/>
            <w:vAlign w:val="bottom"/>
            <w:shd w:val="clear" w:color="auto" w:fill="CDDAE6"/>
          </w:tcPr>
          <w:p>
            <w:pPr>
              <w:spacing w:after="0"/>
              <w:rPr>
                <w:sz w:val="22"/>
                <w:szCs w:val="22"/>
                <w:color w:val="auto"/>
              </w:rPr>
            </w:pPr>
          </w:p>
        </w:tc>
        <w:tc>
          <w:tcPr>
            <w:tcW w:w="7400" w:type="dxa"/>
            <w:vAlign w:val="bottom"/>
            <w:gridSpan w:val="3"/>
            <w:shd w:val="clear" w:color="auto" w:fill="CDDAE6"/>
          </w:tcPr>
          <w:p>
            <w:pPr>
              <w:ind w:left="560"/>
              <w:spacing w:after="0"/>
              <w:rPr>
                <w:sz w:val="20"/>
                <w:szCs w:val="20"/>
                <w:color w:val="auto"/>
              </w:rPr>
            </w:pPr>
            <w:r>
              <w:rPr>
                <w:rFonts w:ascii="Arial" w:cs="Arial" w:eastAsia="Arial" w:hAnsi="Arial"/>
                <w:sz w:val="22"/>
                <w:szCs w:val="22"/>
                <w:b w:val="1"/>
                <w:bCs w:val="1"/>
                <w:color w:val="005C7D"/>
              </w:rPr>
              <w:t>NOTICE OF 2017 ANNUAL MEETING OF</w:t>
            </w:r>
          </w:p>
        </w:tc>
        <w:tc>
          <w:tcPr>
            <w:tcW w:w="0" w:type="dxa"/>
            <w:vAlign w:val="bottom"/>
          </w:tcPr>
          <w:p>
            <w:pPr>
              <w:spacing w:after="0"/>
              <w:rPr>
                <w:sz w:val="1"/>
                <w:szCs w:val="1"/>
                <w:color w:val="auto"/>
              </w:rPr>
            </w:pPr>
          </w:p>
        </w:tc>
      </w:tr>
      <w:tr>
        <w:trPr>
          <w:trHeight w:val="291"/>
        </w:trPr>
        <w:tc>
          <w:tcPr>
            <w:tcW w:w="2160" w:type="dxa"/>
            <w:vAlign w:val="bottom"/>
            <w:tcBorders>
              <w:bottom w:val="single" w:sz="8" w:color="CDDAE6"/>
            </w:tcBorders>
            <w:shd w:val="clear" w:color="auto" w:fill="CDDAE6"/>
          </w:tcPr>
          <w:p>
            <w:pPr>
              <w:spacing w:after="0"/>
              <w:rPr>
                <w:sz w:val="24"/>
                <w:szCs w:val="24"/>
                <w:color w:val="auto"/>
              </w:rPr>
            </w:pPr>
          </w:p>
        </w:tc>
        <w:tc>
          <w:tcPr>
            <w:tcW w:w="7400" w:type="dxa"/>
            <w:vAlign w:val="bottom"/>
            <w:tcBorders>
              <w:bottom w:val="single" w:sz="8" w:color="CDDAE6"/>
            </w:tcBorders>
            <w:gridSpan w:val="3"/>
            <w:shd w:val="clear" w:color="auto" w:fill="CDDAE6"/>
          </w:tcPr>
          <w:p>
            <w:pPr>
              <w:ind w:left="160"/>
              <w:spacing w:after="0"/>
              <w:rPr>
                <w:sz w:val="20"/>
                <w:szCs w:val="20"/>
                <w:color w:val="auto"/>
              </w:rPr>
            </w:pPr>
            <w:r>
              <w:rPr>
                <w:rFonts w:ascii="Arial" w:cs="Arial" w:eastAsia="Arial" w:hAnsi="Arial"/>
                <w:sz w:val="22"/>
                <w:szCs w:val="22"/>
                <w:b w:val="1"/>
                <w:bCs w:val="1"/>
                <w:color w:val="005C7D"/>
              </w:rPr>
              <w:t>SHAREHOLDERS OF L3 TECHNOLOGIES, INC.</w:t>
            </w:r>
          </w:p>
        </w:tc>
        <w:tc>
          <w:tcPr>
            <w:tcW w:w="0" w:type="dxa"/>
            <w:vAlign w:val="bottom"/>
          </w:tcPr>
          <w:p>
            <w:pPr>
              <w:spacing w:after="0"/>
              <w:rPr>
                <w:sz w:val="1"/>
                <w:szCs w:val="1"/>
                <w:color w:val="auto"/>
              </w:rPr>
            </w:pPr>
          </w:p>
        </w:tc>
      </w:tr>
      <w:tr>
        <w:trPr>
          <w:trHeight w:val="446"/>
        </w:trPr>
        <w:tc>
          <w:tcPr>
            <w:tcW w:w="2160" w:type="dxa"/>
            <w:vAlign w:val="bottom"/>
          </w:tcPr>
          <w:p>
            <w:pPr>
              <w:spacing w:after="0"/>
              <w:rPr>
                <w:sz w:val="20"/>
                <w:szCs w:val="20"/>
                <w:color w:val="auto"/>
              </w:rPr>
            </w:pPr>
            <w:r>
              <w:rPr>
                <w:rFonts w:ascii="Arial" w:cs="Arial" w:eastAsia="Arial" w:hAnsi="Arial"/>
                <w:sz w:val="18"/>
                <w:szCs w:val="18"/>
                <w:b w:val="1"/>
                <w:bCs w:val="1"/>
                <w:color w:val="auto"/>
              </w:rPr>
              <w:t>DATE AND TIME:</w:t>
            </w: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rPr>
              <w:t>Tuesday, May 9, 2017 at 2:30 p.m., Eastern Time</w:t>
            </w:r>
          </w:p>
        </w:tc>
        <w:tc>
          <w:tcPr>
            <w:tcW w:w="0" w:type="dxa"/>
            <w:vAlign w:val="bottom"/>
          </w:tcPr>
          <w:p>
            <w:pPr>
              <w:spacing w:after="0"/>
              <w:rPr>
                <w:sz w:val="1"/>
                <w:szCs w:val="1"/>
                <w:color w:val="auto"/>
              </w:rPr>
            </w:pPr>
          </w:p>
        </w:tc>
      </w:tr>
      <w:tr>
        <w:trPr>
          <w:trHeight w:val="310"/>
        </w:trPr>
        <w:tc>
          <w:tcPr>
            <w:tcW w:w="216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rPr>
              <w:t>The Ritz-Carlton New York, Battery Park</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rPr>
              <w:t>Two West Street</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rPr>
              <w:t>New York, New York 10004</w:t>
            </w: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w w:val="92"/>
              </w:rPr>
              <w:t>1) To elect the 10 Directors listed in the accompanying proxy statement (the “Proxy Statement”);</w:t>
            </w:r>
          </w:p>
        </w:tc>
        <w:tc>
          <w:tcPr>
            <w:tcW w:w="0" w:type="dxa"/>
            <w:vAlign w:val="bottom"/>
          </w:tcPr>
          <w:p>
            <w:pPr>
              <w:spacing w:after="0"/>
              <w:rPr>
                <w:sz w:val="1"/>
                <w:szCs w:val="1"/>
                <w:color w:val="auto"/>
              </w:rPr>
            </w:pPr>
          </w:p>
        </w:tc>
      </w:tr>
      <w:tr>
        <w:trPr>
          <w:trHeight w:val="310"/>
        </w:trPr>
        <w:tc>
          <w:tcPr>
            <w:tcW w:w="2160" w:type="dxa"/>
            <w:vAlign w:val="bottom"/>
          </w:tcPr>
          <w:p>
            <w:pPr>
              <w:spacing w:after="0"/>
              <w:rPr>
                <w:sz w:val="24"/>
                <w:szCs w:val="24"/>
                <w:color w:val="auto"/>
              </w:rPr>
            </w:pP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w w:val="94"/>
              </w:rPr>
              <w:t>2) To ratify the appointment of our independent registered public accounting firm for 2017 (the</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7400" w:type="dxa"/>
            <w:vAlign w:val="bottom"/>
            <w:gridSpan w:val="3"/>
          </w:tcPr>
          <w:p>
            <w:pPr>
              <w:ind w:left="580"/>
              <w:spacing w:after="0"/>
              <w:rPr>
                <w:sz w:val="20"/>
                <w:szCs w:val="20"/>
                <w:color w:val="auto"/>
              </w:rPr>
            </w:pPr>
            <w:r>
              <w:rPr>
                <w:rFonts w:ascii="Arial" w:cs="Arial" w:eastAsia="Arial" w:hAnsi="Arial"/>
                <w:sz w:val="18"/>
                <w:szCs w:val="18"/>
                <w:color w:val="auto"/>
              </w:rPr>
              <w:t>“Auditor Ratification Proposal”);</w:t>
            </w:r>
          </w:p>
        </w:tc>
        <w:tc>
          <w:tcPr>
            <w:tcW w:w="0" w:type="dxa"/>
            <w:vAlign w:val="bottom"/>
          </w:tcPr>
          <w:p>
            <w:pPr>
              <w:spacing w:after="0"/>
              <w:rPr>
                <w:sz w:val="1"/>
                <w:szCs w:val="1"/>
                <w:color w:val="auto"/>
              </w:rPr>
            </w:pPr>
          </w:p>
        </w:tc>
      </w:tr>
      <w:tr>
        <w:trPr>
          <w:trHeight w:val="310"/>
        </w:trPr>
        <w:tc>
          <w:tcPr>
            <w:tcW w:w="2160" w:type="dxa"/>
            <w:vAlign w:val="bottom"/>
          </w:tcPr>
          <w:p>
            <w:pPr>
              <w:spacing w:after="0"/>
              <w:rPr>
                <w:sz w:val="24"/>
                <w:szCs w:val="24"/>
                <w:color w:val="auto"/>
              </w:rPr>
            </w:pP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w w:val="99"/>
              </w:rPr>
              <w:t>3) To approve the amendment and restatement of the Company’s Restated Certificate of</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7400" w:type="dxa"/>
            <w:vAlign w:val="bottom"/>
            <w:gridSpan w:val="3"/>
          </w:tcPr>
          <w:p>
            <w:pPr>
              <w:ind w:left="580"/>
              <w:spacing w:after="0"/>
              <w:rPr>
                <w:sz w:val="20"/>
                <w:szCs w:val="20"/>
                <w:color w:val="auto"/>
              </w:rPr>
            </w:pPr>
            <w:r>
              <w:rPr>
                <w:rFonts w:ascii="Arial" w:cs="Arial" w:eastAsia="Arial" w:hAnsi="Arial"/>
                <w:sz w:val="18"/>
                <w:szCs w:val="18"/>
                <w:color w:val="auto"/>
                <w:w w:val="94"/>
              </w:rPr>
              <w:t>Incorporation (the “Certificate of Incorporation”) to eliminate all provisions that require more</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7400" w:type="dxa"/>
            <w:vAlign w:val="bottom"/>
            <w:gridSpan w:val="3"/>
          </w:tcPr>
          <w:p>
            <w:pPr>
              <w:ind w:left="580"/>
              <w:spacing w:after="0"/>
              <w:rPr>
                <w:sz w:val="20"/>
                <w:szCs w:val="20"/>
                <w:color w:val="auto"/>
              </w:rPr>
            </w:pPr>
            <w:r>
              <w:rPr>
                <w:rFonts w:ascii="Arial" w:cs="Arial" w:eastAsia="Arial" w:hAnsi="Arial"/>
                <w:sz w:val="18"/>
                <w:szCs w:val="18"/>
                <w:color w:val="auto"/>
              </w:rPr>
              <w:t>than a simple majority vote (the “Supermajority Proposal”);</w:t>
            </w:r>
          </w:p>
        </w:tc>
        <w:tc>
          <w:tcPr>
            <w:tcW w:w="0" w:type="dxa"/>
            <w:vAlign w:val="bottom"/>
          </w:tcPr>
          <w:p>
            <w:pPr>
              <w:spacing w:after="0"/>
              <w:rPr>
                <w:sz w:val="1"/>
                <w:szCs w:val="1"/>
                <w:color w:val="auto"/>
              </w:rPr>
            </w:pPr>
          </w:p>
        </w:tc>
      </w:tr>
      <w:tr>
        <w:trPr>
          <w:trHeight w:val="310"/>
        </w:trPr>
        <w:tc>
          <w:tcPr>
            <w:tcW w:w="2160" w:type="dxa"/>
            <w:vAlign w:val="bottom"/>
          </w:tcPr>
          <w:p>
            <w:pPr>
              <w:spacing w:after="0"/>
              <w:rPr>
                <w:sz w:val="24"/>
                <w:szCs w:val="24"/>
                <w:color w:val="auto"/>
              </w:rPr>
            </w:pP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w w:val="92"/>
              </w:rPr>
              <w:t>4) To approve the L3 Technologies, Inc. Amended and Restated 2012 Cash Incentive Plan (the</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7400" w:type="dxa"/>
            <w:vAlign w:val="bottom"/>
            <w:gridSpan w:val="3"/>
          </w:tcPr>
          <w:p>
            <w:pPr>
              <w:ind w:left="580"/>
              <w:spacing w:after="0"/>
              <w:rPr>
                <w:sz w:val="20"/>
                <w:szCs w:val="20"/>
                <w:color w:val="auto"/>
              </w:rPr>
            </w:pPr>
            <w:r>
              <w:rPr>
                <w:rFonts w:ascii="Arial" w:cs="Arial" w:eastAsia="Arial" w:hAnsi="Arial"/>
                <w:sz w:val="18"/>
                <w:szCs w:val="18"/>
                <w:color w:val="auto"/>
              </w:rPr>
              <w:t>“Cash Incentive Proposal”);</w:t>
            </w:r>
          </w:p>
        </w:tc>
        <w:tc>
          <w:tcPr>
            <w:tcW w:w="0" w:type="dxa"/>
            <w:vAlign w:val="bottom"/>
          </w:tcPr>
          <w:p>
            <w:pPr>
              <w:spacing w:after="0"/>
              <w:rPr>
                <w:sz w:val="1"/>
                <w:szCs w:val="1"/>
                <w:color w:val="auto"/>
              </w:rPr>
            </w:pPr>
          </w:p>
        </w:tc>
      </w:tr>
      <w:tr>
        <w:trPr>
          <w:trHeight w:val="310"/>
        </w:trPr>
        <w:tc>
          <w:tcPr>
            <w:tcW w:w="2160" w:type="dxa"/>
            <w:vAlign w:val="bottom"/>
          </w:tcPr>
          <w:p>
            <w:pPr>
              <w:spacing w:after="0"/>
              <w:rPr>
                <w:sz w:val="24"/>
                <w:szCs w:val="24"/>
                <w:color w:val="auto"/>
              </w:rPr>
            </w:pP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w w:val="93"/>
              </w:rPr>
              <w:t>5) To approve, in a non-binding, advisory vote, the compensation paid to our named executive</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7400" w:type="dxa"/>
            <w:vAlign w:val="bottom"/>
            <w:gridSpan w:val="3"/>
          </w:tcPr>
          <w:p>
            <w:pPr>
              <w:ind w:left="580"/>
              <w:spacing w:after="0"/>
              <w:rPr>
                <w:sz w:val="20"/>
                <w:szCs w:val="20"/>
                <w:color w:val="auto"/>
              </w:rPr>
            </w:pPr>
            <w:r>
              <w:rPr>
                <w:rFonts w:ascii="Arial" w:cs="Arial" w:eastAsia="Arial" w:hAnsi="Arial"/>
                <w:sz w:val="18"/>
                <w:szCs w:val="18"/>
                <w:color w:val="auto"/>
              </w:rPr>
              <w:t>officers as described herein (the “Say-on-Pay Proposal”);</w:t>
            </w:r>
          </w:p>
        </w:tc>
        <w:tc>
          <w:tcPr>
            <w:tcW w:w="0" w:type="dxa"/>
            <w:vAlign w:val="bottom"/>
          </w:tcPr>
          <w:p>
            <w:pPr>
              <w:spacing w:after="0"/>
              <w:rPr>
                <w:sz w:val="1"/>
                <w:szCs w:val="1"/>
                <w:color w:val="auto"/>
              </w:rPr>
            </w:pPr>
          </w:p>
        </w:tc>
      </w:tr>
      <w:tr>
        <w:trPr>
          <w:trHeight w:val="310"/>
        </w:trPr>
        <w:tc>
          <w:tcPr>
            <w:tcW w:w="2160" w:type="dxa"/>
            <w:vAlign w:val="bottom"/>
          </w:tcPr>
          <w:p>
            <w:pPr>
              <w:spacing w:after="0"/>
              <w:rPr>
                <w:sz w:val="24"/>
                <w:szCs w:val="24"/>
                <w:color w:val="auto"/>
              </w:rPr>
            </w:pP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w w:val="96"/>
              </w:rPr>
              <w:t>6) To determine, in a non-binding, advisory vote, whether a shareholder vote to approve the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7400" w:type="dxa"/>
            <w:vAlign w:val="bottom"/>
            <w:gridSpan w:val="3"/>
          </w:tcPr>
          <w:p>
            <w:pPr>
              <w:ind w:left="580"/>
              <w:spacing w:after="0"/>
              <w:rPr>
                <w:sz w:val="20"/>
                <w:szCs w:val="20"/>
                <w:color w:val="auto"/>
              </w:rPr>
            </w:pPr>
            <w:r>
              <w:rPr>
                <w:rFonts w:ascii="Arial" w:cs="Arial" w:eastAsia="Arial" w:hAnsi="Arial"/>
                <w:sz w:val="18"/>
                <w:szCs w:val="18"/>
                <w:color w:val="auto"/>
                <w:w w:val="90"/>
              </w:rPr>
              <w:t>compensation paid to our named executive officers should occur every one, two or three years</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7400" w:type="dxa"/>
            <w:vAlign w:val="bottom"/>
            <w:gridSpan w:val="3"/>
          </w:tcPr>
          <w:p>
            <w:pPr>
              <w:ind w:left="580"/>
              <w:spacing w:after="0"/>
              <w:rPr>
                <w:sz w:val="20"/>
                <w:szCs w:val="20"/>
                <w:color w:val="auto"/>
              </w:rPr>
            </w:pPr>
            <w:r>
              <w:rPr>
                <w:rFonts w:ascii="Arial" w:cs="Arial" w:eastAsia="Arial" w:hAnsi="Arial"/>
                <w:sz w:val="18"/>
                <w:szCs w:val="18"/>
                <w:color w:val="auto"/>
              </w:rPr>
              <w:t>(the “Say-on-Frequency Proposal”); and</w:t>
            </w:r>
          </w:p>
        </w:tc>
        <w:tc>
          <w:tcPr>
            <w:tcW w:w="0" w:type="dxa"/>
            <w:vAlign w:val="bottom"/>
          </w:tcPr>
          <w:p>
            <w:pPr>
              <w:spacing w:after="0"/>
              <w:rPr>
                <w:sz w:val="1"/>
                <w:szCs w:val="1"/>
                <w:color w:val="auto"/>
              </w:rPr>
            </w:pPr>
          </w:p>
        </w:tc>
      </w:tr>
      <w:tr>
        <w:trPr>
          <w:trHeight w:val="310"/>
        </w:trPr>
        <w:tc>
          <w:tcPr>
            <w:tcW w:w="2160" w:type="dxa"/>
            <w:vAlign w:val="bottom"/>
          </w:tcPr>
          <w:p>
            <w:pPr>
              <w:spacing w:after="0"/>
              <w:rPr>
                <w:sz w:val="24"/>
                <w:szCs w:val="24"/>
                <w:color w:val="auto"/>
              </w:rPr>
            </w:pP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w w:val="94"/>
              </w:rPr>
              <w:t>7) To transact such other business as may properly come before the Annual Meeting and any</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7400" w:type="dxa"/>
            <w:vAlign w:val="bottom"/>
            <w:gridSpan w:val="3"/>
          </w:tcPr>
          <w:p>
            <w:pPr>
              <w:ind w:left="580"/>
              <w:spacing w:after="0"/>
              <w:rPr>
                <w:sz w:val="20"/>
                <w:szCs w:val="20"/>
                <w:color w:val="auto"/>
              </w:rPr>
            </w:pPr>
            <w:r>
              <w:rPr>
                <w:rFonts w:ascii="Arial" w:cs="Arial" w:eastAsia="Arial" w:hAnsi="Arial"/>
                <w:sz w:val="18"/>
                <w:szCs w:val="18"/>
                <w:color w:val="auto"/>
              </w:rPr>
              <w:t>adjournments or postponements thereof.</w:t>
            </w:r>
          </w:p>
        </w:tc>
        <w:tc>
          <w:tcPr>
            <w:tcW w:w="0" w:type="dxa"/>
            <w:vAlign w:val="bottom"/>
          </w:tcPr>
          <w:p>
            <w:pPr>
              <w:spacing w:after="0"/>
              <w:rPr>
                <w:sz w:val="1"/>
                <w:szCs w:val="1"/>
                <w:color w:val="auto"/>
              </w:rPr>
            </w:pPr>
          </w:p>
        </w:tc>
      </w:tr>
      <w:tr>
        <w:trPr>
          <w:trHeight w:val="310"/>
        </w:trPr>
        <w:tc>
          <w:tcPr>
            <w:tcW w:w="2160" w:type="dxa"/>
            <w:vAlign w:val="bottom"/>
          </w:tcPr>
          <w:p>
            <w:pPr>
              <w:spacing w:after="0"/>
              <w:rPr>
                <w:sz w:val="20"/>
                <w:szCs w:val="20"/>
                <w:color w:val="auto"/>
              </w:rPr>
            </w:pPr>
            <w:r>
              <w:rPr>
                <w:rFonts w:ascii="Arial" w:cs="Arial" w:eastAsia="Arial" w:hAnsi="Arial"/>
                <w:sz w:val="18"/>
                <w:szCs w:val="18"/>
                <w:b w:val="1"/>
                <w:bCs w:val="1"/>
                <w:color w:val="auto"/>
              </w:rPr>
              <w:t>WHO CAN VOTE:</w:t>
            </w: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w w:val="92"/>
              </w:rPr>
              <w:t>You are entitled to vote if you were a shareholder of record at the close of business on Monday,</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rPr>
              <w:t>March 13, 2017 (the “Record Date”).</w:t>
            </w:r>
          </w:p>
        </w:tc>
        <w:tc>
          <w:tcPr>
            <w:tcW w:w="0" w:type="dxa"/>
            <w:vAlign w:val="bottom"/>
          </w:tcPr>
          <w:p>
            <w:pPr>
              <w:spacing w:after="0"/>
              <w:rPr>
                <w:sz w:val="1"/>
                <w:szCs w:val="1"/>
                <w:color w:val="auto"/>
              </w:rPr>
            </w:pPr>
          </w:p>
        </w:tc>
      </w:tr>
      <w:tr>
        <w:trPr>
          <w:trHeight w:val="310"/>
        </w:trPr>
        <w:tc>
          <w:tcPr>
            <w:tcW w:w="216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w w:val="93"/>
              </w:rPr>
              <w:t>We urge you to participate in the meeting, either by attending and voting in person or by voting</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w w:val="90"/>
              </w:rPr>
              <w:t>through other acceptable means as promptly as possible. You may vote by telephone, through the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w w:val="95"/>
              </w:rPr>
              <w:t>Internet or by mailing your completed and signed proxy card (or voting instruction form, if you</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w w:val="91"/>
              </w:rPr>
              <w:t>hold your shares through a broker, bank or other nominee). Each share is entitled to one vote on</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w w:val="92"/>
              </w:rPr>
              <w:t>each matter to be voted upon at the Annual Meeting. Your vote is important and we urge you to</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rPr>
              <w:t>vote.</w:t>
            </w:r>
          </w:p>
        </w:tc>
        <w:tc>
          <w:tcPr>
            <w:tcW w:w="0" w:type="dxa"/>
            <w:vAlign w:val="bottom"/>
          </w:tcPr>
          <w:p>
            <w:pPr>
              <w:spacing w:after="0"/>
              <w:rPr>
                <w:sz w:val="1"/>
                <w:szCs w:val="1"/>
                <w:color w:val="auto"/>
              </w:rPr>
            </w:pPr>
          </w:p>
        </w:tc>
      </w:tr>
      <w:tr>
        <w:trPr>
          <w:trHeight w:val="310"/>
        </w:trPr>
        <w:tc>
          <w:tcPr>
            <w:tcW w:w="2160" w:type="dxa"/>
            <w:vAlign w:val="bottom"/>
          </w:tcPr>
          <w:p>
            <w:pPr>
              <w:spacing w:after="0"/>
              <w:rPr>
                <w:sz w:val="20"/>
                <w:szCs w:val="20"/>
                <w:color w:val="auto"/>
              </w:rPr>
            </w:pPr>
            <w:r>
              <w:rPr>
                <w:rFonts w:ascii="Arial" w:cs="Arial" w:eastAsia="Arial" w:hAnsi="Arial"/>
                <w:sz w:val="18"/>
                <w:szCs w:val="18"/>
                <w:b w:val="1"/>
                <w:bCs w:val="1"/>
                <w:color w:val="auto"/>
              </w:rPr>
              <w:t>MEETING ADMISSION:</w:t>
            </w: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w w:val="90"/>
              </w:rPr>
              <w:t>If you plan to attend the meeting, you must request an admission ticket in advance. To request an</w:t>
            </w: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7400" w:type="dxa"/>
            <w:vAlign w:val="bottom"/>
            <w:gridSpan w:val="3"/>
          </w:tcPr>
          <w:p>
            <w:pPr>
              <w:ind w:left="340"/>
              <w:spacing w:after="0" w:line="190" w:lineRule="exact"/>
              <w:rPr>
                <w:rFonts w:ascii="Arial" w:cs="Arial" w:eastAsia="Arial" w:hAnsi="Arial"/>
                <w:sz w:val="18"/>
                <w:szCs w:val="18"/>
                <w:color w:val="auto"/>
                <w:w w:val="97"/>
              </w:rPr>
            </w:pPr>
            <w:r>
              <w:rPr>
                <w:rFonts w:ascii="Arial" w:cs="Arial" w:eastAsia="Arial" w:hAnsi="Arial"/>
                <w:sz w:val="18"/>
                <w:szCs w:val="18"/>
                <w:color w:val="auto"/>
                <w:w w:val="97"/>
              </w:rPr>
              <w:t xml:space="preserve">admission ticket, please follow the instructions on page </w:t>
            </w:r>
            <w:hyperlink w:anchor="page15">
              <w:r>
                <w:rPr>
                  <w:rFonts w:ascii="Arial" w:cs="Arial" w:eastAsia="Arial" w:hAnsi="Arial"/>
                  <w:sz w:val="18"/>
                  <w:szCs w:val="18"/>
                  <w:color w:val="0000EE"/>
                  <w:w w:val="97"/>
                </w:rPr>
                <w:t>9</w:t>
              </w:r>
              <w:r>
                <w:rPr>
                  <w:rFonts w:ascii="Arial" w:cs="Arial" w:eastAsia="Arial" w:hAnsi="Arial"/>
                  <w:sz w:val="18"/>
                  <w:szCs w:val="18"/>
                  <w:color w:val="auto"/>
                  <w:w w:val="97"/>
                </w:rPr>
                <w:t xml:space="preserve"> </w:t>
              </w:r>
            </w:hyperlink>
            <w:r>
              <w:rPr>
                <w:rFonts w:ascii="Arial" w:cs="Arial" w:eastAsia="Arial" w:hAnsi="Arial"/>
                <w:sz w:val="18"/>
                <w:szCs w:val="18"/>
                <w:color w:val="auto"/>
                <w:w w:val="97"/>
              </w:rPr>
              <w:t>in response to Question 13 of the</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160" w:type="dxa"/>
            <w:vAlign w:val="bottom"/>
          </w:tcPr>
          <w:p>
            <w:pPr>
              <w:spacing w:after="0"/>
              <w:rPr>
                <w:sz w:val="19"/>
                <w:szCs w:val="19"/>
                <w:color w:val="auto"/>
              </w:rPr>
            </w:pP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w w:val="91"/>
              </w:rPr>
              <w:t>accompanying Proxy Statement. If you are unable to attend the meeting in person, you may also</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rPr>
              <w:t>attend our meeting and vote your shares virtually via the Internet by visiting</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w w:val="93"/>
              </w:rPr>
              <w:t>LLL.onlineshareholdermeeting.com and following the instructions to enter and participate in the</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rPr>
              <w:t>meeting.</w:t>
            </w:r>
          </w:p>
        </w:tc>
        <w:tc>
          <w:tcPr>
            <w:tcW w:w="0" w:type="dxa"/>
            <w:vAlign w:val="bottom"/>
          </w:tcPr>
          <w:p>
            <w:pPr>
              <w:spacing w:after="0"/>
              <w:rPr>
                <w:sz w:val="1"/>
                <w:szCs w:val="1"/>
                <w:color w:val="auto"/>
              </w:rPr>
            </w:pPr>
          </w:p>
        </w:tc>
      </w:tr>
      <w:tr>
        <w:trPr>
          <w:trHeight w:val="310"/>
        </w:trPr>
        <w:tc>
          <w:tcPr>
            <w:tcW w:w="2160" w:type="dxa"/>
            <w:vAlign w:val="bottom"/>
          </w:tcPr>
          <w:p>
            <w:pPr>
              <w:spacing w:after="0"/>
              <w:rPr>
                <w:sz w:val="20"/>
                <w:szCs w:val="20"/>
                <w:color w:val="auto"/>
              </w:rPr>
            </w:pPr>
            <w:r>
              <w:rPr>
                <w:rFonts w:ascii="Arial" w:cs="Arial" w:eastAsia="Arial" w:hAnsi="Arial"/>
                <w:sz w:val="18"/>
                <w:szCs w:val="18"/>
                <w:b w:val="1"/>
                <w:bCs w:val="1"/>
                <w:color w:val="auto"/>
              </w:rPr>
              <w:t>2016 ANNUAL REPORT:</w:t>
            </w: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rPr>
              <w:t>A copy of our Annual Report on Form 10-K for the fiscal year ended December 31, 2016</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rPr>
              <w:t>accompanies this Proxy Statement.</w:t>
            </w:r>
          </w:p>
        </w:tc>
        <w:tc>
          <w:tcPr>
            <w:tcW w:w="0" w:type="dxa"/>
            <w:vAlign w:val="bottom"/>
          </w:tcPr>
          <w:p>
            <w:pPr>
              <w:spacing w:after="0"/>
              <w:rPr>
                <w:sz w:val="1"/>
                <w:szCs w:val="1"/>
                <w:color w:val="auto"/>
              </w:rPr>
            </w:pPr>
          </w:p>
        </w:tc>
      </w:tr>
      <w:tr>
        <w:trPr>
          <w:trHeight w:val="378"/>
        </w:trPr>
        <w:tc>
          <w:tcPr>
            <w:tcW w:w="2160" w:type="dxa"/>
            <w:vAlign w:val="bottom"/>
          </w:tcPr>
          <w:p>
            <w:pPr>
              <w:spacing w:after="0"/>
              <w:rPr>
                <w:sz w:val="24"/>
                <w:szCs w:val="24"/>
                <w:color w:val="auto"/>
              </w:rPr>
            </w:pPr>
          </w:p>
        </w:tc>
        <w:tc>
          <w:tcPr>
            <w:tcW w:w="7400" w:type="dxa"/>
            <w:vAlign w:val="bottom"/>
            <w:gridSpan w:val="3"/>
          </w:tcPr>
          <w:p>
            <w:pPr>
              <w:ind w:left="2760"/>
              <w:spacing w:after="0"/>
              <w:rPr>
                <w:sz w:val="20"/>
                <w:szCs w:val="20"/>
                <w:color w:val="auto"/>
              </w:rPr>
            </w:pPr>
            <w:r>
              <w:rPr>
                <w:rFonts w:ascii="Arial" w:cs="Arial" w:eastAsia="Arial" w:hAnsi="Arial"/>
                <w:sz w:val="18"/>
                <w:szCs w:val="18"/>
                <w:b w:val="1"/>
                <w:bCs w:val="1"/>
                <w:color w:val="auto"/>
              </w:rPr>
              <w:t>By Order of the Board of Directors,</w:t>
            </w:r>
          </w:p>
        </w:tc>
        <w:tc>
          <w:tcPr>
            <w:tcW w:w="0" w:type="dxa"/>
            <w:vAlign w:val="bottom"/>
          </w:tcPr>
          <w:p>
            <w:pPr>
              <w:spacing w:after="0"/>
              <w:rPr>
                <w:sz w:val="1"/>
                <w:szCs w:val="1"/>
                <w:color w:val="auto"/>
              </w:rPr>
            </w:pPr>
          </w:p>
        </w:tc>
      </w:tr>
      <w:tr>
        <w:trPr>
          <w:trHeight w:val="728"/>
        </w:trPr>
        <w:tc>
          <w:tcPr>
            <w:tcW w:w="216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 2017</w:t>
            </w:r>
          </w:p>
        </w:tc>
        <w:tc>
          <w:tcPr>
            <w:tcW w:w="7400" w:type="dxa"/>
            <w:vAlign w:val="bottom"/>
            <w:gridSpan w:val="3"/>
          </w:tcPr>
          <w:p>
            <w:pPr>
              <w:ind w:left="2760"/>
              <w:spacing w:after="0"/>
              <w:rPr>
                <w:sz w:val="20"/>
                <w:szCs w:val="20"/>
                <w:color w:val="auto"/>
              </w:rPr>
            </w:pPr>
            <w:r>
              <w:rPr>
                <w:rFonts w:ascii="Arial" w:cs="Arial" w:eastAsia="Arial" w:hAnsi="Arial"/>
                <w:sz w:val="18"/>
                <w:szCs w:val="18"/>
                <w:b w:val="1"/>
                <w:bCs w:val="1"/>
                <w:color w:val="auto"/>
              </w:rPr>
              <w:t>Ann D. Davidson</w:t>
            </w:r>
          </w:p>
        </w:tc>
        <w:tc>
          <w:tcPr>
            <w:tcW w:w="0" w:type="dxa"/>
            <w:vAlign w:val="bottom"/>
          </w:tcPr>
          <w:p>
            <w:pPr>
              <w:spacing w:after="0"/>
              <w:rPr>
                <w:sz w:val="1"/>
                <w:szCs w:val="1"/>
                <w:color w:val="auto"/>
              </w:rPr>
            </w:pPr>
          </w:p>
        </w:tc>
      </w:tr>
      <w:tr>
        <w:trPr>
          <w:trHeight w:val="216"/>
        </w:trPr>
        <w:tc>
          <w:tcPr>
            <w:tcW w:w="2160" w:type="dxa"/>
            <w:vAlign w:val="bottom"/>
            <w:vMerge w:val="continue"/>
          </w:tcPr>
          <w:p>
            <w:pPr>
              <w:spacing w:after="0"/>
              <w:rPr>
                <w:sz w:val="18"/>
                <w:szCs w:val="18"/>
                <w:color w:val="auto"/>
              </w:rPr>
            </w:pPr>
          </w:p>
        </w:tc>
        <w:tc>
          <w:tcPr>
            <w:tcW w:w="7400" w:type="dxa"/>
            <w:vAlign w:val="bottom"/>
            <w:gridSpan w:val="3"/>
          </w:tcPr>
          <w:p>
            <w:pPr>
              <w:ind w:left="2760"/>
              <w:spacing w:after="0"/>
              <w:rPr>
                <w:sz w:val="20"/>
                <w:szCs w:val="20"/>
                <w:color w:val="auto"/>
              </w:rPr>
            </w:pPr>
            <w:r>
              <w:rPr>
                <w:rFonts w:ascii="Arial" w:cs="Arial" w:eastAsia="Arial" w:hAnsi="Arial"/>
                <w:sz w:val="18"/>
                <w:szCs w:val="18"/>
                <w:color w:val="auto"/>
              </w:rPr>
              <w:t>Senior Vice President, General Counsel and</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New York, New York</w:t>
            </w:r>
          </w:p>
        </w:tc>
        <w:tc>
          <w:tcPr>
            <w:tcW w:w="7400" w:type="dxa"/>
            <w:vAlign w:val="bottom"/>
            <w:gridSpan w:val="3"/>
          </w:tcPr>
          <w:p>
            <w:pPr>
              <w:ind w:left="2760"/>
              <w:spacing w:after="0"/>
              <w:rPr>
                <w:sz w:val="20"/>
                <w:szCs w:val="20"/>
                <w:color w:val="auto"/>
              </w:rPr>
            </w:pPr>
            <w:r>
              <w:rPr>
                <w:rFonts w:ascii="Arial" w:cs="Arial" w:eastAsia="Arial" w:hAnsi="Arial"/>
                <w:sz w:val="18"/>
                <w:szCs w:val="18"/>
                <w:color w:val="auto"/>
              </w:rPr>
              <w:t>Corporate Secretary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6071870" cy="685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1870" cy="685800"/>
                    </a:xfrm>
                    <a:prstGeom prst="rect">
                      <a:avLst/>
                    </a:prstGeom>
                    <a:noFill/>
                  </pic:spPr>
                </pic:pic>
              </a:graphicData>
            </a:graphic>
          </wp:anchor>
        </w:drawing>
        <w:drawing>
          <wp:anchor simplePos="0" relativeHeight="251657728" behindDoc="1" locked="0" layoutInCell="0" allowOverlap="1">
            <wp:simplePos x="0" y="0"/>
            <wp:positionH relativeFrom="column">
              <wp:posOffset>3121660</wp:posOffset>
            </wp:positionH>
            <wp:positionV relativeFrom="paragraph">
              <wp:posOffset>-745490</wp:posOffset>
            </wp:positionV>
            <wp:extent cx="1620520" cy="3003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20520" cy="300355"/>
                    </a:xfrm>
                    <a:prstGeom prst="rect">
                      <a:avLst/>
                    </a:prstGeom>
                    <a:noFill/>
                  </pic:spPr>
                </pic:pic>
              </a:graphicData>
            </a:graphic>
          </wp:anchor>
        </w:drawing>
      </w:r>
    </w:p>
    <w:p>
      <w:pPr>
        <w:spacing w:after="0" w:line="96"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Important Notice Regarding the Availability of Proxy Materials for the Shareholder Meeting to be held on May 9, 2017.</w:t>
      </w:r>
    </w:p>
    <w:p>
      <w:pPr>
        <w:ind w:left="80"/>
        <w:spacing w:after="0" w:line="216" w:lineRule="auto"/>
        <w:rPr>
          <w:sz w:val="20"/>
          <w:szCs w:val="20"/>
          <w:color w:val="auto"/>
        </w:rPr>
      </w:pPr>
      <w:r>
        <w:rPr>
          <w:rFonts w:ascii="Arial" w:cs="Arial" w:eastAsia="Arial" w:hAnsi="Arial"/>
          <w:sz w:val="13"/>
          <w:szCs w:val="13"/>
          <w:b w:val="1"/>
          <w:bCs w:val="1"/>
          <w:color w:val="auto"/>
        </w:rPr>
        <w:t>The following proxy materials are available for you to view online at http://www.L3T.com: (1) this Proxy Statement (including all attachments, if any);</w:t>
      </w:r>
    </w:p>
    <w:p>
      <w:pPr>
        <w:spacing w:after="0" w:line="1" w:lineRule="exact"/>
        <w:rPr>
          <w:sz w:val="20"/>
          <w:szCs w:val="20"/>
          <w:color w:val="auto"/>
        </w:rPr>
      </w:pPr>
    </w:p>
    <w:p>
      <w:pPr>
        <w:ind w:left="80" w:right="200" w:hanging="6"/>
        <w:spacing w:after="0" w:line="211" w:lineRule="auto"/>
        <w:tabs>
          <w:tab w:leader="none" w:pos="284"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our Summary Annual Report and Annual Report on Form 10-K, in each case for the year ended December 31, 2016 (which is not deemed to be part of the official proxy soliciting materials); and (3) any amendments to the foregoing materials that are required to be furnished to shareholders. In addition, if you have not received a copy of our proxy materials and would like one, you may download an electronic copy of our proxy materials or request a paper copy at http://www.L3T.com. You will also have the opportunity to request paper or email copies of our proxy materials for all future Annual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327025</wp:posOffset>
            </wp:positionV>
            <wp:extent cx="607187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071870"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71870" cy="205740"/>
                    </a:xfrm>
                    <a:prstGeom prst="rect">
                      <a:avLst/>
                    </a:prstGeom>
                    <a:noFill/>
                  </pic:spPr>
                </pic:pic>
              </a:graphicData>
            </a:graphic>
          </wp:anchor>
        </w:drawing>
      </w:r>
    </w:p>
    <w:p>
      <w:pPr>
        <w:spacing w:after="0" w:line="139"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005C7D"/>
        </w:rPr>
        <w:t>PROXY STATEMENT – TABLE OF CONTENTS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005C7D"/>
        </w:rPr>
        <w:t>NOTICE OF 2017 ANNUAL MEETING OF SHAREHOLDERS OF L3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6071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gridSpan w:val="33"/>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PROXY STATEMENT SUMMARY</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r>
      <w:tr>
        <w:trPr>
          <w:trHeight w:val="108"/>
        </w:trPr>
        <w:tc>
          <w:tcPr>
            <w:tcW w:w="540" w:type="dxa"/>
            <w:vAlign w:val="bottom"/>
            <w:tcBorders>
              <w:top w:val="single" w:sz="8" w:color="0000EE"/>
              <w:bottom w:val="single" w:sz="8" w:color="005C7D"/>
            </w:tcBorders>
          </w:tcPr>
          <w:p>
            <w:pPr>
              <w:spacing w:after="0"/>
              <w:rPr>
                <w:sz w:val="9"/>
                <w:szCs w:val="9"/>
                <w:color w:val="auto"/>
              </w:rPr>
            </w:pPr>
          </w:p>
        </w:tc>
        <w:tc>
          <w:tcPr>
            <w:tcW w:w="800" w:type="dxa"/>
            <w:vAlign w:val="bottom"/>
            <w:tcBorders>
              <w:top w:val="single" w:sz="8" w:color="0000EE"/>
              <w:bottom w:val="single" w:sz="8" w:color="005C7D"/>
            </w:tcBorders>
          </w:tcPr>
          <w:p>
            <w:pPr>
              <w:spacing w:after="0"/>
              <w:rPr>
                <w:sz w:val="9"/>
                <w:szCs w:val="9"/>
                <w:color w:val="auto"/>
              </w:rPr>
            </w:pPr>
          </w:p>
        </w:tc>
        <w:tc>
          <w:tcPr>
            <w:tcW w:w="200" w:type="dxa"/>
            <w:vAlign w:val="bottom"/>
            <w:tcBorders>
              <w:top w:val="single" w:sz="8" w:color="0000EE"/>
              <w:bottom w:val="single" w:sz="8" w:color="005C7D"/>
            </w:tcBorders>
          </w:tcPr>
          <w:p>
            <w:pPr>
              <w:spacing w:after="0"/>
              <w:rPr>
                <w:sz w:val="9"/>
                <w:szCs w:val="9"/>
                <w:color w:val="auto"/>
              </w:rPr>
            </w:pPr>
          </w:p>
        </w:tc>
        <w:tc>
          <w:tcPr>
            <w:tcW w:w="360" w:type="dxa"/>
            <w:vAlign w:val="bottom"/>
            <w:tcBorders>
              <w:top w:val="single" w:sz="8" w:color="0000EE"/>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580" w:type="dxa"/>
            <w:vAlign w:val="bottom"/>
            <w:tcBorders>
              <w:top w:val="single" w:sz="8" w:color="0000EE"/>
              <w:bottom w:val="single" w:sz="8" w:color="005C7D"/>
            </w:tcBorders>
          </w:tcPr>
          <w:p>
            <w:pPr>
              <w:spacing w:after="0"/>
              <w:rPr>
                <w:sz w:val="9"/>
                <w:szCs w:val="9"/>
                <w:color w:val="auto"/>
              </w:rPr>
            </w:pPr>
          </w:p>
        </w:tc>
        <w:tc>
          <w:tcPr>
            <w:tcW w:w="160" w:type="dxa"/>
            <w:vAlign w:val="bottom"/>
            <w:tcBorders>
              <w:top w:val="single" w:sz="8" w:color="0000EE"/>
              <w:bottom w:val="single" w:sz="8" w:color="005C7D"/>
            </w:tcBorders>
          </w:tcPr>
          <w:p>
            <w:pPr>
              <w:spacing w:after="0"/>
              <w:rPr>
                <w:sz w:val="9"/>
                <w:szCs w:val="9"/>
                <w:color w:val="auto"/>
              </w:rPr>
            </w:pPr>
          </w:p>
        </w:tc>
        <w:tc>
          <w:tcPr>
            <w:tcW w:w="20" w:type="dxa"/>
            <w:vAlign w:val="bottom"/>
            <w:tcBorders>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c>
          <w:tcPr>
            <w:tcW w:w="120" w:type="dxa"/>
            <w:vAlign w:val="bottom"/>
            <w:tcBorders>
              <w:bottom w:val="single" w:sz="8" w:color="005C7D"/>
            </w:tcBorders>
          </w:tcPr>
          <w:p>
            <w:pPr>
              <w:spacing w:after="0"/>
              <w:rPr>
                <w:sz w:val="9"/>
                <w:szCs w:val="9"/>
                <w:color w:val="auto"/>
              </w:rPr>
            </w:pPr>
          </w:p>
        </w:tc>
        <w:tc>
          <w:tcPr>
            <w:tcW w:w="100" w:type="dxa"/>
            <w:vAlign w:val="bottom"/>
            <w:tcBorders>
              <w:bottom w:val="single" w:sz="8" w:color="005C7D"/>
            </w:tcBorders>
          </w:tcPr>
          <w:p>
            <w:pPr>
              <w:spacing w:after="0"/>
              <w:rPr>
                <w:sz w:val="9"/>
                <w:szCs w:val="9"/>
                <w:color w:val="auto"/>
              </w:rPr>
            </w:pPr>
          </w:p>
        </w:tc>
        <w:tc>
          <w:tcPr>
            <w:tcW w:w="140" w:type="dxa"/>
            <w:vAlign w:val="bottom"/>
            <w:tcBorders>
              <w:bottom w:val="single" w:sz="8" w:color="005C7D"/>
            </w:tcBorders>
          </w:tcPr>
          <w:p>
            <w:pPr>
              <w:spacing w:after="0"/>
              <w:rPr>
                <w:sz w:val="9"/>
                <w:szCs w:val="9"/>
                <w:color w:val="auto"/>
              </w:rPr>
            </w:pPr>
          </w:p>
        </w:tc>
        <w:tc>
          <w:tcPr>
            <w:tcW w:w="40" w:type="dxa"/>
            <w:vAlign w:val="bottom"/>
            <w:tcBorders>
              <w:bottom w:val="single" w:sz="8" w:color="005C7D"/>
            </w:tcBorders>
          </w:tcPr>
          <w:p>
            <w:pPr>
              <w:spacing w:after="0"/>
              <w:rPr>
                <w:sz w:val="9"/>
                <w:szCs w:val="9"/>
                <w:color w:val="auto"/>
              </w:rPr>
            </w:pPr>
          </w:p>
        </w:tc>
        <w:tc>
          <w:tcPr>
            <w:tcW w:w="40" w:type="dxa"/>
            <w:vAlign w:val="bottom"/>
            <w:tcBorders>
              <w:bottom w:val="single" w:sz="8" w:color="005C7D"/>
            </w:tcBorders>
          </w:tcPr>
          <w:p>
            <w:pPr>
              <w:spacing w:after="0"/>
              <w:rPr>
                <w:sz w:val="9"/>
                <w:szCs w:val="9"/>
                <w:color w:val="auto"/>
              </w:rPr>
            </w:pPr>
          </w:p>
        </w:tc>
        <w:tc>
          <w:tcPr>
            <w:tcW w:w="20" w:type="dxa"/>
            <w:vAlign w:val="bottom"/>
            <w:tcBorders>
              <w:bottom w:val="single" w:sz="8" w:color="005C7D"/>
            </w:tcBorders>
          </w:tcPr>
          <w:p>
            <w:pPr>
              <w:spacing w:after="0"/>
              <w:rPr>
                <w:sz w:val="9"/>
                <w:szCs w:val="9"/>
                <w:color w:val="auto"/>
              </w:rPr>
            </w:pPr>
          </w:p>
        </w:tc>
        <w:tc>
          <w:tcPr>
            <w:tcW w:w="460" w:type="dxa"/>
            <w:vAlign w:val="bottom"/>
            <w:tcBorders>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c>
          <w:tcPr>
            <w:tcW w:w="140" w:type="dxa"/>
            <w:vAlign w:val="bottom"/>
            <w:tcBorders>
              <w:bottom w:val="single" w:sz="8" w:color="005C7D"/>
            </w:tcBorders>
          </w:tcPr>
          <w:p>
            <w:pPr>
              <w:spacing w:after="0"/>
              <w:rPr>
                <w:sz w:val="9"/>
                <w:szCs w:val="9"/>
                <w:color w:val="auto"/>
              </w:rPr>
            </w:pPr>
          </w:p>
        </w:tc>
        <w:tc>
          <w:tcPr>
            <w:tcW w:w="1160" w:type="dxa"/>
            <w:vAlign w:val="bottom"/>
            <w:tcBorders>
              <w:bottom w:val="single" w:sz="8" w:color="005C7D"/>
            </w:tcBorders>
          </w:tcPr>
          <w:p>
            <w:pPr>
              <w:spacing w:after="0"/>
              <w:rPr>
                <w:sz w:val="9"/>
                <w:szCs w:val="9"/>
                <w:color w:val="auto"/>
              </w:rPr>
            </w:pPr>
          </w:p>
        </w:tc>
        <w:tc>
          <w:tcPr>
            <w:tcW w:w="100" w:type="dxa"/>
            <w:vAlign w:val="bottom"/>
            <w:tcBorders>
              <w:bottom w:val="single" w:sz="8" w:color="005C7D"/>
            </w:tcBorders>
          </w:tcPr>
          <w:p>
            <w:pPr>
              <w:spacing w:after="0"/>
              <w:rPr>
                <w:sz w:val="9"/>
                <w:szCs w:val="9"/>
                <w:color w:val="auto"/>
              </w:rPr>
            </w:pPr>
          </w:p>
        </w:tc>
        <w:tc>
          <w:tcPr>
            <w:tcW w:w="460" w:type="dxa"/>
            <w:vAlign w:val="bottom"/>
            <w:tcBorders>
              <w:bottom w:val="single" w:sz="8" w:color="005C7D"/>
            </w:tcBorders>
          </w:tcPr>
          <w:p>
            <w:pPr>
              <w:spacing w:after="0"/>
              <w:rPr>
                <w:sz w:val="9"/>
                <w:szCs w:val="9"/>
                <w:color w:val="auto"/>
              </w:rPr>
            </w:pPr>
          </w:p>
        </w:tc>
        <w:tc>
          <w:tcPr>
            <w:tcW w:w="100" w:type="dxa"/>
            <w:vAlign w:val="bottom"/>
            <w:tcBorders>
              <w:bottom w:val="single" w:sz="8" w:color="005C7D"/>
            </w:tcBorders>
          </w:tcPr>
          <w:p>
            <w:pPr>
              <w:spacing w:after="0"/>
              <w:rPr>
                <w:sz w:val="9"/>
                <w:szCs w:val="9"/>
                <w:color w:val="auto"/>
              </w:rPr>
            </w:pPr>
          </w:p>
        </w:tc>
        <w:tc>
          <w:tcPr>
            <w:tcW w:w="80" w:type="dxa"/>
            <w:vAlign w:val="bottom"/>
            <w:tcBorders>
              <w:bottom w:val="single" w:sz="8" w:color="005C7D"/>
            </w:tcBorders>
          </w:tcPr>
          <w:p>
            <w:pPr>
              <w:spacing w:after="0"/>
              <w:rPr>
                <w:sz w:val="9"/>
                <w:szCs w:val="9"/>
                <w:color w:val="auto"/>
              </w:rPr>
            </w:pPr>
          </w:p>
        </w:tc>
        <w:tc>
          <w:tcPr>
            <w:tcW w:w="160" w:type="dxa"/>
            <w:vAlign w:val="bottom"/>
            <w:tcBorders>
              <w:bottom w:val="single" w:sz="8" w:color="005C7D"/>
            </w:tcBorders>
          </w:tcPr>
          <w:p>
            <w:pPr>
              <w:spacing w:after="0"/>
              <w:rPr>
                <w:sz w:val="9"/>
                <w:szCs w:val="9"/>
                <w:color w:val="auto"/>
              </w:rPr>
            </w:pPr>
          </w:p>
        </w:tc>
        <w:tc>
          <w:tcPr>
            <w:tcW w:w="40" w:type="dxa"/>
            <w:vAlign w:val="bottom"/>
            <w:tcBorders>
              <w:bottom w:val="single" w:sz="8" w:color="005C7D"/>
            </w:tcBorders>
          </w:tcPr>
          <w:p>
            <w:pPr>
              <w:spacing w:after="0"/>
              <w:rPr>
                <w:sz w:val="9"/>
                <w:szCs w:val="9"/>
                <w:color w:val="auto"/>
              </w:rPr>
            </w:pPr>
          </w:p>
        </w:tc>
        <w:tc>
          <w:tcPr>
            <w:tcW w:w="100" w:type="dxa"/>
            <w:vAlign w:val="bottom"/>
            <w:tcBorders>
              <w:bottom w:val="single" w:sz="8" w:color="005C7D"/>
            </w:tcBorders>
          </w:tcPr>
          <w:p>
            <w:pPr>
              <w:spacing w:after="0"/>
              <w:rPr>
                <w:sz w:val="9"/>
                <w:szCs w:val="9"/>
                <w:color w:val="auto"/>
              </w:rPr>
            </w:pPr>
          </w:p>
        </w:tc>
        <w:tc>
          <w:tcPr>
            <w:tcW w:w="68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1340" w:type="dxa"/>
            <w:vAlign w:val="bottom"/>
            <w:tcBorders>
              <w:bottom w:val="single" w:sz="8" w:color="005C7D"/>
            </w:tcBorders>
          </w:tcPr>
          <w:p>
            <w:pPr>
              <w:spacing w:after="0"/>
              <w:rPr>
                <w:sz w:val="9"/>
                <w:szCs w:val="9"/>
                <w:color w:val="auto"/>
              </w:rPr>
            </w:pPr>
          </w:p>
        </w:tc>
        <w:tc>
          <w:tcPr>
            <w:tcW w:w="120" w:type="dxa"/>
            <w:vAlign w:val="bottom"/>
            <w:tcBorders>
              <w:bottom w:val="single" w:sz="8" w:color="005C7D"/>
            </w:tcBorders>
          </w:tcPr>
          <w:p>
            <w:pPr>
              <w:spacing w:after="0"/>
              <w:rPr>
                <w:sz w:val="9"/>
                <w:szCs w:val="9"/>
                <w:color w:val="auto"/>
              </w:rPr>
            </w:pPr>
          </w:p>
        </w:tc>
        <w:tc>
          <w:tcPr>
            <w:tcW w:w="440" w:type="dxa"/>
            <w:vAlign w:val="bottom"/>
            <w:tcBorders>
              <w:bottom w:val="single" w:sz="8" w:color="005C7D"/>
            </w:tcBorders>
          </w:tcPr>
          <w:p>
            <w:pPr>
              <w:spacing w:after="0"/>
              <w:rPr>
                <w:sz w:val="9"/>
                <w:szCs w:val="9"/>
                <w:color w:val="auto"/>
              </w:rPr>
            </w:pPr>
          </w:p>
        </w:tc>
        <w:tc>
          <w:tcPr>
            <w:tcW w:w="260" w:type="dxa"/>
            <w:vAlign w:val="bottom"/>
            <w:tcBorders>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c>
          <w:tcPr>
            <w:tcW w:w="100" w:type="dxa"/>
            <w:vAlign w:val="bottom"/>
            <w:tcBorders>
              <w:bottom w:val="single" w:sz="8" w:color="005C7D"/>
            </w:tcBorders>
          </w:tcPr>
          <w:p>
            <w:pPr>
              <w:spacing w:after="0"/>
              <w:rPr>
                <w:sz w:val="9"/>
                <w:szCs w:val="9"/>
                <w:color w:val="auto"/>
              </w:rPr>
            </w:pPr>
          </w:p>
        </w:tc>
        <w:tc>
          <w:tcPr>
            <w:tcW w:w="80" w:type="dxa"/>
            <w:vAlign w:val="bottom"/>
            <w:tcBorders>
              <w:top w:val="single" w:sz="8" w:color="0000EE"/>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r>
      <w:tr>
        <w:trPr>
          <w:trHeight w:val="271"/>
        </w:trPr>
        <w:tc>
          <w:tcPr>
            <w:tcW w:w="9260" w:type="dxa"/>
            <w:vAlign w:val="bottom"/>
            <w:gridSpan w:val="33"/>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QUESTIONS AND ANSWERS ABOUT THE 2017 ANNUAL MEETING AND VOTING</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12">
              <w:r>
                <w:rPr>
                  <w:rFonts w:ascii="Arial" w:cs="Arial" w:eastAsia="Arial" w:hAnsi="Arial"/>
                  <w:sz w:val="18"/>
                  <w:szCs w:val="18"/>
                  <w:color w:val="0000EE"/>
                </w:rPr>
                <w:t>6</w:t>
              </w:r>
            </w:hyperlink>
          </w:p>
        </w:tc>
      </w:tr>
      <w:tr>
        <w:trPr>
          <w:trHeight w:val="108"/>
        </w:trPr>
        <w:tc>
          <w:tcPr>
            <w:tcW w:w="540" w:type="dxa"/>
            <w:vAlign w:val="bottom"/>
            <w:tcBorders>
              <w:top w:val="single" w:sz="8" w:color="0000EE"/>
              <w:bottom w:val="single" w:sz="8" w:color="005C7D"/>
            </w:tcBorders>
          </w:tcPr>
          <w:p>
            <w:pPr>
              <w:spacing w:after="0"/>
              <w:rPr>
                <w:sz w:val="9"/>
                <w:szCs w:val="9"/>
                <w:color w:val="auto"/>
              </w:rPr>
            </w:pPr>
          </w:p>
        </w:tc>
        <w:tc>
          <w:tcPr>
            <w:tcW w:w="800" w:type="dxa"/>
            <w:vAlign w:val="bottom"/>
            <w:tcBorders>
              <w:top w:val="single" w:sz="8" w:color="0000EE"/>
              <w:bottom w:val="single" w:sz="8" w:color="005C7D"/>
            </w:tcBorders>
          </w:tcPr>
          <w:p>
            <w:pPr>
              <w:spacing w:after="0"/>
              <w:rPr>
                <w:sz w:val="9"/>
                <w:szCs w:val="9"/>
                <w:color w:val="auto"/>
              </w:rPr>
            </w:pPr>
          </w:p>
        </w:tc>
        <w:tc>
          <w:tcPr>
            <w:tcW w:w="200" w:type="dxa"/>
            <w:vAlign w:val="bottom"/>
            <w:tcBorders>
              <w:top w:val="single" w:sz="8" w:color="0000EE"/>
              <w:bottom w:val="single" w:sz="8" w:color="005C7D"/>
            </w:tcBorders>
          </w:tcPr>
          <w:p>
            <w:pPr>
              <w:spacing w:after="0"/>
              <w:rPr>
                <w:sz w:val="9"/>
                <w:szCs w:val="9"/>
                <w:color w:val="auto"/>
              </w:rPr>
            </w:pPr>
          </w:p>
        </w:tc>
        <w:tc>
          <w:tcPr>
            <w:tcW w:w="360" w:type="dxa"/>
            <w:vAlign w:val="bottom"/>
            <w:tcBorders>
              <w:top w:val="single" w:sz="8" w:color="0000EE"/>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580" w:type="dxa"/>
            <w:vAlign w:val="bottom"/>
            <w:tcBorders>
              <w:top w:val="single" w:sz="8" w:color="0000EE"/>
              <w:bottom w:val="single" w:sz="8" w:color="005C7D"/>
            </w:tcBorders>
          </w:tcPr>
          <w:p>
            <w:pPr>
              <w:spacing w:after="0"/>
              <w:rPr>
                <w:sz w:val="9"/>
                <w:szCs w:val="9"/>
                <w:color w:val="auto"/>
              </w:rPr>
            </w:pPr>
          </w:p>
        </w:tc>
        <w:tc>
          <w:tcPr>
            <w:tcW w:w="160" w:type="dxa"/>
            <w:vAlign w:val="bottom"/>
            <w:tcBorders>
              <w:top w:val="single" w:sz="8" w:color="0000EE"/>
              <w:bottom w:val="single" w:sz="8" w:color="005C7D"/>
            </w:tcBorders>
          </w:tcPr>
          <w:p>
            <w:pPr>
              <w:spacing w:after="0"/>
              <w:rPr>
                <w:sz w:val="9"/>
                <w:szCs w:val="9"/>
                <w:color w:val="auto"/>
              </w:rPr>
            </w:pPr>
          </w:p>
        </w:tc>
        <w:tc>
          <w:tcPr>
            <w:tcW w:w="20" w:type="dxa"/>
            <w:vAlign w:val="bottom"/>
            <w:tcBorders>
              <w:top w:val="single" w:sz="8" w:color="0000EE"/>
              <w:bottom w:val="single" w:sz="8" w:color="005C7D"/>
            </w:tcBorders>
          </w:tcPr>
          <w:p>
            <w:pPr>
              <w:spacing w:after="0"/>
              <w:rPr>
                <w:sz w:val="9"/>
                <w:szCs w:val="9"/>
                <w:color w:val="auto"/>
              </w:rPr>
            </w:pPr>
          </w:p>
        </w:tc>
        <w:tc>
          <w:tcPr>
            <w:tcW w:w="60" w:type="dxa"/>
            <w:vAlign w:val="bottom"/>
            <w:tcBorders>
              <w:top w:val="single" w:sz="8" w:color="0000EE"/>
              <w:bottom w:val="single" w:sz="8" w:color="005C7D"/>
            </w:tcBorders>
          </w:tcPr>
          <w:p>
            <w:pPr>
              <w:spacing w:after="0"/>
              <w:rPr>
                <w:sz w:val="9"/>
                <w:szCs w:val="9"/>
                <w:color w:val="auto"/>
              </w:rPr>
            </w:pPr>
          </w:p>
        </w:tc>
        <w:tc>
          <w:tcPr>
            <w:tcW w:w="120" w:type="dxa"/>
            <w:vAlign w:val="bottom"/>
            <w:tcBorders>
              <w:top w:val="single" w:sz="8" w:color="0000EE"/>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14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20" w:type="dxa"/>
            <w:vAlign w:val="bottom"/>
            <w:tcBorders>
              <w:top w:val="single" w:sz="8" w:color="0000EE"/>
              <w:bottom w:val="single" w:sz="8" w:color="005C7D"/>
            </w:tcBorders>
          </w:tcPr>
          <w:p>
            <w:pPr>
              <w:spacing w:after="0"/>
              <w:rPr>
                <w:sz w:val="9"/>
                <w:szCs w:val="9"/>
                <w:color w:val="auto"/>
              </w:rPr>
            </w:pPr>
          </w:p>
        </w:tc>
        <w:tc>
          <w:tcPr>
            <w:tcW w:w="460" w:type="dxa"/>
            <w:vAlign w:val="bottom"/>
            <w:tcBorders>
              <w:top w:val="single" w:sz="8" w:color="0000EE"/>
              <w:bottom w:val="single" w:sz="8" w:color="005C7D"/>
            </w:tcBorders>
          </w:tcPr>
          <w:p>
            <w:pPr>
              <w:spacing w:after="0"/>
              <w:rPr>
                <w:sz w:val="9"/>
                <w:szCs w:val="9"/>
                <w:color w:val="auto"/>
              </w:rPr>
            </w:pPr>
          </w:p>
        </w:tc>
        <w:tc>
          <w:tcPr>
            <w:tcW w:w="60" w:type="dxa"/>
            <w:vAlign w:val="bottom"/>
            <w:tcBorders>
              <w:top w:val="single" w:sz="8" w:color="0000EE"/>
              <w:bottom w:val="single" w:sz="8" w:color="005C7D"/>
            </w:tcBorders>
          </w:tcPr>
          <w:p>
            <w:pPr>
              <w:spacing w:after="0"/>
              <w:rPr>
                <w:sz w:val="9"/>
                <w:szCs w:val="9"/>
                <w:color w:val="auto"/>
              </w:rPr>
            </w:pPr>
          </w:p>
        </w:tc>
        <w:tc>
          <w:tcPr>
            <w:tcW w:w="140" w:type="dxa"/>
            <w:vAlign w:val="bottom"/>
            <w:tcBorders>
              <w:top w:val="single" w:sz="8" w:color="0000EE"/>
              <w:bottom w:val="single" w:sz="8" w:color="005C7D"/>
            </w:tcBorders>
          </w:tcPr>
          <w:p>
            <w:pPr>
              <w:spacing w:after="0"/>
              <w:rPr>
                <w:sz w:val="9"/>
                <w:szCs w:val="9"/>
                <w:color w:val="auto"/>
              </w:rPr>
            </w:pPr>
          </w:p>
        </w:tc>
        <w:tc>
          <w:tcPr>
            <w:tcW w:w="1160" w:type="dxa"/>
            <w:vAlign w:val="bottom"/>
            <w:tcBorders>
              <w:top w:val="single" w:sz="8" w:color="0000EE"/>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460" w:type="dxa"/>
            <w:vAlign w:val="bottom"/>
            <w:tcBorders>
              <w:top w:val="single" w:sz="8" w:color="0000EE"/>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80" w:type="dxa"/>
            <w:vAlign w:val="bottom"/>
            <w:tcBorders>
              <w:top w:val="single" w:sz="8" w:color="0000EE"/>
              <w:bottom w:val="single" w:sz="8" w:color="005C7D"/>
            </w:tcBorders>
          </w:tcPr>
          <w:p>
            <w:pPr>
              <w:spacing w:after="0"/>
              <w:rPr>
                <w:sz w:val="9"/>
                <w:szCs w:val="9"/>
                <w:color w:val="auto"/>
              </w:rPr>
            </w:pPr>
          </w:p>
        </w:tc>
        <w:tc>
          <w:tcPr>
            <w:tcW w:w="16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680" w:type="dxa"/>
            <w:vAlign w:val="bottom"/>
            <w:tcBorders>
              <w:top w:val="single" w:sz="8" w:color="0000EE"/>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1340" w:type="dxa"/>
            <w:vAlign w:val="bottom"/>
            <w:tcBorders>
              <w:bottom w:val="single" w:sz="8" w:color="005C7D"/>
            </w:tcBorders>
          </w:tcPr>
          <w:p>
            <w:pPr>
              <w:spacing w:after="0"/>
              <w:rPr>
                <w:sz w:val="9"/>
                <w:szCs w:val="9"/>
                <w:color w:val="auto"/>
              </w:rPr>
            </w:pPr>
          </w:p>
        </w:tc>
        <w:tc>
          <w:tcPr>
            <w:tcW w:w="120" w:type="dxa"/>
            <w:vAlign w:val="bottom"/>
            <w:tcBorders>
              <w:bottom w:val="single" w:sz="8" w:color="005C7D"/>
            </w:tcBorders>
          </w:tcPr>
          <w:p>
            <w:pPr>
              <w:spacing w:after="0"/>
              <w:rPr>
                <w:sz w:val="9"/>
                <w:szCs w:val="9"/>
                <w:color w:val="auto"/>
              </w:rPr>
            </w:pPr>
          </w:p>
        </w:tc>
        <w:tc>
          <w:tcPr>
            <w:tcW w:w="440" w:type="dxa"/>
            <w:vAlign w:val="bottom"/>
            <w:tcBorders>
              <w:bottom w:val="single" w:sz="8" w:color="005C7D"/>
            </w:tcBorders>
          </w:tcPr>
          <w:p>
            <w:pPr>
              <w:spacing w:after="0"/>
              <w:rPr>
                <w:sz w:val="9"/>
                <w:szCs w:val="9"/>
                <w:color w:val="auto"/>
              </w:rPr>
            </w:pPr>
          </w:p>
        </w:tc>
        <w:tc>
          <w:tcPr>
            <w:tcW w:w="260" w:type="dxa"/>
            <w:vAlign w:val="bottom"/>
            <w:tcBorders>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c>
          <w:tcPr>
            <w:tcW w:w="100" w:type="dxa"/>
            <w:vAlign w:val="bottom"/>
            <w:tcBorders>
              <w:bottom w:val="single" w:sz="8" w:color="005C7D"/>
            </w:tcBorders>
          </w:tcPr>
          <w:p>
            <w:pPr>
              <w:spacing w:after="0"/>
              <w:rPr>
                <w:sz w:val="9"/>
                <w:szCs w:val="9"/>
                <w:color w:val="auto"/>
              </w:rPr>
            </w:pPr>
          </w:p>
        </w:tc>
        <w:tc>
          <w:tcPr>
            <w:tcW w:w="80" w:type="dxa"/>
            <w:vAlign w:val="bottom"/>
            <w:tcBorders>
              <w:top w:val="single" w:sz="8" w:color="0000EE"/>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r>
      <w:tr>
        <w:trPr>
          <w:trHeight w:val="250"/>
        </w:trPr>
        <w:tc>
          <w:tcPr>
            <w:tcW w:w="3320" w:type="dxa"/>
            <w:vAlign w:val="bottom"/>
            <w:tcBorders>
              <w:bottom w:val="single" w:sz="8" w:color="0000EE"/>
            </w:tcBorders>
            <w:gridSpan w:val="16"/>
          </w:tcPr>
          <w:p>
            <w:pPr>
              <w:spacing w:after="0"/>
              <w:rPr>
                <w:rFonts w:ascii="Arial" w:cs="Arial" w:eastAsia="Arial" w:hAnsi="Arial"/>
                <w:sz w:val="18"/>
                <w:szCs w:val="18"/>
                <w:b w:val="1"/>
                <w:bCs w:val="1"/>
                <w:color w:val="0000EE"/>
                <w:w w:val="99"/>
              </w:rPr>
            </w:pPr>
            <w:hyperlink w:anchor="page16">
              <w:r>
                <w:rPr>
                  <w:rFonts w:ascii="Arial" w:cs="Arial" w:eastAsia="Arial" w:hAnsi="Arial"/>
                  <w:sz w:val="18"/>
                  <w:szCs w:val="18"/>
                  <w:b w:val="1"/>
                  <w:bCs w:val="1"/>
                  <w:color w:val="0000EE"/>
                  <w:w w:val="99"/>
                </w:rPr>
                <w:t>PROPOSALS REQUIRING YOUR VOTE</w:t>
              </w:r>
            </w:hyperlink>
          </w:p>
        </w:tc>
        <w:tc>
          <w:tcPr>
            <w:tcW w:w="5940" w:type="dxa"/>
            <w:vAlign w:val="bottom"/>
            <w:gridSpan w:val="17"/>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10</w:t>
              </w:r>
            </w:hyperlink>
          </w:p>
        </w:tc>
        <w:tc>
          <w:tcPr>
            <w:tcW w:w="60" w:type="dxa"/>
            <w:vAlign w:val="bottom"/>
          </w:tcPr>
          <w:p>
            <w:pPr>
              <w:spacing w:after="0"/>
              <w:rPr>
                <w:sz w:val="21"/>
                <w:szCs w:val="21"/>
                <w:color w:val="auto"/>
              </w:rPr>
            </w:pPr>
          </w:p>
        </w:tc>
      </w:tr>
      <w:tr>
        <w:trPr>
          <w:trHeight w:val="223"/>
        </w:trPr>
        <w:tc>
          <w:tcPr>
            <w:tcW w:w="540" w:type="dxa"/>
            <w:vAlign w:val="bottom"/>
          </w:tcPr>
          <w:p>
            <w:pPr>
              <w:spacing w:after="0"/>
              <w:rPr>
                <w:sz w:val="19"/>
                <w:szCs w:val="19"/>
                <w:color w:val="auto"/>
              </w:rPr>
            </w:pPr>
          </w:p>
        </w:tc>
        <w:tc>
          <w:tcPr>
            <w:tcW w:w="8720" w:type="dxa"/>
            <w:vAlign w:val="bottom"/>
            <w:gridSpan w:val="3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Proposal 1 – Election of Directors</w:t>
              </w:r>
            </w:hyperlink>
          </w:p>
        </w:tc>
        <w:tc>
          <w:tcPr>
            <w:tcW w:w="24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10</w:t>
              </w:r>
            </w:hyperlink>
          </w:p>
        </w:tc>
        <w:tc>
          <w:tcPr>
            <w:tcW w:w="60" w:type="dxa"/>
            <w:vAlign w:val="bottom"/>
          </w:tcPr>
          <w:p>
            <w:pPr>
              <w:spacing w:after="0"/>
              <w:rPr>
                <w:sz w:val="19"/>
                <w:szCs w:val="19"/>
                <w:color w:val="auto"/>
              </w:rPr>
            </w:pPr>
          </w:p>
        </w:tc>
      </w:tr>
      <w:tr>
        <w:trPr>
          <w:trHeight w:val="20"/>
        </w:trPr>
        <w:tc>
          <w:tcPr>
            <w:tcW w:w="5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534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Proposal 2 – Selection of Independent Registered Public Accounting Firm</w:t>
              </w:r>
            </w:hyperlink>
          </w:p>
        </w:tc>
        <w:tc>
          <w:tcPr>
            <w:tcW w:w="3380" w:type="dxa"/>
            <w:vAlign w:val="bottom"/>
            <w:gridSpan w:val="9"/>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16</w:t>
              </w:r>
            </w:hyperlink>
          </w:p>
        </w:tc>
        <w:tc>
          <w:tcPr>
            <w:tcW w:w="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8720" w:type="dxa"/>
            <w:vAlign w:val="bottom"/>
            <w:gridSpan w:val="32"/>
          </w:tcPr>
          <w:p>
            <w:pPr>
              <w:spacing w:after="0"/>
              <w:rPr>
                <w:rFonts w:ascii="Arial" w:cs="Arial" w:eastAsia="Arial" w:hAnsi="Arial"/>
                <w:sz w:val="18"/>
                <w:szCs w:val="18"/>
                <w:color w:val="0000EE"/>
                <w:w w:val="95"/>
              </w:rPr>
            </w:pPr>
            <w:hyperlink w:anchor="page23">
              <w:r>
                <w:rPr>
                  <w:rFonts w:ascii="Arial" w:cs="Arial" w:eastAsia="Arial" w:hAnsi="Arial"/>
                  <w:sz w:val="18"/>
                  <w:szCs w:val="18"/>
                  <w:color w:val="0000EE"/>
                  <w:w w:val="95"/>
                </w:rPr>
                <w:t>Proposal 3 – Proposal to Amend L3’s Certificate of Incorporation to Eliminate All Provisions Requiring More Than a</w:t>
              </w:r>
            </w:hyperlink>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540" w:type="dxa"/>
            <w:vAlign w:val="bottom"/>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46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Simple Majority Vote</w:t>
              </w:r>
            </w:hyperlink>
          </w:p>
        </w:tc>
        <w:tc>
          <w:tcPr>
            <w:tcW w:w="260" w:type="dxa"/>
            <w:vAlign w:val="bottom"/>
          </w:tcPr>
          <w:p>
            <w:pPr>
              <w:spacing w:after="0"/>
              <w:rPr>
                <w:sz w:val="17"/>
                <w:szCs w:val="17"/>
                <w:color w:val="auto"/>
              </w:rPr>
            </w:pPr>
          </w:p>
        </w:tc>
        <w:tc>
          <w:tcPr>
            <w:tcW w:w="240" w:type="dxa"/>
            <w:vAlign w:val="bottom"/>
            <w:gridSpan w:val="3"/>
          </w:tcPr>
          <w:p>
            <w:pPr>
              <w:jc w:val="right"/>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17</w:t>
              </w:r>
            </w:hyperlink>
          </w:p>
        </w:tc>
        <w:tc>
          <w:tcPr>
            <w:tcW w:w="60" w:type="dxa"/>
            <w:vAlign w:val="bottom"/>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8720" w:type="dxa"/>
            <w:vAlign w:val="bottom"/>
            <w:gridSpan w:val="32"/>
          </w:tcPr>
          <w:p>
            <w:pPr>
              <w:spacing w:after="0"/>
              <w:rPr>
                <w:rFonts w:ascii="Arial" w:cs="Arial" w:eastAsia="Arial" w:hAnsi="Arial"/>
                <w:sz w:val="18"/>
                <w:szCs w:val="18"/>
                <w:color w:val="0000EE"/>
                <w:w w:val="98"/>
              </w:rPr>
            </w:pPr>
            <w:hyperlink w:anchor="page24">
              <w:r>
                <w:rPr>
                  <w:rFonts w:ascii="Arial" w:cs="Arial" w:eastAsia="Arial" w:hAnsi="Arial"/>
                  <w:sz w:val="18"/>
                  <w:szCs w:val="18"/>
                  <w:color w:val="0000EE"/>
                  <w:w w:val="98"/>
                </w:rPr>
                <w:t>Proposal 4 – Proposal to Approve the L3 Technologies, Inc. Amended and Restated 2012 Cash Incentive Plan</w:t>
              </w:r>
            </w:hyperlink>
          </w:p>
        </w:tc>
        <w:tc>
          <w:tcPr>
            <w:tcW w:w="24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18</w:t>
              </w:r>
            </w:hyperlink>
          </w:p>
        </w:tc>
        <w:tc>
          <w:tcPr>
            <w:tcW w:w="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7900" w:type="dxa"/>
            <w:vAlign w:val="bottom"/>
            <w:tcBorders>
              <w:top w:val="single" w:sz="8" w:color="0000EE"/>
            </w:tcBorders>
            <w:gridSpan w:val="2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Proposal 5 – Advisory (Non-Binding) Vote on Executive Compensation</w:t>
              </w:r>
            </w:hyperlink>
          </w:p>
        </w:tc>
        <w:tc>
          <w:tcPr>
            <w:tcW w:w="820" w:type="dxa"/>
            <w:vAlign w:val="bottom"/>
            <w:gridSpan w:val="3"/>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21</w:t>
              </w:r>
            </w:hyperlink>
          </w:p>
        </w:tc>
        <w:tc>
          <w:tcPr>
            <w:tcW w:w="60" w:type="dxa"/>
            <w:vAlign w:val="bottom"/>
          </w:tcPr>
          <w:p>
            <w:pPr>
              <w:spacing w:after="0"/>
              <w:rPr>
                <w:sz w:val="19"/>
                <w:szCs w:val="19"/>
                <w:color w:val="auto"/>
              </w:rPr>
            </w:pPr>
          </w:p>
        </w:tc>
      </w:tr>
      <w:tr>
        <w:trPr>
          <w:trHeight w:val="20"/>
        </w:trPr>
        <w:tc>
          <w:tcPr>
            <w:tcW w:w="5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8720" w:type="dxa"/>
            <w:vAlign w:val="bottom"/>
            <w:gridSpan w:val="32"/>
          </w:tcPr>
          <w:p>
            <w:pPr>
              <w:spacing w:after="0"/>
              <w:rPr>
                <w:rFonts w:ascii="Arial" w:cs="Arial" w:eastAsia="Arial" w:hAnsi="Arial"/>
                <w:sz w:val="18"/>
                <w:szCs w:val="18"/>
                <w:color w:val="0000EE"/>
                <w:w w:val="98"/>
              </w:rPr>
            </w:pPr>
            <w:hyperlink w:anchor="page29">
              <w:r>
                <w:rPr>
                  <w:rFonts w:ascii="Arial" w:cs="Arial" w:eastAsia="Arial" w:hAnsi="Arial"/>
                  <w:sz w:val="18"/>
                  <w:szCs w:val="18"/>
                  <w:color w:val="0000EE"/>
                  <w:w w:val="98"/>
                </w:rPr>
                <w:t>Proposal 6 – Advisory (Non-Binding) Vote on the Frequency of Shareholder Votes on Executive Compensation</w:t>
              </w:r>
            </w:hyperlink>
          </w:p>
        </w:tc>
        <w:tc>
          <w:tcPr>
            <w:tcW w:w="240" w:type="dxa"/>
            <w:vAlign w:val="bottom"/>
            <w:gridSpan w:val="3"/>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23</w:t>
              </w:r>
            </w:hyperlink>
          </w:p>
        </w:tc>
        <w:tc>
          <w:tcPr>
            <w:tcW w:w="60" w:type="dxa"/>
            <w:vAlign w:val="bottom"/>
          </w:tcPr>
          <w:p>
            <w:pPr>
              <w:spacing w:after="0"/>
              <w:rPr>
                <w:sz w:val="19"/>
                <w:szCs w:val="19"/>
                <w:color w:val="auto"/>
              </w:rPr>
            </w:pPr>
          </w:p>
        </w:tc>
      </w:tr>
      <w:tr>
        <w:trPr>
          <w:trHeight w:val="115"/>
        </w:trPr>
        <w:tc>
          <w:tcPr>
            <w:tcW w:w="540" w:type="dxa"/>
            <w:vAlign w:val="bottom"/>
            <w:tcBorders>
              <w:bottom w:val="single" w:sz="8" w:color="005C7D"/>
            </w:tcBorders>
          </w:tcPr>
          <w:p>
            <w:pPr>
              <w:spacing w:after="0"/>
              <w:rPr>
                <w:sz w:val="10"/>
                <w:szCs w:val="10"/>
                <w:color w:val="auto"/>
              </w:rPr>
            </w:pPr>
          </w:p>
        </w:tc>
        <w:tc>
          <w:tcPr>
            <w:tcW w:w="800" w:type="dxa"/>
            <w:vAlign w:val="bottom"/>
            <w:tcBorders>
              <w:top w:val="single" w:sz="8" w:color="0000EE"/>
              <w:bottom w:val="single" w:sz="8" w:color="005C7D"/>
            </w:tcBorders>
          </w:tcPr>
          <w:p>
            <w:pPr>
              <w:spacing w:after="0"/>
              <w:rPr>
                <w:sz w:val="10"/>
                <w:szCs w:val="10"/>
                <w:color w:val="auto"/>
              </w:rPr>
            </w:pPr>
          </w:p>
        </w:tc>
        <w:tc>
          <w:tcPr>
            <w:tcW w:w="200" w:type="dxa"/>
            <w:vAlign w:val="bottom"/>
            <w:tcBorders>
              <w:top w:val="single" w:sz="8" w:color="0000EE"/>
              <w:bottom w:val="single" w:sz="8" w:color="005C7D"/>
            </w:tcBorders>
          </w:tcPr>
          <w:p>
            <w:pPr>
              <w:spacing w:after="0"/>
              <w:rPr>
                <w:sz w:val="10"/>
                <w:szCs w:val="10"/>
                <w:color w:val="auto"/>
              </w:rPr>
            </w:pPr>
          </w:p>
        </w:tc>
        <w:tc>
          <w:tcPr>
            <w:tcW w:w="360" w:type="dxa"/>
            <w:vAlign w:val="bottom"/>
            <w:tcBorders>
              <w:top w:val="single" w:sz="8" w:color="0000EE"/>
              <w:bottom w:val="single" w:sz="8" w:color="005C7D"/>
            </w:tcBorders>
          </w:tcPr>
          <w:p>
            <w:pPr>
              <w:spacing w:after="0"/>
              <w:rPr>
                <w:sz w:val="10"/>
                <w:szCs w:val="10"/>
                <w:color w:val="auto"/>
              </w:rPr>
            </w:pPr>
          </w:p>
        </w:tc>
        <w:tc>
          <w:tcPr>
            <w:tcW w:w="100" w:type="dxa"/>
            <w:vAlign w:val="bottom"/>
            <w:tcBorders>
              <w:top w:val="single" w:sz="8" w:color="0000EE"/>
              <w:bottom w:val="single" w:sz="8" w:color="005C7D"/>
            </w:tcBorders>
          </w:tcPr>
          <w:p>
            <w:pPr>
              <w:spacing w:after="0"/>
              <w:rPr>
                <w:sz w:val="10"/>
                <w:szCs w:val="10"/>
                <w:color w:val="auto"/>
              </w:rPr>
            </w:pPr>
          </w:p>
        </w:tc>
        <w:tc>
          <w:tcPr>
            <w:tcW w:w="40" w:type="dxa"/>
            <w:vAlign w:val="bottom"/>
            <w:tcBorders>
              <w:top w:val="single" w:sz="8" w:color="0000EE"/>
              <w:bottom w:val="single" w:sz="8" w:color="005C7D"/>
            </w:tcBorders>
          </w:tcPr>
          <w:p>
            <w:pPr>
              <w:spacing w:after="0"/>
              <w:rPr>
                <w:sz w:val="10"/>
                <w:szCs w:val="10"/>
                <w:color w:val="auto"/>
              </w:rPr>
            </w:pPr>
          </w:p>
        </w:tc>
        <w:tc>
          <w:tcPr>
            <w:tcW w:w="580" w:type="dxa"/>
            <w:vAlign w:val="bottom"/>
            <w:tcBorders>
              <w:top w:val="single" w:sz="8" w:color="0000EE"/>
              <w:bottom w:val="single" w:sz="8" w:color="005C7D"/>
            </w:tcBorders>
          </w:tcPr>
          <w:p>
            <w:pPr>
              <w:spacing w:after="0"/>
              <w:rPr>
                <w:sz w:val="10"/>
                <w:szCs w:val="10"/>
                <w:color w:val="auto"/>
              </w:rPr>
            </w:pPr>
          </w:p>
        </w:tc>
        <w:tc>
          <w:tcPr>
            <w:tcW w:w="160" w:type="dxa"/>
            <w:vAlign w:val="bottom"/>
            <w:tcBorders>
              <w:top w:val="single" w:sz="8" w:color="0000EE"/>
              <w:bottom w:val="single" w:sz="8" w:color="005C7D"/>
            </w:tcBorders>
          </w:tcPr>
          <w:p>
            <w:pPr>
              <w:spacing w:after="0"/>
              <w:rPr>
                <w:sz w:val="10"/>
                <w:szCs w:val="10"/>
                <w:color w:val="auto"/>
              </w:rPr>
            </w:pPr>
          </w:p>
        </w:tc>
        <w:tc>
          <w:tcPr>
            <w:tcW w:w="20" w:type="dxa"/>
            <w:vAlign w:val="bottom"/>
            <w:tcBorders>
              <w:top w:val="single" w:sz="8" w:color="0000EE"/>
              <w:bottom w:val="single" w:sz="8" w:color="005C7D"/>
            </w:tcBorders>
          </w:tcPr>
          <w:p>
            <w:pPr>
              <w:spacing w:after="0"/>
              <w:rPr>
                <w:sz w:val="10"/>
                <w:szCs w:val="10"/>
                <w:color w:val="auto"/>
              </w:rPr>
            </w:pPr>
          </w:p>
        </w:tc>
        <w:tc>
          <w:tcPr>
            <w:tcW w:w="60" w:type="dxa"/>
            <w:vAlign w:val="bottom"/>
            <w:tcBorders>
              <w:top w:val="single" w:sz="8" w:color="0000EE"/>
              <w:bottom w:val="single" w:sz="8" w:color="005C7D"/>
            </w:tcBorders>
          </w:tcPr>
          <w:p>
            <w:pPr>
              <w:spacing w:after="0"/>
              <w:rPr>
                <w:sz w:val="10"/>
                <w:szCs w:val="10"/>
                <w:color w:val="auto"/>
              </w:rPr>
            </w:pPr>
          </w:p>
        </w:tc>
        <w:tc>
          <w:tcPr>
            <w:tcW w:w="120" w:type="dxa"/>
            <w:vAlign w:val="bottom"/>
            <w:tcBorders>
              <w:top w:val="single" w:sz="8" w:color="0000EE"/>
              <w:bottom w:val="single" w:sz="8" w:color="005C7D"/>
            </w:tcBorders>
          </w:tcPr>
          <w:p>
            <w:pPr>
              <w:spacing w:after="0"/>
              <w:rPr>
                <w:sz w:val="10"/>
                <w:szCs w:val="10"/>
                <w:color w:val="auto"/>
              </w:rPr>
            </w:pPr>
          </w:p>
        </w:tc>
        <w:tc>
          <w:tcPr>
            <w:tcW w:w="100" w:type="dxa"/>
            <w:vAlign w:val="bottom"/>
            <w:tcBorders>
              <w:top w:val="single" w:sz="8" w:color="0000EE"/>
              <w:bottom w:val="single" w:sz="8" w:color="005C7D"/>
            </w:tcBorders>
          </w:tcPr>
          <w:p>
            <w:pPr>
              <w:spacing w:after="0"/>
              <w:rPr>
                <w:sz w:val="10"/>
                <w:szCs w:val="10"/>
                <w:color w:val="auto"/>
              </w:rPr>
            </w:pPr>
          </w:p>
        </w:tc>
        <w:tc>
          <w:tcPr>
            <w:tcW w:w="140" w:type="dxa"/>
            <w:vAlign w:val="bottom"/>
            <w:tcBorders>
              <w:top w:val="single" w:sz="8" w:color="0000EE"/>
              <w:bottom w:val="single" w:sz="8" w:color="005C7D"/>
            </w:tcBorders>
          </w:tcPr>
          <w:p>
            <w:pPr>
              <w:spacing w:after="0"/>
              <w:rPr>
                <w:sz w:val="10"/>
                <w:szCs w:val="10"/>
                <w:color w:val="auto"/>
              </w:rPr>
            </w:pPr>
          </w:p>
        </w:tc>
        <w:tc>
          <w:tcPr>
            <w:tcW w:w="40" w:type="dxa"/>
            <w:vAlign w:val="bottom"/>
            <w:tcBorders>
              <w:top w:val="single" w:sz="8" w:color="0000EE"/>
              <w:bottom w:val="single" w:sz="8" w:color="005C7D"/>
            </w:tcBorders>
          </w:tcPr>
          <w:p>
            <w:pPr>
              <w:spacing w:after="0"/>
              <w:rPr>
                <w:sz w:val="10"/>
                <w:szCs w:val="10"/>
                <w:color w:val="auto"/>
              </w:rPr>
            </w:pPr>
          </w:p>
        </w:tc>
        <w:tc>
          <w:tcPr>
            <w:tcW w:w="40" w:type="dxa"/>
            <w:vAlign w:val="bottom"/>
            <w:tcBorders>
              <w:top w:val="single" w:sz="8" w:color="0000EE"/>
              <w:bottom w:val="single" w:sz="8" w:color="005C7D"/>
            </w:tcBorders>
          </w:tcPr>
          <w:p>
            <w:pPr>
              <w:spacing w:after="0"/>
              <w:rPr>
                <w:sz w:val="10"/>
                <w:szCs w:val="10"/>
                <w:color w:val="auto"/>
              </w:rPr>
            </w:pPr>
          </w:p>
        </w:tc>
        <w:tc>
          <w:tcPr>
            <w:tcW w:w="20" w:type="dxa"/>
            <w:vAlign w:val="bottom"/>
            <w:tcBorders>
              <w:top w:val="single" w:sz="8" w:color="0000EE"/>
              <w:bottom w:val="single" w:sz="8" w:color="005C7D"/>
            </w:tcBorders>
          </w:tcPr>
          <w:p>
            <w:pPr>
              <w:spacing w:after="0"/>
              <w:rPr>
                <w:sz w:val="10"/>
                <w:szCs w:val="10"/>
                <w:color w:val="auto"/>
              </w:rPr>
            </w:pPr>
          </w:p>
        </w:tc>
        <w:tc>
          <w:tcPr>
            <w:tcW w:w="460" w:type="dxa"/>
            <w:vAlign w:val="bottom"/>
            <w:tcBorders>
              <w:top w:val="single" w:sz="8" w:color="0000EE"/>
              <w:bottom w:val="single" w:sz="8" w:color="005C7D"/>
            </w:tcBorders>
          </w:tcPr>
          <w:p>
            <w:pPr>
              <w:spacing w:after="0"/>
              <w:rPr>
                <w:sz w:val="10"/>
                <w:szCs w:val="10"/>
                <w:color w:val="auto"/>
              </w:rPr>
            </w:pPr>
          </w:p>
        </w:tc>
        <w:tc>
          <w:tcPr>
            <w:tcW w:w="60" w:type="dxa"/>
            <w:vAlign w:val="bottom"/>
            <w:tcBorders>
              <w:top w:val="single" w:sz="8" w:color="0000EE"/>
              <w:bottom w:val="single" w:sz="8" w:color="005C7D"/>
            </w:tcBorders>
          </w:tcPr>
          <w:p>
            <w:pPr>
              <w:spacing w:after="0"/>
              <w:rPr>
                <w:sz w:val="10"/>
                <w:szCs w:val="10"/>
                <w:color w:val="auto"/>
              </w:rPr>
            </w:pPr>
          </w:p>
        </w:tc>
        <w:tc>
          <w:tcPr>
            <w:tcW w:w="140" w:type="dxa"/>
            <w:vAlign w:val="bottom"/>
            <w:tcBorders>
              <w:top w:val="single" w:sz="8" w:color="0000EE"/>
              <w:bottom w:val="single" w:sz="8" w:color="005C7D"/>
            </w:tcBorders>
          </w:tcPr>
          <w:p>
            <w:pPr>
              <w:spacing w:after="0"/>
              <w:rPr>
                <w:sz w:val="10"/>
                <w:szCs w:val="10"/>
                <w:color w:val="auto"/>
              </w:rPr>
            </w:pPr>
          </w:p>
        </w:tc>
        <w:tc>
          <w:tcPr>
            <w:tcW w:w="1160" w:type="dxa"/>
            <w:vAlign w:val="bottom"/>
            <w:tcBorders>
              <w:top w:val="single" w:sz="8" w:color="0000EE"/>
              <w:bottom w:val="single" w:sz="8" w:color="005C7D"/>
            </w:tcBorders>
          </w:tcPr>
          <w:p>
            <w:pPr>
              <w:spacing w:after="0"/>
              <w:rPr>
                <w:sz w:val="10"/>
                <w:szCs w:val="10"/>
                <w:color w:val="auto"/>
              </w:rPr>
            </w:pPr>
          </w:p>
        </w:tc>
        <w:tc>
          <w:tcPr>
            <w:tcW w:w="100" w:type="dxa"/>
            <w:vAlign w:val="bottom"/>
            <w:tcBorders>
              <w:top w:val="single" w:sz="8" w:color="0000EE"/>
              <w:bottom w:val="single" w:sz="8" w:color="005C7D"/>
            </w:tcBorders>
          </w:tcPr>
          <w:p>
            <w:pPr>
              <w:spacing w:after="0"/>
              <w:rPr>
                <w:sz w:val="10"/>
                <w:szCs w:val="10"/>
                <w:color w:val="auto"/>
              </w:rPr>
            </w:pPr>
          </w:p>
        </w:tc>
        <w:tc>
          <w:tcPr>
            <w:tcW w:w="460" w:type="dxa"/>
            <w:vAlign w:val="bottom"/>
            <w:tcBorders>
              <w:top w:val="single" w:sz="8" w:color="0000EE"/>
              <w:bottom w:val="single" w:sz="8" w:color="005C7D"/>
            </w:tcBorders>
          </w:tcPr>
          <w:p>
            <w:pPr>
              <w:spacing w:after="0"/>
              <w:rPr>
                <w:sz w:val="10"/>
                <w:szCs w:val="10"/>
                <w:color w:val="auto"/>
              </w:rPr>
            </w:pPr>
          </w:p>
        </w:tc>
        <w:tc>
          <w:tcPr>
            <w:tcW w:w="100" w:type="dxa"/>
            <w:vAlign w:val="bottom"/>
            <w:tcBorders>
              <w:top w:val="single" w:sz="8" w:color="0000EE"/>
              <w:bottom w:val="single" w:sz="8" w:color="005C7D"/>
            </w:tcBorders>
          </w:tcPr>
          <w:p>
            <w:pPr>
              <w:spacing w:after="0"/>
              <w:rPr>
                <w:sz w:val="10"/>
                <w:szCs w:val="10"/>
                <w:color w:val="auto"/>
              </w:rPr>
            </w:pPr>
          </w:p>
        </w:tc>
        <w:tc>
          <w:tcPr>
            <w:tcW w:w="80" w:type="dxa"/>
            <w:vAlign w:val="bottom"/>
            <w:tcBorders>
              <w:top w:val="single" w:sz="8" w:color="0000EE"/>
              <w:bottom w:val="single" w:sz="8" w:color="005C7D"/>
            </w:tcBorders>
          </w:tcPr>
          <w:p>
            <w:pPr>
              <w:spacing w:after="0"/>
              <w:rPr>
                <w:sz w:val="10"/>
                <w:szCs w:val="10"/>
                <w:color w:val="auto"/>
              </w:rPr>
            </w:pPr>
          </w:p>
        </w:tc>
        <w:tc>
          <w:tcPr>
            <w:tcW w:w="160" w:type="dxa"/>
            <w:vAlign w:val="bottom"/>
            <w:tcBorders>
              <w:top w:val="single" w:sz="8" w:color="0000EE"/>
              <w:bottom w:val="single" w:sz="8" w:color="005C7D"/>
            </w:tcBorders>
          </w:tcPr>
          <w:p>
            <w:pPr>
              <w:spacing w:after="0"/>
              <w:rPr>
                <w:sz w:val="10"/>
                <w:szCs w:val="10"/>
                <w:color w:val="auto"/>
              </w:rPr>
            </w:pPr>
          </w:p>
        </w:tc>
        <w:tc>
          <w:tcPr>
            <w:tcW w:w="40" w:type="dxa"/>
            <w:vAlign w:val="bottom"/>
            <w:tcBorders>
              <w:top w:val="single" w:sz="8" w:color="0000EE"/>
              <w:bottom w:val="single" w:sz="8" w:color="005C7D"/>
            </w:tcBorders>
          </w:tcPr>
          <w:p>
            <w:pPr>
              <w:spacing w:after="0"/>
              <w:rPr>
                <w:sz w:val="10"/>
                <w:szCs w:val="10"/>
                <w:color w:val="auto"/>
              </w:rPr>
            </w:pPr>
          </w:p>
        </w:tc>
        <w:tc>
          <w:tcPr>
            <w:tcW w:w="100" w:type="dxa"/>
            <w:vAlign w:val="bottom"/>
            <w:tcBorders>
              <w:top w:val="single" w:sz="8" w:color="0000EE"/>
              <w:bottom w:val="single" w:sz="8" w:color="005C7D"/>
            </w:tcBorders>
          </w:tcPr>
          <w:p>
            <w:pPr>
              <w:spacing w:after="0"/>
              <w:rPr>
                <w:sz w:val="10"/>
                <w:szCs w:val="10"/>
                <w:color w:val="auto"/>
              </w:rPr>
            </w:pPr>
          </w:p>
        </w:tc>
        <w:tc>
          <w:tcPr>
            <w:tcW w:w="680" w:type="dxa"/>
            <w:vAlign w:val="bottom"/>
            <w:tcBorders>
              <w:top w:val="single" w:sz="8" w:color="0000EE"/>
              <w:bottom w:val="single" w:sz="8" w:color="005C7D"/>
            </w:tcBorders>
          </w:tcPr>
          <w:p>
            <w:pPr>
              <w:spacing w:after="0"/>
              <w:rPr>
                <w:sz w:val="10"/>
                <w:szCs w:val="10"/>
                <w:color w:val="auto"/>
              </w:rPr>
            </w:pPr>
          </w:p>
        </w:tc>
        <w:tc>
          <w:tcPr>
            <w:tcW w:w="240" w:type="dxa"/>
            <w:vAlign w:val="bottom"/>
            <w:tcBorders>
              <w:top w:val="single" w:sz="8" w:color="0000EE"/>
              <w:bottom w:val="single" w:sz="8" w:color="005C7D"/>
            </w:tcBorders>
          </w:tcPr>
          <w:p>
            <w:pPr>
              <w:spacing w:after="0"/>
              <w:rPr>
                <w:sz w:val="10"/>
                <w:szCs w:val="10"/>
                <w:color w:val="auto"/>
              </w:rPr>
            </w:pPr>
          </w:p>
        </w:tc>
        <w:tc>
          <w:tcPr>
            <w:tcW w:w="1340" w:type="dxa"/>
            <w:vAlign w:val="bottom"/>
            <w:tcBorders>
              <w:top w:val="single" w:sz="8" w:color="0000EE"/>
              <w:bottom w:val="single" w:sz="8" w:color="005C7D"/>
            </w:tcBorders>
          </w:tcPr>
          <w:p>
            <w:pPr>
              <w:spacing w:after="0"/>
              <w:rPr>
                <w:sz w:val="10"/>
                <w:szCs w:val="10"/>
                <w:color w:val="auto"/>
              </w:rPr>
            </w:pPr>
          </w:p>
        </w:tc>
        <w:tc>
          <w:tcPr>
            <w:tcW w:w="120" w:type="dxa"/>
            <w:vAlign w:val="bottom"/>
            <w:tcBorders>
              <w:top w:val="single" w:sz="8" w:color="0000EE"/>
              <w:bottom w:val="single" w:sz="8" w:color="005C7D"/>
            </w:tcBorders>
          </w:tcPr>
          <w:p>
            <w:pPr>
              <w:spacing w:after="0"/>
              <w:rPr>
                <w:sz w:val="10"/>
                <w:szCs w:val="10"/>
                <w:color w:val="auto"/>
              </w:rPr>
            </w:pPr>
          </w:p>
        </w:tc>
        <w:tc>
          <w:tcPr>
            <w:tcW w:w="440" w:type="dxa"/>
            <w:vAlign w:val="bottom"/>
            <w:tcBorders>
              <w:bottom w:val="single" w:sz="8" w:color="005C7D"/>
            </w:tcBorders>
          </w:tcPr>
          <w:p>
            <w:pPr>
              <w:spacing w:after="0"/>
              <w:rPr>
                <w:sz w:val="10"/>
                <w:szCs w:val="10"/>
                <w:color w:val="auto"/>
              </w:rPr>
            </w:pPr>
          </w:p>
        </w:tc>
        <w:tc>
          <w:tcPr>
            <w:tcW w:w="260" w:type="dxa"/>
            <w:vAlign w:val="bottom"/>
            <w:tcBorders>
              <w:bottom w:val="single" w:sz="8" w:color="005C7D"/>
            </w:tcBorders>
          </w:tcPr>
          <w:p>
            <w:pPr>
              <w:spacing w:after="0"/>
              <w:rPr>
                <w:sz w:val="10"/>
                <w:szCs w:val="10"/>
                <w:color w:val="auto"/>
              </w:rPr>
            </w:pPr>
          </w:p>
        </w:tc>
        <w:tc>
          <w:tcPr>
            <w:tcW w:w="60" w:type="dxa"/>
            <w:vAlign w:val="bottom"/>
            <w:tcBorders>
              <w:bottom w:val="single" w:sz="8" w:color="005C7D"/>
            </w:tcBorders>
          </w:tcPr>
          <w:p>
            <w:pPr>
              <w:spacing w:after="0"/>
              <w:rPr>
                <w:sz w:val="10"/>
                <w:szCs w:val="10"/>
                <w:color w:val="auto"/>
              </w:rPr>
            </w:pPr>
          </w:p>
        </w:tc>
        <w:tc>
          <w:tcPr>
            <w:tcW w:w="100" w:type="dxa"/>
            <w:vAlign w:val="bottom"/>
            <w:tcBorders>
              <w:top w:val="single" w:sz="8" w:color="0000EE"/>
              <w:bottom w:val="single" w:sz="8" w:color="005C7D"/>
            </w:tcBorders>
          </w:tcPr>
          <w:p>
            <w:pPr>
              <w:spacing w:after="0"/>
              <w:rPr>
                <w:sz w:val="10"/>
                <w:szCs w:val="10"/>
                <w:color w:val="auto"/>
              </w:rPr>
            </w:pPr>
          </w:p>
        </w:tc>
        <w:tc>
          <w:tcPr>
            <w:tcW w:w="80" w:type="dxa"/>
            <w:vAlign w:val="bottom"/>
            <w:tcBorders>
              <w:top w:val="single" w:sz="8" w:color="0000EE"/>
              <w:bottom w:val="single" w:sz="8" w:color="005C7D"/>
            </w:tcBorders>
          </w:tcPr>
          <w:p>
            <w:pPr>
              <w:spacing w:after="0"/>
              <w:rPr>
                <w:sz w:val="10"/>
                <w:szCs w:val="10"/>
                <w:color w:val="auto"/>
              </w:rPr>
            </w:pPr>
          </w:p>
        </w:tc>
        <w:tc>
          <w:tcPr>
            <w:tcW w:w="60" w:type="dxa"/>
            <w:vAlign w:val="bottom"/>
            <w:tcBorders>
              <w:bottom w:val="single" w:sz="8" w:color="005C7D"/>
            </w:tcBorders>
          </w:tcPr>
          <w:p>
            <w:pPr>
              <w:spacing w:after="0"/>
              <w:rPr>
                <w:sz w:val="10"/>
                <w:szCs w:val="10"/>
                <w:color w:val="auto"/>
              </w:rPr>
            </w:pPr>
          </w:p>
        </w:tc>
      </w:tr>
      <w:tr>
        <w:trPr>
          <w:trHeight w:val="250"/>
        </w:trPr>
        <w:tc>
          <w:tcPr>
            <w:tcW w:w="6040" w:type="dxa"/>
            <w:vAlign w:val="bottom"/>
            <w:tcBorders>
              <w:bottom w:val="single" w:sz="8" w:color="0000EE"/>
            </w:tcBorders>
            <w:gridSpan w:val="25"/>
          </w:tcPr>
          <w:p>
            <w:pPr>
              <w:spacing w:after="0"/>
              <w:rPr>
                <w:rFonts w:ascii="Arial" w:cs="Arial" w:eastAsia="Arial" w:hAnsi="Arial"/>
                <w:sz w:val="18"/>
                <w:szCs w:val="18"/>
                <w:b w:val="1"/>
                <w:bCs w:val="1"/>
                <w:color w:val="0000EE"/>
                <w:w w:val="99"/>
              </w:rPr>
            </w:pPr>
            <w:hyperlink w:anchor="page30">
              <w:r>
                <w:rPr>
                  <w:rFonts w:ascii="Arial" w:cs="Arial" w:eastAsia="Arial" w:hAnsi="Arial"/>
                  <w:sz w:val="18"/>
                  <w:szCs w:val="18"/>
                  <w:b w:val="1"/>
                  <w:bCs w:val="1"/>
                  <w:color w:val="0000EE"/>
                  <w:w w:val="99"/>
                </w:rPr>
                <w:t>THE BOARD OF DIRECTORS AND CERTAIN GOVERNANCE MATTERS</w:t>
              </w:r>
            </w:hyperlink>
          </w:p>
        </w:tc>
        <w:tc>
          <w:tcPr>
            <w:tcW w:w="3220" w:type="dxa"/>
            <w:vAlign w:val="bottom"/>
            <w:gridSpan w:val="8"/>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24</w:t>
              </w:r>
            </w:hyperlink>
          </w:p>
        </w:tc>
        <w:tc>
          <w:tcPr>
            <w:tcW w:w="60" w:type="dxa"/>
            <w:vAlign w:val="bottom"/>
          </w:tcPr>
          <w:p>
            <w:pPr>
              <w:spacing w:after="0"/>
              <w:rPr>
                <w:sz w:val="21"/>
                <w:szCs w:val="21"/>
                <w:color w:val="auto"/>
              </w:rPr>
            </w:pPr>
          </w:p>
        </w:tc>
      </w:tr>
      <w:tr>
        <w:trPr>
          <w:trHeight w:val="223"/>
        </w:trPr>
        <w:tc>
          <w:tcPr>
            <w:tcW w:w="540" w:type="dxa"/>
            <w:vAlign w:val="bottom"/>
          </w:tcPr>
          <w:p>
            <w:pPr>
              <w:spacing w:after="0"/>
              <w:rPr>
                <w:sz w:val="19"/>
                <w:szCs w:val="19"/>
                <w:color w:val="auto"/>
              </w:rPr>
            </w:pPr>
          </w:p>
        </w:tc>
        <w:tc>
          <w:tcPr>
            <w:tcW w:w="15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Leadership Structure</w:t>
              </w:r>
            </w:hyperlink>
          </w:p>
        </w:tc>
        <w:tc>
          <w:tcPr>
            <w:tcW w:w="7220" w:type="dxa"/>
            <w:vAlign w:val="bottom"/>
            <w:gridSpan w:val="27"/>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24</w:t>
              </w:r>
            </w:hyperlink>
          </w:p>
        </w:tc>
        <w:tc>
          <w:tcPr>
            <w:tcW w:w="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100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31">
              <w:r>
                <w:rPr>
                  <w:rFonts w:ascii="Arial" w:cs="Arial" w:eastAsia="Arial" w:hAnsi="Arial"/>
                  <w:sz w:val="18"/>
                  <w:szCs w:val="18"/>
                  <w:color w:val="0000EE"/>
                  <w:w w:val="84"/>
                </w:rPr>
                <w:t>Independence</w:t>
              </w:r>
            </w:hyperlink>
          </w:p>
        </w:tc>
        <w:tc>
          <w:tcPr>
            <w:tcW w:w="7720" w:type="dxa"/>
            <w:vAlign w:val="bottom"/>
            <w:gridSpan w:val="30"/>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25</w:t>
              </w:r>
            </w:hyperlink>
          </w:p>
        </w:tc>
        <w:tc>
          <w:tcPr>
            <w:tcW w:w="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23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Board of Directors Composition</w:t>
              </w:r>
            </w:hyperlink>
          </w:p>
        </w:tc>
        <w:tc>
          <w:tcPr>
            <w:tcW w:w="6400" w:type="dxa"/>
            <w:vAlign w:val="bottom"/>
            <w:gridSpan w:val="23"/>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26</w:t>
              </w:r>
            </w:hyperlink>
          </w:p>
        </w:tc>
        <w:tc>
          <w:tcPr>
            <w:tcW w:w="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272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Committees of the Board of Directors</w:t>
              </w:r>
            </w:hyperlink>
          </w:p>
        </w:tc>
        <w:tc>
          <w:tcPr>
            <w:tcW w:w="6000" w:type="dxa"/>
            <w:vAlign w:val="bottom"/>
            <w:gridSpan w:val="19"/>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27</w:t>
              </w:r>
            </w:hyperlink>
          </w:p>
        </w:tc>
        <w:tc>
          <w:tcPr>
            <w:tcW w:w="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33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Compensation Committee Use of Consultants</w:t>
              </w:r>
            </w:hyperlink>
          </w:p>
        </w:tc>
        <w:tc>
          <w:tcPr>
            <w:tcW w:w="5420" w:type="dxa"/>
            <w:vAlign w:val="bottom"/>
            <w:gridSpan w:val="15"/>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31</w:t>
              </w:r>
            </w:hyperlink>
          </w:p>
        </w:tc>
        <w:tc>
          <w:tcPr>
            <w:tcW w:w="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22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Oversight of Risk Management</w:t>
              </w:r>
            </w:hyperlink>
          </w:p>
        </w:tc>
        <w:tc>
          <w:tcPr>
            <w:tcW w:w="6460" w:type="dxa"/>
            <w:vAlign w:val="bottom"/>
            <w:gridSpan w:val="24"/>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32</w:t>
              </w:r>
            </w:hyperlink>
          </w:p>
        </w:tc>
        <w:tc>
          <w:tcPr>
            <w:tcW w:w="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8720" w:type="dxa"/>
            <w:vAlign w:val="bottom"/>
            <w:gridSpan w:val="3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Political Contributions and Lobbying</w:t>
              </w:r>
            </w:hyperlink>
          </w:p>
        </w:tc>
        <w:tc>
          <w:tcPr>
            <w:tcW w:w="24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33</w:t>
              </w:r>
            </w:hyperlink>
          </w:p>
        </w:tc>
        <w:tc>
          <w:tcPr>
            <w:tcW w:w="60" w:type="dxa"/>
            <w:vAlign w:val="bottom"/>
          </w:tcPr>
          <w:p>
            <w:pPr>
              <w:spacing w:after="0"/>
              <w:rPr>
                <w:sz w:val="19"/>
                <w:szCs w:val="19"/>
                <w:color w:val="auto"/>
              </w:rPr>
            </w:pPr>
          </w:p>
        </w:tc>
      </w:tr>
      <w:tr>
        <w:trPr>
          <w:trHeight w:val="115"/>
        </w:trPr>
        <w:tc>
          <w:tcPr>
            <w:tcW w:w="540" w:type="dxa"/>
            <w:vAlign w:val="bottom"/>
            <w:tcBorders>
              <w:bottom w:val="single" w:sz="8" w:color="005C7D"/>
            </w:tcBorders>
          </w:tcPr>
          <w:p>
            <w:pPr>
              <w:spacing w:after="0"/>
              <w:rPr>
                <w:sz w:val="10"/>
                <w:szCs w:val="10"/>
                <w:color w:val="auto"/>
              </w:rPr>
            </w:pPr>
          </w:p>
        </w:tc>
        <w:tc>
          <w:tcPr>
            <w:tcW w:w="800" w:type="dxa"/>
            <w:vAlign w:val="bottom"/>
            <w:tcBorders>
              <w:top w:val="single" w:sz="8" w:color="0000EE"/>
              <w:bottom w:val="single" w:sz="8" w:color="005C7D"/>
            </w:tcBorders>
          </w:tcPr>
          <w:p>
            <w:pPr>
              <w:spacing w:after="0"/>
              <w:rPr>
                <w:sz w:val="10"/>
                <w:szCs w:val="10"/>
                <w:color w:val="auto"/>
              </w:rPr>
            </w:pPr>
          </w:p>
        </w:tc>
        <w:tc>
          <w:tcPr>
            <w:tcW w:w="200" w:type="dxa"/>
            <w:vAlign w:val="bottom"/>
            <w:tcBorders>
              <w:top w:val="single" w:sz="8" w:color="0000EE"/>
              <w:bottom w:val="single" w:sz="8" w:color="005C7D"/>
            </w:tcBorders>
          </w:tcPr>
          <w:p>
            <w:pPr>
              <w:spacing w:after="0"/>
              <w:rPr>
                <w:sz w:val="10"/>
                <w:szCs w:val="10"/>
                <w:color w:val="auto"/>
              </w:rPr>
            </w:pPr>
          </w:p>
        </w:tc>
        <w:tc>
          <w:tcPr>
            <w:tcW w:w="360" w:type="dxa"/>
            <w:vAlign w:val="bottom"/>
            <w:tcBorders>
              <w:top w:val="single" w:sz="8" w:color="0000EE"/>
              <w:bottom w:val="single" w:sz="8" w:color="005C7D"/>
            </w:tcBorders>
          </w:tcPr>
          <w:p>
            <w:pPr>
              <w:spacing w:after="0"/>
              <w:rPr>
                <w:sz w:val="10"/>
                <w:szCs w:val="10"/>
                <w:color w:val="auto"/>
              </w:rPr>
            </w:pPr>
          </w:p>
        </w:tc>
        <w:tc>
          <w:tcPr>
            <w:tcW w:w="100" w:type="dxa"/>
            <w:vAlign w:val="bottom"/>
            <w:tcBorders>
              <w:top w:val="single" w:sz="8" w:color="0000EE"/>
              <w:bottom w:val="single" w:sz="8" w:color="005C7D"/>
            </w:tcBorders>
          </w:tcPr>
          <w:p>
            <w:pPr>
              <w:spacing w:after="0"/>
              <w:rPr>
                <w:sz w:val="10"/>
                <w:szCs w:val="10"/>
                <w:color w:val="auto"/>
              </w:rPr>
            </w:pPr>
          </w:p>
        </w:tc>
        <w:tc>
          <w:tcPr>
            <w:tcW w:w="40" w:type="dxa"/>
            <w:vAlign w:val="bottom"/>
            <w:tcBorders>
              <w:top w:val="single" w:sz="8" w:color="0000EE"/>
              <w:bottom w:val="single" w:sz="8" w:color="005C7D"/>
            </w:tcBorders>
          </w:tcPr>
          <w:p>
            <w:pPr>
              <w:spacing w:after="0"/>
              <w:rPr>
                <w:sz w:val="10"/>
                <w:szCs w:val="10"/>
                <w:color w:val="auto"/>
              </w:rPr>
            </w:pPr>
          </w:p>
        </w:tc>
        <w:tc>
          <w:tcPr>
            <w:tcW w:w="580" w:type="dxa"/>
            <w:vAlign w:val="bottom"/>
            <w:tcBorders>
              <w:top w:val="single" w:sz="8" w:color="0000EE"/>
              <w:bottom w:val="single" w:sz="8" w:color="005C7D"/>
            </w:tcBorders>
          </w:tcPr>
          <w:p>
            <w:pPr>
              <w:spacing w:after="0"/>
              <w:rPr>
                <w:sz w:val="10"/>
                <w:szCs w:val="10"/>
                <w:color w:val="auto"/>
              </w:rPr>
            </w:pPr>
          </w:p>
        </w:tc>
        <w:tc>
          <w:tcPr>
            <w:tcW w:w="160" w:type="dxa"/>
            <w:vAlign w:val="bottom"/>
            <w:tcBorders>
              <w:top w:val="single" w:sz="8" w:color="0000EE"/>
              <w:bottom w:val="single" w:sz="8" w:color="005C7D"/>
            </w:tcBorders>
          </w:tcPr>
          <w:p>
            <w:pPr>
              <w:spacing w:after="0"/>
              <w:rPr>
                <w:sz w:val="10"/>
                <w:szCs w:val="10"/>
                <w:color w:val="auto"/>
              </w:rPr>
            </w:pPr>
          </w:p>
        </w:tc>
        <w:tc>
          <w:tcPr>
            <w:tcW w:w="20" w:type="dxa"/>
            <w:vAlign w:val="bottom"/>
            <w:tcBorders>
              <w:top w:val="single" w:sz="8" w:color="0000EE"/>
              <w:bottom w:val="single" w:sz="8" w:color="005C7D"/>
            </w:tcBorders>
          </w:tcPr>
          <w:p>
            <w:pPr>
              <w:spacing w:after="0"/>
              <w:rPr>
                <w:sz w:val="10"/>
                <w:szCs w:val="10"/>
                <w:color w:val="auto"/>
              </w:rPr>
            </w:pPr>
          </w:p>
        </w:tc>
        <w:tc>
          <w:tcPr>
            <w:tcW w:w="60" w:type="dxa"/>
            <w:vAlign w:val="bottom"/>
            <w:tcBorders>
              <w:top w:val="single" w:sz="8" w:color="0000EE"/>
              <w:bottom w:val="single" w:sz="8" w:color="005C7D"/>
            </w:tcBorders>
          </w:tcPr>
          <w:p>
            <w:pPr>
              <w:spacing w:after="0"/>
              <w:rPr>
                <w:sz w:val="10"/>
                <w:szCs w:val="10"/>
                <w:color w:val="auto"/>
              </w:rPr>
            </w:pPr>
          </w:p>
        </w:tc>
        <w:tc>
          <w:tcPr>
            <w:tcW w:w="120" w:type="dxa"/>
            <w:vAlign w:val="bottom"/>
            <w:tcBorders>
              <w:top w:val="single" w:sz="8" w:color="0000EE"/>
              <w:bottom w:val="single" w:sz="8" w:color="005C7D"/>
            </w:tcBorders>
          </w:tcPr>
          <w:p>
            <w:pPr>
              <w:spacing w:after="0"/>
              <w:rPr>
                <w:sz w:val="10"/>
                <w:szCs w:val="10"/>
                <w:color w:val="auto"/>
              </w:rPr>
            </w:pPr>
          </w:p>
        </w:tc>
        <w:tc>
          <w:tcPr>
            <w:tcW w:w="100" w:type="dxa"/>
            <w:vAlign w:val="bottom"/>
            <w:tcBorders>
              <w:top w:val="single" w:sz="8" w:color="0000EE"/>
              <w:bottom w:val="single" w:sz="8" w:color="005C7D"/>
            </w:tcBorders>
          </w:tcPr>
          <w:p>
            <w:pPr>
              <w:spacing w:after="0"/>
              <w:rPr>
                <w:sz w:val="10"/>
                <w:szCs w:val="10"/>
                <w:color w:val="auto"/>
              </w:rPr>
            </w:pPr>
          </w:p>
        </w:tc>
        <w:tc>
          <w:tcPr>
            <w:tcW w:w="140" w:type="dxa"/>
            <w:vAlign w:val="bottom"/>
            <w:tcBorders>
              <w:top w:val="single" w:sz="8" w:color="0000EE"/>
              <w:bottom w:val="single" w:sz="8" w:color="005C7D"/>
            </w:tcBorders>
          </w:tcPr>
          <w:p>
            <w:pPr>
              <w:spacing w:after="0"/>
              <w:rPr>
                <w:sz w:val="10"/>
                <w:szCs w:val="10"/>
                <w:color w:val="auto"/>
              </w:rPr>
            </w:pPr>
          </w:p>
        </w:tc>
        <w:tc>
          <w:tcPr>
            <w:tcW w:w="40" w:type="dxa"/>
            <w:vAlign w:val="bottom"/>
            <w:tcBorders>
              <w:bottom w:val="single" w:sz="8" w:color="005C7D"/>
            </w:tcBorders>
          </w:tcPr>
          <w:p>
            <w:pPr>
              <w:spacing w:after="0"/>
              <w:rPr>
                <w:sz w:val="10"/>
                <w:szCs w:val="10"/>
                <w:color w:val="auto"/>
              </w:rPr>
            </w:pPr>
          </w:p>
        </w:tc>
        <w:tc>
          <w:tcPr>
            <w:tcW w:w="40" w:type="dxa"/>
            <w:vAlign w:val="bottom"/>
            <w:tcBorders>
              <w:bottom w:val="single" w:sz="8" w:color="005C7D"/>
            </w:tcBorders>
          </w:tcPr>
          <w:p>
            <w:pPr>
              <w:spacing w:after="0"/>
              <w:rPr>
                <w:sz w:val="10"/>
                <w:szCs w:val="10"/>
                <w:color w:val="auto"/>
              </w:rPr>
            </w:pPr>
          </w:p>
        </w:tc>
        <w:tc>
          <w:tcPr>
            <w:tcW w:w="20" w:type="dxa"/>
            <w:vAlign w:val="bottom"/>
            <w:tcBorders>
              <w:bottom w:val="single" w:sz="8" w:color="005C7D"/>
            </w:tcBorders>
          </w:tcPr>
          <w:p>
            <w:pPr>
              <w:spacing w:after="0"/>
              <w:rPr>
                <w:sz w:val="10"/>
                <w:szCs w:val="10"/>
                <w:color w:val="auto"/>
              </w:rPr>
            </w:pPr>
          </w:p>
        </w:tc>
        <w:tc>
          <w:tcPr>
            <w:tcW w:w="460" w:type="dxa"/>
            <w:vAlign w:val="bottom"/>
            <w:tcBorders>
              <w:bottom w:val="single" w:sz="8" w:color="005C7D"/>
            </w:tcBorders>
          </w:tcPr>
          <w:p>
            <w:pPr>
              <w:spacing w:after="0"/>
              <w:rPr>
                <w:sz w:val="10"/>
                <w:szCs w:val="10"/>
                <w:color w:val="auto"/>
              </w:rPr>
            </w:pPr>
          </w:p>
        </w:tc>
        <w:tc>
          <w:tcPr>
            <w:tcW w:w="60" w:type="dxa"/>
            <w:vAlign w:val="bottom"/>
            <w:tcBorders>
              <w:bottom w:val="single" w:sz="8" w:color="005C7D"/>
            </w:tcBorders>
          </w:tcPr>
          <w:p>
            <w:pPr>
              <w:spacing w:after="0"/>
              <w:rPr>
                <w:sz w:val="10"/>
                <w:szCs w:val="10"/>
                <w:color w:val="auto"/>
              </w:rPr>
            </w:pPr>
          </w:p>
        </w:tc>
        <w:tc>
          <w:tcPr>
            <w:tcW w:w="140" w:type="dxa"/>
            <w:vAlign w:val="bottom"/>
            <w:tcBorders>
              <w:bottom w:val="single" w:sz="8" w:color="005C7D"/>
            </w:tcBorders>
          </w:tcPr>
          <w:p>
            <w:pPr>
              <w:spacing w:after="0"/>
              <w:rPr>
                <w:sz w:val="10"/>
                <w:szCs w:val="10"/>
                <w:color w:val="auto"/>
              </w:rPr>
            </w:pPr>
          </w:p>
        </w:tc>
        <w:tc>
          <w:tcPr>
            <w:tcW w:w="1160" w:type="dxa"/>
            <w:vAlign w:val="bottom"/>
            <w:tcBorders>
              <w:bottom w:val="single" w:sz="8" w:color="005C7D"/>
            </w:tcBorders>
          </w:tcPr>
          <w:p>
            <w:pPr>
              <w:spacing w:after="0"/>
              <w:rPr>
                <w:sz w:val="10"/>
                <w:szCs w:val="10"/>
                <w:color w:val="auto"/>
              </w:rPr>
            </w:pPr>
          </w:p>
        </w:tc>
        <w:tc>
          <w:tcPr>
            <w:tcW w:w="100" w:type="dxa"/>
            <w:vAlign w:val="bottom"/>
            <w:tcBorders>
              <w:bottom w:val="single" w:sz="8" w:color="005C7D"/>
            </w:tcBorders>
          </w:tcPr>
          <w:p>
            <w:pPr>
              <w:spacing w:after="0"/>
              <w:rPr>
                <w:sz w:val="10"/>
                <w:szCs w:val="10"/>
                <w:color w:val="auto"/>
              </w:rPr>
            </w:pPr>
          </w:p>
        </w:tc>
        <w:tc>
          <w:tcPr>
            <w:tcW w:w="460" w:type="dxa"/>
            <w:vAlign w:val="bottom"/>
            <w:tcBorders>
              <w:bottom w:val="single" w:sz="8" w:color="005C7D"/>
            </w:tcBorders>
          </w:tcPr>
          <w:p>
            <w:pPr>
              <w:spacing w:after="0"/>
              <w:rPr>
                <w:sz w:val="10"/>
                <w:szCs w:val="10"/>
                <w:color w:val="auto"/>
              </w:rPr>
            </w:pPr>
          </w:p>
        </w:tc>
        <w:tc>
          <w:tcPr>
            <w:tcW w:w="100" w:type="dxa"/>
            <w:vAlign w:val="bottom"/>
            <w:tcBorders>
              <w:bottom w:val="single" w:sz="8" w:color="005C7D"/>
            </w:tcBorders>
          </w:tcPr>
          <w:p>
            <w:pPr>
              <w:spacing w:after="0"/>
              <w:rPr>
                <w:sz w:val="10"/>
                <w:szCs w:val="10"/>
                <w:color w:val="auto"/>
              </w:rPr>
            </w:pPr>
          </w:p>
        </w:tc>
        <w:tc>
          <w:tcPr>
            <w:tcW w:w="80" w:type="dxa"/>
            <w:vAlign w:val="bottom"/>
            <w:tcBorders>
              <w:bottom w:val="single" w:sz="8" w:color="005C7D"/>
            </w:tcBorders>
          </w:tcPr>
          <w:p>
            <w:pPr>
              <w:spacing w:after="0"/>
              <w:rPr>
                <w:sz w:val="10"/>
                <w:szCs w:val="10"/>
                <w:color w:val="auto"/>
              </w:rPr>
            </w:pPr>
          </w:p>
        </w:tc>
        <w:tc>
          <w:tcPr>
            <w:tcW w:w="160" w:type="dxa"/>
            <w:vAlign w:val="bottom"/>
            <w:tcBorders>
              <w:bottom w:val="single" w:sz="8" w:color="005C7D"/>
            </w:tcBorders>
          </w:tcPr>
          <w:p>
            <w:pPr>
              <w:spacing w:after="0"/>
              <w:rPr>
                <w:sz w:val="10"/>
                <w:szCs w:val="10"/>
                <w:color w:val="auto"/>
              </w:rPr>
            </w:pPr>
          </w:p>
        </w:tc>
        <w:tc>
          <w:tcPr>
            <w:tcW w:w="40" w:type="dxa"/>
            <w:vAlign w:val="bottom"/>
            <w:tcBorders>
              <w:bottom w:val="single" w:sz="8" w:color="005C7D"/>
            </w:tcBorders>
          </w:tcPr>
          <w:p>
            <w:pPr>
              <w:spacing w:after="0"/>
              <w:rPr>
                <w:sz w:val="10"/>
                <w:szCs w:val="10"/>
                <w:color w:val="auto"/>
              </w:rPr>
            </w:pPr>
          </w:p>
        </w:tc>
        <w:tc>
          <w:tcPr>
            <w:tcW w:w="100" w:type="dxa"/>
            <w:vAlign w:val="bottom"/>
            <w:tcBorders>
              <w:bottom w:val="single" w:sz="8" w:color="005C7D"/>
            </w:tcBorders>
          </w:tcPr>
          <w:p>
            <w:pPr>
              <w:spacing w:after="0"/>
              <w:rPr>
                <w:sz w:val="10"/>
                <w:szCs w:val="10"/>
                <w:color w:val="auto"/>
              </w:rPr>
            </w:pPr>
          </w:p>
        </w:tc>
        <w:tc>
          <w:tcPr>
            <w:tcW w:w="680" w:type="dxa"/>
            <w:vAlign w:val="bottom"/>
            <w:tcBorders>
              <w:bottom w:val="single" w:sz="8" w:color="005C7D"/>
            </w:tcBorders>
          </w:tcPr>
          <w:p>
            <w:pPr>
              <w:spacing w:after="0"/>
              <w:rPr>
                <w:sz w:val="10"/>
                <w:szCs w:val="10"/>
                <w:color w:val="auto"/>
              </w:rPr>
            </w:pPr>
          </w:p>
        </w:tc>
        <w:tc>
          <w:tcPr>
            <w:tcW w:w="240" w:type="dxa"/>
            <w:vAlign w:val="bottom"/>
            <w:tcBorders>
              <w:bottom w:val="single" w:sz="8" w:color="005C7D"/>
            </w:tcBorders>
          </w:tcPr>
          <w:p>
            <w:pPr>
              <w:spacing w:after="0"/>
              <w:rPr>
                <w:sz w:val="10"/>
                <w:szCs w:val="10"/>
                <w:color w:val="auto"/>
              </w:rPr>
            </w:pPr>
          </w:p>
        </w:tc>
        <w:tc>
          <w:tcPr>
            <w:tcW w:w="1340" w:type="dxa"/>
            <w:vAlign w:val="bottom"/>
            <w:tcBorders>
              <w:bottom w:val="single" w:sz="8" w:color="005C7D"/>
            </w:tcBorders>
          </w:tcPr>
          <w:p>
            <w:pPr>
              <w:spacing w:after="0"/>
              <w:rPr>
                <w:sz w:val="10"/>
                <w:szCs w:val="10"/>
                <w:color w:val="auto"/>
              </w:rPr>
            </w:pPr>
          </w:p>
        </w:tc>
        <w:tc>
          <w:tcPr>
            <w:tcW w:w="120" w:type="dxa"/>
            <w:vAlign w:val="bottom"/>
            <w:tcBorders>
              <w:bottom w:val="single" w:sz="8" w:color="005C7D"/>
            </w:tcBorders>
          </w:tcPr>
          <w:p>
            <w:pPr>
              <w:spacing w:after="0"/>
              <w:rPr>
                <w:sz w:val="10"/>
                <w:szCs w:val="10"/>
                <w:color w:val="auto"/>
              </w:rPr>
            </w:pPr>
          </w:p>
        </w:tc>
        <w:tc>
          <w:tcPr>
            <w:tcW w:w="440" w:type="dxa"/>
            <w:vAlign w:val="bottom"/>
            <w:tcBorders>
              <w:bottom w:val="single" w:sz="8" w:color="005C7D"/>
            </w:tcBorders>
          </w:tcPr>
          <w:p>
            <w:pPr>
              <w:spacing w:after="0"/>
              <w:rPr>
                <w:sz w:val="10"/>
                <w:szCs w:val="10"/>
                <w:color w:val="auto"/>
              </w:rPr>
            </w:pPr>
          </w:p>
        </w:tc>
        <w:tc>
          <w:tcPr>
            <w:tcW w:w="260" w:type="dxa"/>
            <w:vAlign w:val="bottom"/>
            <w:tcBorders>
              <w:bottom w:val="single" w:sz="8" w:color="005C7D"/>
            </w:tcBorders>
          </w:tcPr>
          <w:p>
            <w:pPr>
              <w:spacing w:after="0"/>
              <w:rPr>
                <w:sz w:val="10"/>
                <w:szCs w:val="10"/>
                <w:color w:val="auto"/>
              </w:rPr>
            </w:pPr>
          </w:p>
        </w:tc>
        <w:tc>
          <w:tcPr>
            <w:tcW w:w="60" w:type="dxa"/>
            <w:vAlign w:val="bottom"/>
            <w:tcBorders>
              <w:bottom w:val="single" w:sz="8" w:color="005C7D"/>
            </w:tcBorders>
          </w:tcPr>
          <w:p>
            <w:pPr>
              <w:spacing w:after="0"/>
              <w:rPr>
                <w:sz w:val="10"/>
                <w:szCs w:val="10"/>
                <w:color w:val="auto"/>
              </w:rPr>
            </w:pPr>
          </w:p>
        </w:tc>
        <w:tc>
          <w:tcPr>
            <w:tcW w:w="100" w:type="dxa"/>
            <w:vAlign w:val="bottom"/>
            <w:tcBorders>
              <w:top w:val="single" w:sz="8" w:color="0000EE"/>
              <w:bottom w:val="single" w:sz="8" w:color="005C7D"/>
            </w:tcBorders>
          </w:tcPr>
          <w:p>
            <w:pPr>
              <w:spacing w:after="0"/>
              <w:rPr>
                <w:sz w:val="10"/>
                <w:szCs w:val="10"/>
                <w:color w:val="auto"/>
              </w:rPr>
            </w:pPr>
          </w:p>
        </w:tc>
        <w:tc>
          <w:tcPr>
            <w:tcW w:w="80" w:type="dxa"/>
            <w:vAlign w:val="bottom"/>
            <w:tcBorders>
              <w:top w:val="single" w:sz="8" w:color="0000EE"/>
              <w:bottom w:val="single" w:sz="8" w:color="005C7D"/>
            </w:tcBorders>
          </w:tcPr>
          <w:p>
            <w:pPr>
              <w:spacing w:after="0"/>
              <w:rPr>
                <w:sz w:val="10"/>
                <w:szCs w:val="10"/>
                <w:color w:val="auto"/>
              </w:rPr>
            </w:pPr>
          </w:p>
        </w:tc>
        <w:tc>
          <w:tcPr>
            <w:tcW w:w="60" w:type="dxa"/>
            <w:vAlign w:val="bottom"/>
            <w:tcBorders>
              <w:bottom w:val="single" w:sz="8" w:color="005C7D"/>
            </w:tcBorders>
          </w:tcPr>
          <w:p>
            <w:pPr>
              <w:spacing w:after="0"/>
              <w:rPr>
                <w:sz w:val="10"/>
                <w:szCs w:val="10"/>
                <w:color w:val="auto"/>
              </w:rPr>
            </w:pPr>
          </w:p>
        </w:tc>
      </w:tr>
      <w:tr>
        <w:trPr>
          <w:trHeight w:val="271"/>
        </w:trPr>
        <w:tc>
          <w:tcPr>
            <w:tcW w:w="9260" w:type="dxa"/>
            <w:vAlign w:val="bottom"/>
            <w:gridSpan w:val="33"/>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EXECUTIVES AND CERTAIN OTHER OFFICERS OF THE COMPANY</w:t>
              </w:r>
            </w:hyperlink>
          </w:p>
        </w:tc>
        <w:tc>
          <w:tcPr>
            <w:tcW w:w="24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34</w:t>
              </w:r>
            </w:hyperlink>
          </w:p>
        </w:tc>
        <w:tc>
          <w:tcPr>
            <w:tcW w:w="60" w:type="dxa"/>
            <w:vAlign w:val="bottom"/>
          </w:tcPr>
          <w:p>
            <w:pPr>
              <w:spacing w:after="0"/>
              <w:rPr>
                <w:sz w:val="23"/>
                <w:szCs w:val="23"/>
                <w:color w:val="auto"/>
              </w:rPr>
            </w:pPr>
          </w:p>
        </w:tc>
      </w:tr>
      <w:tr>
        <w:trPr>
          <w:trHeight w:val="108"/>
        </w:trPr>
        <w:tc>
          <w:tcPr>
            <w:tcW w:w="540" w:type="dxa"/>
            <w:vAlign w:val="bottom"/>
            <w:tcBorders>
              <w:top w:val="single" w:sz="8" w:color="0000EE"/>
              <w:bottom w:val="single" w:sz="8" w:color="005C7D"/>
            </w:tcBorders>
          </w:tcPr>
          <w:p>
            <w:pPr>
              <w:spacing w:after="0"/>
              <w:rPr>
                <w:sz w:val="9"/>
                <w:szCs w:val="9"/>
                <w:color w:val="auto"/>
              </w:rPr>
            </w:pPr>
          </w:p>
        </w:tc>
        <w:tc>
          <w:tcPr>
            <w:tcW w:w="800" w:type="dxa"/>
            <w:vAlign w:val="bottom"/>
            <w:tcBorders>
              <w:top w:val="single" w:sz="8" w:color="0000EE"/>
              <w:bottom w:val="single" w:sz="8" w:color="005C7D"/>
            </w:tcBorders>
          </w:tcPr>
          <w:p>
            <w:pPr>
              <w:spacing w:after="0"/>
              <w:rPr>
                <w:sz w:val="9"/>
                <w:szCs w:val="9"/>
                <w:color w:val="auto"/>
              </w:rPr>
            </w:pPr>
          </w:p>
        </w:tc>
        <w:tc>
          <w:tcPr>
            <w:tcW w:w="200" w:type="dxa"/>
            <w:vAlign w:val="bottom"/>
            <w:tcBorders>
              <w:top w:val="single" w:sz="8" w:color="0000EE"/>
              <w:bottom w:val="single" w:sz="8" w:color="005C7D"/>
            </w:tcBorders>
          </w:tcPr>
          <w:p>
            <w:pPr>
              <w:spacing w:after="0"/>
              <w:rPr>
                <w:sz w:val="9"/>
                <w:szCs w:val="9"/>
                <w:color w:val="auto"/>
              </w:rPr>
            </w:pPr>
          </w:p>
        </w:tc>
        <w:tc>
          <w:tcPr>
            <w:tcW w:w="360" w:type="dxa"/>
            <w:vAlign w:val="bottom"/>
            <w:tcBorders>
              <w:top w:val="single" w:sz="8" w:color="0000EE"/>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580" w:type="dxa"/>
            <w:vAlign w:val="bottom"/>
            <w:tcBorders>
              <w:top w:val="single" w:sz="8" w:color="0000EE"/>
              <w:bottom w:val="single" w:sz="8" w:color="005C7D"/>
            </w:tcBorders>
          </w:tcPr>
          <w:p>
            <w:pPr>
              <w:spacing w:after="0"/>
              <w:rPr>
                <w:sz w:val="9"/>
                <w:szCs w:val="9"/>
                <w:color w:val="auto"/>
              </w:rPr>
            </w:pPr>
          </w:p>
        </w:tc>
        <w:tc>
          <w:tcPr>
            <w:tcW w:w="160" w:type="dxa"/>
            <w:vAlign w:val="bottom"/>
            <w:tcBorders>
              <w:top w:val="single" w:sz="8" w:color="0000EE"/>
              <w:bottom w:val="single" w:sz="8" w:color="005C7D"/>
            </w:tcBorders>
          </w:tcPr>
          <w:p>
            <w:pPr>
              <w:spacing w:after="0"/>
              <w:rPr>
                <w:sz w:val="9"/>
                <w:szCs w:val="9"/>
                <w:color w:val="auto"/>
              </w:rPr>
            </w:pPr>
          </w:p>
        </w:tc>
        <w:tc>
          <w:tcPr>
            <w:tcW w:w="20" w:type="dxa"/>
            <w:vAlign w:val="bottom"/>
            <w:tcBorders>
              <w:top w:val="single" w:sz="8" w:color="0000EE"/>
              <w:bottom w:val="single" w:sz="8" w:color="005C7D"/>
            </w:tcBorders>
          </w:tcPr>
          <w:p>
            <w:pPr>
              <w:spacing w:after="0"/>
              <w:rPr>
                <w:sz w:val="9"/>
                <w:szCs w:val="9"/>
                <w:color w:val="auto"/>
              </w:rPr>
            </w:pPr>
          </w:p>
        </w:tc>
        <w:tc>
          <w:tcPr>
            <w:tcW w:w="60" w:type="dxa"/>
            <w:vAlign w:val="bottom"/>
            <w:tcBorders>
              <w:top w:val="single" w:sz="8" w:color="0000EE"/>
              <w:bottom w:val="single" w:sz="8" w:color="005C7D"/>
            </w:tcBorders>
          </w:tcPr>
          <w:p>
            <w:pPr>
              <w:spacing w:after="0"/>
              <w:rPr>
                <w:sz w:val="9"/>
                <w:szCs w:val="9"/>
                <w:color w:val="auto"/>
              </w:rPr>
            </w:pPr>
          </w:p>
        </w:tc>
        <w:tc>
          <w:tcPr>
            <w:tcW w:w="120" w:type="dxa"/>
            <w:vAlign w:val="bottom"/>
            <w:tcBorders>
              <w:top w:val="single" w:sz="8" w:color="0000EE"/>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14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20" w:type="dxa"/>
            <w:vAlign w:val="bottom"/>
            <w:tcBorders>
              <w:top w:val="single" w:sz="8" w:color="0000EE"/>
              <w:bottom w:val="single" w:sz="8" w:color="005C7D"/>
            </w:tcBorders>
          </w:tcPr>
          <w:p>
            <w:pPr>
              <w:spacing w:after="0"/>
              <w:rPr>
                <w:sz w:val="9"/>
                <w:szCs w:val="9"/>
                <w:color w:val="auto"/>
              </w:rPr>
            </w:pPr>
          </w:p>
        </w:tc>
        <w:tc>
          <w:tcPr>
            <w:tcW w:w="460" w:type="dxa"/>
            <w:vAlign w:val="bottom"/>
            <w:tcBorders>
              <w:top w:val="single" w:sz="8" w:color="0000EE"/>
              <w:bottom w:val="single" w:sz="8" w:color="005C7D"/>
            </w:tcBorders>
          </w:tcPr>
          <w:p>
            <w:pPr>
              <w:spacing w:after="0"/>
              <w:rPr>
                <w:sz w:val="9"/>
                <w:szCs w:val="9"/>
                <w:color w:val="auto"/>
              </w:rPr>
            </w:pPr>
          </w:p>
        </w:tc>
        <w:tc>
          <w:tcPr>
            <w:tcW w:w="60" w:type="dxa"/>
            <w:vAlign w:val="bottom"/>
            <w:tcBorders>
              <w:top w:val="single" w:sz="8" w:color="0000EE"/>
              <w:bottom w:val="single" w:sz="8" w:color="005C7D"/>
            </w:tcBorders>
          </w:tcPr>
          <w:p>
            <w:pPr>
              <w:spacing w:after="0"/>
              <w:rPr>
                <w:sz w:val="9"/>
                <w:szCs w:val="9"/>
                <w:color w:val="auto"/>
              </w:rPr>
            </w:pPr>
          </w:p>
        </w:tc>
        <w:tc>
          <w:tcPr>
            <w:tcW w:w="140" w:type="dxa"/>
            <w:vAlign w:val="bottom"/>
            <w:tcBorders>
              <w:top w:val="single" w:sz="8" w:color="0000EE"/>
              <w:bottom w:val="single" w:sz="8" w:color="005C7D"/>
            </w:tcBorders>
          </w:tcPr>
          <w:p>
            <w:pPr>
              <w:spacing w:after="0"/>
              <w:rPr>
                <w:sz w:val="9"/>
                <w:szCs w:val="9"/>
                <w:color w:val="auto"/>
              </w:rPr>
            </w:pPr>
          </w:p>
        </w:tc>
        <w:tc>
          <w:tcPr>
            <w:tcW w:w="1160" w:type="dxa"/>
            <w:vAlign w:val="bottom"/>
            <w:tcBorders>
              <w:top w:val="single" w:sz="8" w:color="0000EE"/>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460" w:type="dxa"/>
            <w:vAlign w:val="bottom"/>
            <w:tcBorders>
              <w:top w:val="single" w:sz="8" w:color="0000EE"/>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80" w:type="dxa"/>
            <w:vAlign w:val="bottom"/>
            <w:tcBorders>
              <w:bottom w:val="single" w:sz="8" w:color="005C7D"/>
            </w:tcBorders>
          </w:tcPr>
          <w:p>
            <w:pPr>
              <w:spacing w:after="0"/>
              <w:rPr>
                <w:sz w:val="9"/>
                <w:szCs w:val="9"/>
                <w:color w:val="auto"/>
              </w:rPr>
            </w:pPr>
          </w:p>
        </w:tc>
        <w:tc>
          <w:tcPr>
            <w:tcW w:w="160" w:type="dxa"/>
            <w:vAlign w:val="bottom"/>
            <w:tcBorders>
              <w:bottom w:val="single" w:sz="8" w:color="005C7D"/>
            </w:tcBorders>
          </w:tcPr>
          <w:p>
            <w:pPr>
              <w:spacing w:after="0"/>
              <w:rPr>
                <w:sz w:val="9"/>
                <w:szCs w:val="9"/>
                <w:color w:val="auto"/>
              </w:rPr>
            </w:pPr>
          </w:p>
        </w:tc>
        <w:tc>
          <w:tcPr>
            <w:tcW w:w="40" w:type="dxa"/>
            <w:vAlign w:val="bottom"/>
            <w:tcBorders>
              <w:bottom w:val="single" w:sz="8" w:color="005C7D"/>
            </w:tcBorders>
          </w:tcPr>
          <w:p>
            <w:pPr>
              <w:spacing w:after="0"/>
              <w:rPr>
                <w:sz w:val="9"/>
                <w:szCs w:val="9"/>
                <w:color w:val="auto"/>
              </w:rPr>
            </w:pPr>
          </w:p>
        </w:tc>
        <w:tc>
          <w:tcPr>
            <w:tcW w:w="100" w:type="dxa"/>
            <w:vAlign w:val="bottom"/>
            <w:tcBorders>
              <w:bottom w:val="single" w:sz="8" w:color="005C7D"/>
            </w:tcBorders>
          </w:tcPr>
          <w:p>
            <w:pPr>
              <w:spacing w:after="0"/>
              <w:rPr>
                <w:sz w:val="9"/>
                <w:szCs w:val="9"/>
                <w:color w:val="auto"/>
              </w:rPr>
            </w:pPr>
          </w:p>
        </w:tc>
        <w:tc>
          <w:tcPr>
            <w:tcW w:w="68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1340" w:type="dxa"/>
            <w:vAlign w:val="bottom"/>
            <w:tcBorders>
              <w:bottom w:val="single" w:sz="8" w:color="005C7D"/>
            </w:tcBorders>
          </w:tcPr>
          <w:p>
            <w:pPr>
              <w:spacing w:after="0"/>
              <w:rPr>
                <w:sz w:val="9"/>
                <w:szCs w:val="9"/>
                <w:color w:val="auto"/>
              </w:rPr>
            </w:pPr>
          </w:p>
        </w:tc>
        <w:tc>
          <w:tcPr>
            <w:tcW w:w="120" w:type="dxa"/>
            <w:vAlign w:val="bottom"/>
            <w:tcBorders>
              <w:bottom w:val="single" w:sz="8" w:color="005C7D"/>
            </w:tcBorders>
          </w:tcPr>
          <w:p>
            <w:pPr>
              <w:spacing w:after="0"/>
              <w:rPr>
                <w:sz w:val="9"/>
                <w:szCs w:val="9"/>
                <w:color w:val="auto"/>
              </w:rPr>
            </w:pPr>
          </w:p>
        </w:tc>
        <w:tc>
          <w:tcPr>
            <w:tcW w:w="440" w:type="dxa"/>
            <w:vAlign w:val="bottom"/>
            <w:tcBorders>
              <w:bottom w:val="single" w:sz="8" w:color="005C7D"/>
            </w:tcBorders>
          </w:tcPr>
          <w:p>
            <w:pPr>
              <w:spacing w:after="0"/>
              <w:rPr>
                <w:sz w:val="9"/>
                <w:szCs w:val="9"/>
                <w:color w:val="auto"/>
              </w:rPr>
            </w:pPr>
          </w:p>
        </w:tc>
        <w:tc>
          <w:tcPr>
            <w:tcW w:w="260" w:type="dxa"/>
            <w:vAlign w:val="bottom"/>
            <w:tcBorders>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80" w:type="dxa"/>
            <w:vAlign w:val="bottom"/>
            <w:tcBorders>
              <w:top w:val="single" w:sz="8" w:color="0000EE"/>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r>
      <w:tr>
        <w:trPr>
          <w:trHeight w:val="271"/>
        </w:trPr>
        <w:tc>
          <w:tcPr>
            <w:tcW w:w="9260" w:type="dxa"/>
            <w:vAlign w:val="bottom"/>
            <w:gridSpan w:val="33"/>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SECURITY OWNERSHIP OF CERTAIN BENEFICIAL OWNERS</w:t>
              </w:r>
            </w:hyperlink>
          </w:p>
        </w:tc>
        <w:tc>
          <w:tcPr>
            <w:tcW w:w="240" w:type="dxa"/>
            <w:vAlign w:val="bottom"/>
            <w:gridSpan w:val="3"/>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37</w:t>
              </w:r>
            </w:hyperlink>
          </w:p>
        </w:tc>
        <w:tc>
          <w:tcPr>
            <w:tcW w:w="60" w:type="dxa"/>
            <w:vAlign w:val="bottom"/>
          </w:tcPr>
          <w:p>
            <w:pPr>
              <w:spacing w:after="0"/>
              <w:rPr>
                <w:sz w:val="23"/>
                <w:szCs w:val="23"/>
                <w:color w:val="auto"/>
              </w:rPr>
            </w:pPr>
          </w:p>
        </w:tc>
      </w:tr>
      <w:tr>
        <w:trPr>
          <w:trHeight w:val="108"/>
        </w:trPr>
        <w:tc>
          <w:tcPr>
            <w:tcW w:w="540" w:type="dxa"/>
            <w:vAlign w:val="bottom"/>
            <w:tcBorders>
              <w:top w:val="single" w:sz="8" w:color="0000EE"/>
              <w:bottom w:val="single" w:sz="8" w:color="005C7D"/>
            </w:tcBorders>
          </w:tcPr>
          <w:p>
            <w:pPr>
              <w:spacing w:after="0"/>
              <w:rPr>
                <w:sz w:val="9"/>
                <w:szCs w:val="9"/>
                <w:color w:val="auto"/>
              </w:rPr>
            </w:pPr>
          </w:p>
        </w:tc>
        <w:tc>
          <w:tcPr>
            <w:tcW w:w="800" w:type="dxa"/>
            <w:vAlign w:val="bottom"/>
            <w:tcBorders>
              <w:top w:val="single" w:sz="8" w:color="0000EE"/>
              <w:bottom w:val="single" w:sz="8" w:color="005C7D"/>
            </w:tcBorders>
          </w:tcPr>
          <w:p>
            <w:pPr>
              <w:spacing w:after="0"/>
              <w:rPr>
                <w:sz w:val="9"/>
                <w:szCs w:val="9"/>
                <w:color w:val="auto"/>
              </w:rPr>
            </w:pPr>
          </w:p>
        </w:tc>
        <w:tc>
          <w:tcPr>
            <w:tcW w:w="200" w:type="dxa"/>
            <w:vAlign w:val="bottom"/>
            <w:tcBorders>
              <w:top w:val="single" w:sz="8" w:color="0000EE"/>
              <w:bottom w:val="single" w:sz="8" w:color="005C7D"/>
            </w:tcBorders>
          </w:tcPr>
          <w:p>
            <w:pPr>
              <w:spacing w:after="0"/>
              <w:rPr>
                <w:sz w:val="9"/>
                <w:szCs w:val="9"/>
                <w:color w:val="auto"/>
              </w:rPr>
            </w:pPr>
          </w:p>
        </w:tc>
        <w:tc>
          <w:tcPr>
            <w:tcW w:w="360" w:type="dxa"/>
            <w:vAlign w:val="bottom"/>
            <w:tcBorders>
              <w:top w:val="single" w:sz="8" w:color="0000EE"/>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580" w:type="dxa"/>
            <w:vAlign w:val="bottom"/>
            <w:tcBorders>
              <w:top w:val="single" w:sz="8" w:color="0000EE"/>
              <w:bottom w:val="single" w:sz="8" w:color="005C7D"/>
            </w:tcBorders>
          </w:tcPr>
          <w:p>
            <w:pPr>
              <w:spacing w:after="0"/>
              <w:rPr>
                <w:sz w:val="9"/>
                <w:szCs w:val="9"/>
                <w:color w:val="auto"/>
              </w:rPr>
            </w:pPr>
          </w:p>
        </w:tc>
        <w:tc>
          <w:tcPr>
            <w:tcW w:w="160" w:type="dxa"/>
            <w:vAlign w:val="bottom"/>
            <w:tcBorders>
              <w:top w:val="single" w:sz="8" w:color="0000EE"/>
              <w:bottom w:val="single" w:sz="8" w:color="005C7D"/>
            </w:tcBorders>
          </w:tcPr>
          <w:p>
            <w:pPr>
              <w:spacing w:after="0"/>
              <w:rPr>
                <w:sz w:val="9"/>
                <w:szCs w:val="9"/>
                <w:color w:val="auto"/>
              </w:rPr>
            </w:pPr>
          </w:p>
        </w:tc>
        <w:tc>
          <w:tcPr>
            <w:tcW w:w="20" w:type="dxa"/>
            <w:vAlign w:val="bottom"/>
            <w:tcBorders>
              <w:top w:val="single" w:sz="8" w:color="0000EE"/>
              <w:bottom w:val="single" w:sz="8" w:color="005C7D"/>
            </w:tcBorders>
          </w:tcPr>
          <w:p>
            <w:pPr>
              <w:spacing w:after="0"/>
              <w:rPr>
                <w:sz w:val="9"/>
                <w:szCs w:val="9"/>
                <w:color w:val="auto"/>
              </w:rPr>
            </w:pPr>
          </w:p>
        </w:tc>
        <w:tc>
          <w:tcPr>
            <w:tcW w:w="60" w:type="dxa"/>
            <w:vAlign w:val="bottom"/>
            <w:tcBorders>
              <w:top w:val="single" w:sz="8" w:color="0000EE"/>
              <w:bottom w:val="single" w:sz="8" w:color="005C7D"/>
            </w:tcBorders>
          </w:tcPr>
          <w:p>
            <w:pPr>
              <w:spacing w:after="0"/>
              <w:rPr>
                <w:sz w:val="9"/>
                <w:szCs w:val="9"/>
                <w:color w:val="auto"/>
              </w:rPr>
            </w:pPr>
          </w:p>
        </w:tc>
        <w:tc>
          <w:tcPr>
            <w:tcW w:w="120" w:type="dxa"/>
            <w:vAlign w:val="bottom"/>
            <w:tcBorders>
              <w:top w:val="single" w:sz="8" w:color="0000EE"/>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14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20" w:type="dxa"/>
            <w:vAlign w:val="bottom"/>
            <w:tcBorders>
              <w:top w:val="single" w:sz="8" w:color="0000EE"/>
              <w:bottom w:val="single" w:sz="8" w:color="005C7D"/>
            </w:tcBorders>
          </w:tcPr>
          <w:p>
            <w:pPr>
              <w:spacing w:after="0"/>
              <w:rPr>
                <w:sz w:val="9"/>
                <w:szCs w:val="9"/>
                <w:color w:val="auto"/>
              </w:rPr>
            </w:pPr>
          </w:p>
        </w:tc>
        <w:tc>
          <w:tcPr>
            <w:tcW w:w="460" w:type="dxa"/>
            <w:vAlign w:val="bottom"/>
            <w:tcBorders>
              <w:top w:val="single" w:sz="8" w:color="0000EE"/>
              <w:bottom w:val="single" w:sz="8" w:color="005C7D"/>
            </w:tcBorders>
          </w:tcPr>
          <w:p>
            <w:pPr>
              <w:spacing w:after="0"/>
              <w:rPr>
                <w:sz w:val="9"/>
                <w:szCs w:val="9"/>
                <w:color w:val="auto"/>
              </w:rPr>
            </w:pPr>
          </w:p>
        </w:tc>
        <w:tc>
          <w:tcPr>
            <w:tcW w:w="60" w:type="dxa"/>
            <w:vAlign w:val="bottom"/>
            <w:tcBorders>
              <w:top w:val="single" w:sz="8" w:color="0000EE"/>
              <w:bottom w:val="single" w:sz="8" w:color="005C7D"/>
            </w:tcBorders>
          </w:tcPr>
          <w:p>
            <w:pPr>
              <w:spacing w:after="0"/>
              <w:rPr>
                <w:sz w:val="9"/>
                <w:szCs w:val="9"/>
                <w:color w:val="auto"/>
              </w:rPr>
            </w:pPr>
          </w:p>
        </w:tc>
        <w:tc>
          <w:tcPr>
            <w:tcW w:w="140" w:type="dxa"/>
            <w:vAlign w:val="bottom"/>
            <w:tcBorders>
              <w:top w:val="single" w:sz="8" w:color="0000EE"/>
              <w:bottom w:val="single" w:sz="8" w:color="005C7D"/>
            </w:tcBorders>
          </w:tcPr>
          <w:p>
            <w:pPr>
              <w:spacing w:after="0"/>
              <w:rPr>
                <w:sz w:val="9"/>
                <w:szCs w:val="9"/>
                <w:color w:val="auto"/>
              </w:rPr>
            </w:pPr>
          </w:p>
        </w:tc>
        <w:tc>
          <w:tcPr>
            <w:tcW w:w="1160" w:type="dxa"/>
            <w:vAlign w:val="bottom"/>
            <w:tcBorders>
              <w:top w:val="single" w:sz="8" w:color="0000EE"/>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460" w:type="dxa"/>
            <w:vAlign w:val="bottom"/>
            <w:tcBorders>
              <w:bottom w:val="single" w:sz="8" w:color="005C7D"/>
            </w:tcBorders>
          </w:tcPr>
          <w:p>
            <w:pPr>
              <w:spacing w:after="0"/>
              <w:rPr>
                <w:sz w:val="9"/>
                <w:szCs w:val="9"/>
                <w:color w:val="auto"/>
              </w:rPr>
            </w:pPr>
          </w:p>
        </w:tc>
        <w:tc>
          <w:tcPr>
            <w:tcW w:w="100" w:type="dxa"/>
            <w:vAlign w:val="bottom"/>
            <w:tcBorders>
              <w:bottom w:val="single" w:sz="8" w:color="005C7D"/>
            </w:tcBorders>
          </w:tcPr>
          <w:p>
            <w:pPr>
              <w:spacing w:after="0"/>
              <w:rPr>
                <w:sz w:val="9"/>
                <w:szCs w:val="9"/>
                <w:color w:val="auto"/>
              </w:rPr>
            </w:pPr>
          </w:p>
        </w:tc>
        <w:tc>
          <w:tcPr>
            <w:tcW w:w="80" w:type="dxa"/>
            <w:vAlign w:val="bottom"/>
            <w:tcBorders>
              <w:bottom w:val="single" w:sz="8" w:color="005C7D"/>
            </w:tcBorders>
          </w:tcPr>
          <w:p>
            <w:pPr>
              <w:spacing w:after="0"/>
              <w:rPr>
                <w:sz w:val="9"/>
                <w:szCs w:val="9"/>
                <w:color w:val="auto"/>
              </w:rPr>
            </w:pPr>
          </w:p>
        </w:tc>
        <w:tc>
          <w:tcPr>
            <w:tcW w:w="160" w:type="dxa"/>
            <w:vAlign w:val="bottom"/>
            <w:tcBorders>
              <w:bottom w:val="single" w:sz="8" w:color="005C7D"/>
            </w:tcBorders>
          </w:tcPr>
          <w:p>
            <w:pPr>
              <w:spacing w:after="0"/>
              <w:rPr>
                <w:sz w:val="9"/>
                <w:szCs w:val="9"/>
                <w:color w:val="auto"/>
              </w:rPr>
            </w:pPr>
          </w:p>
        </w:tc>
        <w:tc>
          <w:tcPr>
            <w:tcW w:w="40" w:type="dxa"/>
            <w:vAlign w:val="bottom"/>
            <w:tcBorders>
              <w:bottom w:val="single" w:sz="8" w:color="005C7D"/>
            </w:tcBorders>
          </w:tcPr>
          <w:p>
            <w:pPr>
              <w:spacing w:after="0"/>
              <w:rPr>
                <w:sz w:val="9"/>
                <w:szCs w:val="9"/>
                <w:color w:val="auto"/>
              </w:rPr>
            </w:pPr>
          </w:p>
        </w:tc>
        <w:tc>
          <w:tcPr>
            <w:tcW w:w="100" w:type="dxa"/>
            <w:vAlign w:val="bottom"/>
            <w:tcBorders>
              <w:bottom w:val="single" w:sz="8" w:color="005C7D"/>
            </w:tcBorders>
          </w:tcPr>
          <w:p>
            <w:pPr>
              <w:spacing w:after="0"/>
              <w:rPr>
                <w:sz w:val="9"/>
                <w:szCs w:val="9"/>
                <w:color w:val="auto"/>
              </w:rPr>
            </w:pPr>
          </w:p>
        </w:tc>
        <w:tc>
          <w:tcPr>
            <w:tcW w:w="68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1340" w:type="dxa"/>
            <w:vAlign w:val="bottom"/>
            <w:tcBorders>
              <w:bottom w:val="single" w:sz="8" w:color="005C7D"/>
            </w:tcBorders>
          </w:tcPr>
          <w:p>
            <w:pPr>
              <w:spacing w:after="0"/>
              <w:rPr>
                <w:sz w:val="9"/>
                <w:szCs w:val="9"/>
                <w:color w:val="auto"/>
              </w:rPr>
            </w:pPr>
          </w:p>
        </w:tc>
        <w:tc>
          <w:tcPr>
            <w:tcW w:w="120" w:type="dxa"/>
            <w:vAlign w:val="bottom"/>
            <w:tcBorders>
              <w:bottom w:val="single" w:sz="8" w:color="005C7D"/>
            </w:tcBorders>
          </w:tcPr>
          <w:p>
            <w:pPr>
              <w:spacing w:after="0"/>
              <w:rPr>
                <w:sz w:val="9"/>
                <w:szCs w:val="9"/>
                <w:color w:val="auto"/>
              </w:rPr>
            </w:pPr>
          </w:p>
        </w:tc>
        <w:tc>
          <w:tcPr>
            <w:tcW w:w="440" w:type="dxa"/>
            <w:vAlign w:val="bottom"/>
            <w:tcBorders>
              <w:bottom w:val="single" w:sz="8" w:color="005C7D"/>
            </w:tcBorders>
          </w:tcPr>
          <w:p>
            <w:pPr>
              <w:spacing w:after="0"/>
              <w:rPr>
                <w:sz w:val="9"/>
                <w:szCs w:val="9"/>
                <w:color w:val="auto"/>
              </w:rPr>
            </w:pPr>
          </w:p>
        </w:tc>
        <w:tc>
          <w:tcPr>
            <w:tcW w:w="260" w:type="dxa"/>
            <w:vAlign w:val="bottom"/>
            <w:tcBorders>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80" w:type="dxa"/>
            <w:vAlign w:val="bottom"/>
            <w:tcBorders>
              <w:top w:val="single" w:sz="8" w:color="0000EE"/>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r>
      <w:tr>
        <w:trPr>
          <w:trHeight w:val="271"/>
        </w:trPr>
        <w:tc>
          <w:tcPr>
            <w:tcW w:w="9260" w:type="dxa"/>
            <w:vAlign w:val="bottom"/>
            <w:gridSpan w:val="33"/>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SECURITY OWNERSHIP OF MANAGEMENT</w:t>
              </w:r>
            </w:hyperlink>
          </w:p>
        </w:tc>
        <w:tc>
          <w:tcPr>
            <w:tcW w:w="24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38</w:t>
              </w:r>
            </w:hyperlink>
          </w:p>
        </w:tc>
        <w:tc>
          <w:tcPr>
            <w:tcW w:w="60" w:type="dxa"/>
            <w:vAlign w:val="bottom"/>
          </w:tcPr>
          <w:p>
            <w:pPr>
              <w:spacing w:after="0"/>
              <w:rPr>
                <w:sz w:val="23"/>
                <w:szCs w:val="23"/>
                <w:color w:val="auto"/>
              </w:rPr>
            </w:pPr>
          </w:p>
        </w:tc>
      </w:tr>
      <w:tr>
        <w:trPr>
          <w:trHeight w:val="108"/>
        </w:trPr>
        <w:tc>
          <w:tcPr>
            <w:tcW w:w="540" w:type="dxa"/>
            <w:vAlign w:val="bottom"/>
            <w:tcBorders>
              <w:top w:val="single" w:sz="8" w:color="0000EE"/>
              <w:bottom w:val="single" w:sz="8" w:color="005C7D"/>
            </w:tcBorders>
          </w:tcPr>
          <w:p>
            <w:pPr>
              <w:spacing w:after="0"/>
              <w:rPr>
                <w:sz w:val="9"/>
                <w:szCs w:val="9"/>
                <w:color w:val="auto"/>
              </w:rPr>
            </w:pPr>
          </w:p>
        </w:tc>
        <w:tc>
          <w:tcPr>
            <w:tcW w:w="800" w:type="dxa"/>
            <w:vAlign w:val="bottom"/>
            <w:tcBorders>
              <w:top w:val="single" w:sz="8" w:color="0000EE"/>
              <w:bottom w:val="single" w:sz="8" w:color="005C7D"/>
            </w:tcBorders>
          </w:tcPr>
          <w:p>
            <w:pPr>
              <w:spacing w:after="0"/>
              <w:rPr>
                <w:sz w:val="9"/>
                <w:szCs w:val="9"/>
                <w:color w:val="auto"/>
              </w:rPr>
            </w:pPr>
          </w:p>
        </w:tc>
        <w:tc>
          <w:tcPr>
            <w:tcW w:w="200" w:type="dxa"/>
            <w:vAlign w:val="bottom"/>
            <w:tcBorders>
              <w:top w:val="single" w:sz="8" w:color="0000EE"/>
              <w:bottom w:val="single" w:sz="8" w:color="005C7D"/>
            </w:tcBorders>
          </w:tcPr>
          <w:p>
            <w:pPr>
              <w:spacing w:after="0"/>
              <w:rPr>
                <w:sz w:val="9"/>
                <w:szCs w:val="9"/>
                <w:color w:val="auto"/>
              </w:rPr>
            </w:pPr>
          </w:p>
        </w:tc>
        <w:tc>
          <w:tcPr>
            <w:tcW w:w="360" w:type="dxa"/>
            <w:vAlign w:val="bottom"/>
            <w:tcBorders>
              <w:top w:val="single" w:sz="8" w:color="0000EE"/>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580" w:type="dxa"/>
            <w:vAlign w:val="bottom"/>
            <w:tcBorders>
              <w:top w:val="single" w:sz="8" w:color="0000EE"/>
              <w:bottom w:val="single" w:sz="8" w:color="005C7D"/>
            </w:tcBorders>
          </w:tcPr>
          <w:p>
            <w:pPr>
              <w:spacing w:after="0"/>
              <w:rPr>
                <w:sz w:val="9"/>
                <w:szCs w:val="9"/>
                <w:color w:val="auto"/>
              </w:rPr>
            </w:pPr>
          </w:p>
        </w:tc>
        <w:tc>
          <w:tcPr>
            <w:tcW w:w="160" w:type="dxa"/>
            <w:vAlign w:val="bottom"/>
            <w:tcBorders>
              <w:top w:val="single" w:sz="8" w:color="0000EE"/>
              <w:bottom w:val="single" w:sz="8" w:color="005C7D"/>
            </w:tcBorders>
          </w:tcPr>
          <w:p>
            <w:pPr>
              <w:spacing w:after="0"/>
              <w:rPr>
                <w:sz w:val="9"/>
                <w:szCs w:val="9"/>
                <w:color w:val="auto"/>
              </w:rPr>
            </w:pPr>
          </w:p>
        </w:tc>
        <w:tc>
          <w:tcPr>
            <w:tcW w:w="20" w:type="dxa"/>
            <w:vAlign w:val="bottom"/>
            <w:tcBorders>
              <w:top w:val="single" w:sz="8" w:color="0000EE"/>
              <w:bottom w:val="single" w:sz="8" w:color="005C7D"/>
            </w:tcBorders>
          </w:tcPr>
          <w:p>
            <w:pPr>
              <w:spacing w:after="0"/>
              <w:rPr>
                <w:sz w:val="9"/>
                <w:szCs w:val="9"/>
                <w:color w:val="auto"/>
              </w:rPr>
            </w:pPr>
          </w:p>
        </w:tc>
        <w:tc>
          <w:tcPr>
            <w:tcW w:w="60" w:type="dxa"/>
            <w:vAlign w:val="bottom"/>
            <w:tcBorders>
              <w:top w:val="single" w:sz="8" w:color="0000EE"/>
              <w:bottom w:val="single" w:sz="8" w:color="005C7D"/>
            </w:tcBorders>
          </w:tcPr>
          <w:p>
            <w:pPr>
              <w:spacing w:after="0"/>
              <w:rPr>
                <w:sz w:val="9"/>
                <w:szCs w:val="9"/>
                <w:color w:val="auto"/>
              </w:rPr>
            </w:pPr>
          </w:p>
        </w:tc>
        <w:tc>
          <w:tcPr>
            <w:tcW w:w="120" w:type="dxa"/>
            <w:vAlign w:val="bottom"/>
            <w:tcBorders>
              <w:top w:val="single" w:sz="8" w:color="0000EE"/>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14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20" w:type="dxa"/>
            <w:vAlign w:val="bottom"/>
            <w:tcBorders>
              <w:top w:val="single" w:sz="8" w:color="0000EE"/>
              <w:bottom w:val="single" w:sz="8" w:color="005C7D"/>
            </w:tcBorders>
          </w:tcPr>
          <w:p>
            <w:pPr>
              <w:spacing w:after="0"/>
              <w:rPr>
                <w:sz w:val="9"/>
                <w:szCs w:val="9"/>
                <w:color w:val="auto"/>
              </w:rPr>
            </w:pPr>
          </w:p>
        </w:tc>
        <w:tc>
          <w:tcPr>
            <w:tcW w:w="460" w:type="dxa"/>
            <w:vAlign w:val="bottom"/>
            <w:tcBorders>
              <w:top w:val="single" w:sz="8" w:color="0000EE"/>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c>
          <w:tcPr>
            <w:tcW w:w="140" w:type="dxa"/>
            <w:vAlign w:val="bottom"/>
            <w:tcBorders>
              <w:bottom w:val="single" w:sz="8" w:color="005C7D"/>
            </w:tcBorders>
          </w:tcPr>
          <w:p>
            <w:pPr>
              <w:spacing w:after="0"/>
              <w:rPr>
                <w:sz w:val="9"/>
                <w:szCs w:val="9"/>
                <w:color w:val="auto"/>
              </w:rPr>
            </w:pPr>
          </w:p>
        </w:tc>
        <w:tc>
          <w:tcPr>
            <w:tcW w:w="1160" w:type="dxa"/>
            <w:vAlign w:val="bottom"/>
            <w:tcBorders>
              <w:bottom w:val="single" w:sz="8" w:color="005C7D"/>
            </w:tcBorders>
          </w:tcPr>
          <w:p>
            <w:pPr>
              <w:spacing w:after="0"/>
              <w:rPr>
                <w:sz w:val="9"/>
                <w:szCs w:val="9"/>
                <w:color w:val="auto"/>
              </w:rPr>
            </w:pPr>
          </w:p>
        </w:tc>
        <w:tc>
          <w:tcPr>
            <w:tcW w:w="100" w:type="dxa"/>
            <w:vAlign w:val="bottom"/>
            <w:tcBorders>
              <w:bottom w:val="single" w:sz="8" w:color="005C7D"/>
            </w:tcBorders>
          </w:tcPr>
          <w:p>
            <w:pPr>
              <w:spacing w:after="0"/>
              <w:rPr>
                <w:sz w:val="9"/>
                <w:szCs w:val="9"/>
                <w:color w:val="auto"/>
              </w:rPr>
            </w:pPr>
          </w:p>
        </w:tc>
        <w:tc>
          <w:tcPr>
            <w:tcW w:w="460" w:type="dxa"/>
            <w:vAlign w:val="bottom"/>
            <w:tcBorders>
              <w:bottom w:val="single" w:sz="8" w:color="005C7D"/>
            </w:tcBorders>
          </w:tcPr>
          <w:p>
            <w:pPr>
              <w:spacing w:after="0"/>
              <w:rPr>
                <w:sz w:val="9"/>
                <w:szCs w:val="9"/>
                <w:color w:val="auto"/>
              </w:rPr>
            </w:pPr>
          </w:p>
        </w:tc>
        <w:tc>
          <w:tcPr>
            <w:tcW w:w="100" w:type="dxa"/>
            <w:vAlign w:val="bottom"/>
            <w:tcBorders>
              <w:bottom w:val="single" w:sz="8" w:color="005C7D"/>
            </w:tcBorders>
          </w:tcPr>
          <w:p>
            <w:pPr>
              <w:spacing w:after="0"/>
              <w:rPr>
                <w:sz w:val="9"/>
                <w:szCs w:val="9"/>
                <w:color w:val="auto"/>
              </w:rPr>
            </w:pPr>
          </w:p>
        </w:tc>
        <w:tc>
          <w:tcPr>
            <w:tcW w:w="80" w:type="dxa"/>
            <w:vAlign w:val="bottom"/>
            <w:tcBorders>
              <w:bottom w:val="single" w:sz="8" w:color="005C7D"/>
            </w:tcBorders>
          </w:tcPr>
          <w:p>
            <w:pPr>
              <w:spacing w:after="0"/>
              <w:rPr>
                <w:sz w:val="9"/>
                <w:szCs w:val="9"/>
                <w:color w:val="auto"/>
              </w:rPr>
            </w:pPr>
          </w:p>
        </w:tc>
        <w:tc>
          <w:tcPr>
            <w:tcW w:w="160" w:type="dxa"/>
            <w:vAlign w:val="bottom"/>
            <w:tcBorders>
              <w:bottom w:val="single" w:sz="8" w:color="005C7D"/>
            </w:tcBorders>
          </w:tcPr>
          <w:p>
            <w:pPr>
              <w:spacing w:after="0"/>
              <w:rPr>
                <w:sz w:val="9"/>
                <w:szCs w:val="9"/>
                <w:color w:val="auto"/>
              </w:rPr>
            </w:pPr>
          </w:p>
        </w:tc>
        <w:tc>
          <w:tcPr>
            <w:tcW w:w="40" w:type="dxa"/>
            <w:vAlign w:val="bottom"/>
            <w:tcBorders>
              <w:bottom w:val="single" w:sz="8" w:color="005C7D"/>
            </w:tcBorders>
          </w:tcPr>
          <w:p>
            <w:pPr>
              <w:spacing w:after="0"/>
              <w:rPr>
                <w:sz w:val="9"/>
                <w:szCs w:val="9"/>
                <w:color w:val="auto"/>
              </w:rPr>
            </w:pPr>
          </w:p>
        </w:tc>
        <w:tc>
          <w:tcPr>
            <w:tcW w:w="100" w:type="dxa"/>
            <w:vAlign w:val="bottom"/>
            <w:tcBorders>
              <w:bottom w:val="single" w:sz="8" w:color="005C7D"/>
            </w:tcBorders>
          </w:tcPr>
          <w:p>
            <w:pPr>
              <w:spacing w:after="0"/>
              <w:rPr>
                <w:sz w:val="9"/>
                <w:szCs w:val="9"/>
                <w:color w:val="auto"/>
              </w:rPr>
            </w:pPr>
          </w:p>
        </w:tc>
        <w:tc>
          <w:tcPr>
            <w:tcW w:w="68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1340" w:type="dxa"/>
            <w:vAlign w:val="bottom"/>
            <w:tcBorders>
              <w:bottom w:val="single" w:sz="8" w:color="005C7D"/>
            </w:tcBorders>
          </w:tcPr>
          <w:p>
            <w:pPr>
              <w:spacing w:after="0"/>
              <w:rPr>
                <w:sz w:val="9"/>
                <w:szCs w:val="9"/>
                <w:color w:val="auto"/>
              </w:rPr>
            </w:pPr>
          </w:p>
        </w:tc>
        <w:tc>
          <w:tcPr>
            <w:tcW w:w="120" w:type="dxa"/>
            <w:vAlign w:val="bottom"/>
            <w:tcBorders>
              <w:bottom w:val="single" w:sz="8" w:color="005C7D"/>
            </w:tcBorders>
          </w:tcPr>
          <w:p>
            <w:pPr>
              <w:spacing w:after="0"/>
              <w:rPr>
                <w:sz w:val="9"/>
                <w:szCs w:val="9"/>
                <w:color w:val="auto"/>
              </w:rPr>
            </w:pPr>
          </w:p>
        </w:tc>
        <w:tc>
          <w:tcPr>
            <w:tcW w:w="440" w:type="dxa"/>
            <w:vAlign w:val="bottom"/>
            <w:tcBorders>
              <w:bottom w:val="single" w:sz="8" w:color="005C7D"/>
            </w:tcBorders>
          </w:tcPr>
          <w:p>
            <w:pPr>
              <w:spacing w:after="0"/>
              <w:rPr>
                <w:sz w:val="9"/>
                <w:szCs w:val="9"/>
                <w:color w:val="auto"/>
              </w:rPr>
            </w:pPr>
          </w:p>
        </w:tc>
        <w:tc>
          <w:tcPr>
            <w:tcW w:w="260" w:type="dxa"/>
            <w:vAlign w:val="bottom"/>
            <w:tcBorders>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80" w:type="dxa"/>
            <w:vAlign w:val="bottom"/>
            <w:tcBorders>
              <w:top w:val="single" w:sz="8" w:color="0000EE"/>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r>
      <w:tr>
        <w:trPr>
          <w:trHeight w:val="271"/>
        </w:trPr>
        <w:tc>
          <w:tcPr>
            <w:tcW w:w="9260" w:type="dxa"/>
            <w:vAlign w:val="bottom"/>
            <w:gridSpan w:val="33"/>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COMPENSATION DISCUSSION AND ANALYSIS</w:t>
              </w:r>
            </w:hyperlink>
          </w:p>
        </w:tc>
        <w:tc>
          <w:tcPr>
            <w:tcW w:w="240" w:type="dxa"/>
            <w:vAlign w:val="bottom"/>
            <w:gridSpan w:val="3"/>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39</w:t>
              </w:r>
            </w:hyperlink>
          </w:p>
        </w:tc>
        <w:tc>
          <w:tcPr>
            <w:tcW w:w="60" w:type="dxa"/>
            <w:vAlign w:val="bottom"/>
          </w:tcPr>
          <w:p>
            <w:pPr>
              <w:spacing w:after="0"/>
              <w:rPr>
                <w:sz w:val="23"/>
                <w:szCs w:val="23"/>
                <w:color w:val="auto"/>
              </w:rPr>
            </w:pPr>
          </w:p>
        </w:tc>
      </w:tr>
      <w:tr>
        <w:trPr>
          <w:trHeight w:val="108"/>
        </w:trPr>
        <w:tc>
          <w:tcPr>
            <w:tcW w:w="540" w:type="dxa"/>
            <w:vAlign w:val="bottom"/>
            <w:tcBorders>
              <w:top w:val="single" w:sz="8" w:color="0000EE"/>
              <w:bottom w:val="single" w:sz="8" w:color="005C7D"/>
            </w:tcBorders>
          </w:tcPr>
          <w:p>
            <w:pPr>
              <w:spacing w:after="0"/>
              <w:rPr>
                <w:sz w:val="9"/>
                <w:szCs w:val="9"/>
                <w:color w:val="auto"/>
              </w:rPr>
            </w:pPr>
          </w:p>
        </w:tc>
        <w:tc>
          <w:tcPr>
            <w:tcW w:w="800" w:type="dxa"/>
            <w:vAlign w:val="bottom"/>
            <w:tcBorders>
              <w:top w:val="single" w:sz="8" w:color="0000EE"/>
              <w:bottom w:val="single" w:sz="8" w:color="005C7D"/>
            </w:tcBorders>
          </w:tcPr>
          <w:p>
            <w:pPr>
              <w:spacing w:after="0"/>
              <w:rPr>
                <w:sz w:val="9"/>
                <w:szCs w:val="9"/>
                <w:color w:val="auto"/>
              </w:rPr>
            </w:pPr>
          </w:p>
        </w:tc>
        <w:tc>
          <w:tcPr>
            <w:tcW w:w="200" w:type="dxa"/>
            <w:vAlign w:val="bottom"/>
            <w:tcBorders>
              <w:top w:val="single" w:sz="8" w:color="0000EE"/>
              <w:bottom w:val="single" w:sz="8" w:color="005C7D"/>
            </w:tcBorders>
          </w:tcPr>
          <w:p>
            <w:pPr>
              <w:spacing w:after="0"/>
              <w:rPr>
                <w:sz w:val="9"/>
                <w:szCs w:val="9"/>
                <w:color w:val="auto"/>
              </w:rPr>
            </w:pPr>
          </w:p>
        </w:tc>
        <w:tc>
          <w:tcPr>
            <w:tcW w:w="360" w:type="dxa"/>
            <w:vAlign w:val="bottom"/>
            <w:tcBorders>
              <w:top w:val="single" w:sz="8" w:color="0000EE"/>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580" w:type="dxa"/>
            <w:vAlign w:val="bottom"/>
            <w:tcBorders>
              <w:top w:val="single" w:sz="8" w:color="0000EE"/>
              <w:bottom w:val="single" w:sz="8" w:color="005C7D"/>
            </w:tcBorders>
          </w:tcPr>
          <w:p>
            <w:pPr>
              <w:spacing w:after="0"/>
              <w:rPr>
                <w:sz w:val="9"/>
                <w:szCs w:val="9"/>
                <w:color w:val="auto"/>
              </w:rPr>
            </w:pPr>
          </w:p>
        </w:tc>
        <w:tc>
          <w:tcPr>
            <w:tcW w:w="160" w:type="dxa"/>
            <w:vAlign w:val="bottom"/>
            <w:tcBorders>
              <w:top w:val="single" w:sz="8" w:color="0000EE"/>
              <w:bottom w:val="single" w:sz="8" w:color="005C7D"/>
            </w:tcBorders>
          </w:tcPr>
          <w:p>
            <w:pPr>
              <w:spacing w:after="0"/>
              <w:rPr>
                <w:sz w:val="9"/>
                <w:szCs w:val="9"/>
                <w:color w:val="auto"/>
              </w:rPr>
            </w:pPr>
          </w:p>
        </w:tc>
        <w:tc>
          <w:tcPr>
            <w:tcW w:w="20" w:type="dxa"/>
            <w:vAlign w:val="bottom"/>
            <w:tcBorders>
              <w:top w:val="single" w:sz="8" w:color="0000EE"/>
              <w:bottom w:val="single" w:sz="8" w:color="005C7D"/>
            </w:tcBorders>
          </w:tcPr>
          <w:p>
            <w:pPr>
              <w:spacing w:after="0"/>
              <w:rPr>
                <w:sz w:val="9"/>
                <w:szCs w:val="9"/>
                <w:color w:val="auto"/>
              </w:rPr>
            </w:pPr>
          </w:p>
        </w:tc>
        <w:tc>
          <w:tcPr>
            <w:tcW w:w="60" w:type="dxa"/>
            <w:vAlign w:val="bottom"/>
            <w:tcBorders>
              <w:top w:val="single" w:sz="8" w:color="0000EE"/>
              <w:bottom w:val="single" w:sz="8" w:color="005C7D"/>
            </w:tcBorders>
          </w:tcPr>
          <w:p>
            <w:pPr>
              <w:spacing w:after="0"/>
              <w:rPr>
                <w:sz w:val="9"/>
                <w:szCs w:val="9"/>
                <w:color w:val="auto"/>
              </w:rPr>
            </w:pPr>
          </w:p>
        </w:tc>
        <w:tc>
          <w:tcPr>
            <w:tcW w:w="120" w:type="dxa"/>
            <w:vAlign w:val="bottom"/>
            <w:tcBorders>
              <w:top w:val="single" w:sz="8" w:color="0000EE"/>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14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20" w:type="dxa"/>
            <w:vAlign w:val="bottom"/>
            <w:tcBorders>
              <w:top w:val="single" w:sz="8" w:color="0000EE"/>
              <w:bottom w:val="single" w:sz="8" w:color="005C7D"/>
            </w:tcBorders>
          </w:tcPr>
          <w:p>
            <w:pPr>
              <w:spacing w:after="0"/>
              <w:rPr>
                <w:sz w:val="9"/>
                <w:szCs w:val="9"/>
                <w:color w:val="auto"/>
              </w:rPr>
            </w:pPr>
          </w:p>
        </w:tc>
        <w:tc>
          <w:tcPr>
            <w:tcW w:w="460" w:type="dxa"/>
            <w:vAlign w:val="bottom"/>
            <w:tcBorders>
              <w:top w:val="single" w:sz="8" w:color="0000EE"/>
              <w:bottom w:val="single" w:sz="8" w:color="005C7D"/>
            </w:tcBorders>
          </w:tcPr>
          <w:p>
            <w:pPr>
              <w:spacing w:after="0"/>
              <w:rPr>
                <w:sz w:val="9"/>
                <w:szCs w:val="9"/>
                <w:color w:val="auto"/>
              </w:rPr>
            </w:pPr>
          </w:p>
        </w:tc>
        <w:tc>
          <w:tcPr>
            <w:tcW w:w="60" w:type="dxa"/>
            <w:vAlign w:val="bottom"/>
            <w:tcBorders>
              <w:top w:val="single" w:sz="8" w:color="0000EE"/>
              <w:bottom w:val="single" w:sz="8" w:color="005C7D"/>
            </w:tcBorders>
          </w:tcPr>
          <w:p>
            <w:pPr>
              <w:spacing w:after="0"/>
              <w:rPr>
                <w:sz w:val="9"/>
                <w:szCs w:val="9"/>
                <w:color w:val="auto"/>
              </w:rPr>
            </w:pPr>
          </w:p>
        </w:tc>
        <w:tc>
          <w:tcPr>
            <w:tcW w:w="140" w:type="dxa"/>
            <w:vAlign w:val="bottom"/>
            <w:tcBorders>
              <w:top w:val="single" w:sz="8" w:color="0000EE"/>
              <w:bottom w:val="single" w:sz="8" w:color="005C7D"/>
            </w:tcBorders>
          </w:tcPr>
          <w:p>
            <w:pPr>
              <w:spacing w:after="0"/>
              <w:rPr>
                <w:sz w:val="9"/>
                <w:szCs w:val="9"/>
                <w:color w:val="auto"/>
              </w:rPr>
            </w:pPr>
          </w:p>
        </w:tc>
        <w:tc>
          <w:tcPr>
            <w:tcW w:w="1160" w:type="dxa"/>
            <w:vAlign w:val="bottom"/>
            <w:tcBorders>
              <w:bottom w:val="single" w:sz="8" w:color="005C7D"/>
            </w:tcBorders>
          </w:tcPr>
          <w:p>
            <w:pPr>
              <w:spacing w:after="0"/>
              <w:rPr>
                <w:sz w:val="9"/>
                <w:szCs w:val="9"/>
                <w:color w:val="auto"/>
              </w:rPr>
            </w:pPr>
          </w:p>
        </w:tc>
        <w:tc>
          <w:tcPr>
            <w:tcW w:w="100" w:type="dxa"/>
            <w:vAlign w:val="bottom"/>
            <w:tcBorders>
              <w:bottom w:val="single" w:sz="8" w:color="005C7D"/>
            </w:tcBorders>
          </w:tcPr>
          <w:p>
            <w:pPr>
              <w:spacing w:after="0"/>
              <w:rPr>
                <w:sz w:val="9"/>
                <w:szCs w:val="9"/>
                <w:color w:val="auto"/>
              </w:rPr>
            </w:pPr>
          </w:p>
        </w:tc>
        <w:tc>
          <w:tcPr>
            <w:tcW w:w="460" w:type="dxa"/>
            <w:vAlign w:val="bottom"/>
            <w:tcBorders>
              <w:bottom w:val="single" w:sz="8" w:color="005C7D"/>
            </w:tcBorders>
          </w:tcPr>
          <w:p>
            <w:pPr>
              <w:spacing w:after="0"/>
              <w:rPr>
                <w:sz w:val="9"/>
                <w:szCs w:val="9"/>
                <w:color w:val="auto"/>
              </w:rPr>
            </w:pPr>
          </w:p>
        </w:tc>
        <w:tc>
          <w:tcPr>
            <w:tcW w:w="100" w:type="dxa"/>
            <w:vAlign w:val="bottom"/>
            <w:tcBorders>
              <w:bottom w:val="single" w:sz="8" w:color="005C7D"/>
            </w:tcBorders>
          </w:tcPr>
          <w:p>
            <w:pPr>
              <w:spacing w:after="0"/>
              <w:rPr>
                <w:sz w:val="9"/>
                <w:szCs w:val="9"/>
                <w:color w:val="auto"/>
              </w:rPr>
            </w:pPr>
          </w:p>
        </w:tc>
        <w:tc>
          <w:tcPr>
            <w:tcW w:w="80" w:type="dxa"/>
            <w:vAlign w:val="bottom"/>
            <w:tcBorders>
              <w:bottom w:val="single" w:sz="8" w:color="005C7D"/>
            </w:tcBorders>
          </w:tcPr>
          <w:p>
            <w:pPr>
              <w:spacing w:after="0"/>
              <w:rPr>
                <w:sz w:val="9"/>
                <w:szCs w:val="9"/>
                <w:color w:val="auto"/>
              </w:rPr>
            </w:pPr>
          </w:p>
        </w:tc>
        <w:tc>
          <w:tcPr>
            <w:tcW w:w="160" w:type="dxa"/>
            <w:vAlign w:val="bottom"/>
            <w:tcBorders>
              <w:bottom w:val="single" w:sz="8" w:color="005C7D"/>
            </w:tcBorders>
          </w:tcPr>
          <w:p>
            <w:pPr>
              <w:spacing w:after="0"/>
              <w:rPr>
                <w:sz w:val="9"/>
                <w:szCs w:val="9"/>
                <w:color w:val="auto"/>
              </w:rPr>
            </w:pPr>
          </w:p>
        </w:tc>
        <w:tc>
          <w:tcPr>
            <w:tcW w:w="40" w:type="dxa"/>
            <w:vAlign w:val="bottom"/>
            <w:tcBorders>
              <w:bottom w:val="single" w:sz="8" w:color="005C7D"/>
            </w:tcBorders>
          </w:tcPr>
          <w:p>
            <w:pPr>
              <w:spacing w:after="0"/>
              <w:rPr>
                <w:sz w:val="9"/>
                <w:szCs w:val="9"/>
                <w:color w:val="auto"/>
              </w:rPr>
            </w:pPr>
          </w:p>
        </w:tc>
        <w:tc>
          <w:tcPr>
            <w:tcW w:w="100" w:type="dxa"/>
            <w:vAlign w:val="bottom"/>
            <w:tcBorders>
              <w:bottom w:val="single" w:sz="8" w:color="005C7D"/>
            </w:tcBorders>
          </w:tcPr>
          <w:p>
            <w:pPr>
              <w:spacing w:after="0"/>
              <w:rPr>
                <w:sz w:val="9"/>
                <w:szCs w:val="9"/>
                <w:color w:val="auto"/>
              </w:rPr>
            </w:pPr>
          </w:p>
        </w:tc>
        <w:tc>
          <w:tcPr>
            <w:tcW w:w="68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1340" w:type="dxa"/>
            <w:vAlign w:val="bottom"/>
            <w:tcBorders>
              <w:bottom w:val="single" w:sz="8" w:color="005C7D"/>
            </w:tcBorders>
          </w:tcPr>
          <w:p>
            <w:pPr>
              <w:spacing w:after="0"/>
              <w:rPr>
                <w:sz w:val="9"/>
                <w:szCs w:val="9"/>
                <w:color w:val="auto"/>
              </w:rPr>
            </w:pPr>
          </w:p>
        </w:tc>
        <w:tc>
          <w:tcPr>
            <w:tcW w:w="120" w:type="dxa"/>
            <w:vAlign w:val="bottom"/>
            <w:tcBorders>
              <w:bottom w:val="single" w:sz="8" w:color="005C7D"/>
            </w:tcBorders>
          </w:tcPr>
          <w:p>
            <w:pPr>
              <w:spacing w:after="0"/>
              <w:rPr>
                <w:sz w:val="9"/>
                <w:szCs w:val="9"/>
                <w:color w:val="auto"/>
              </w:rPr>
            </w:pPr>
          </w:p>
        </w:tc>
        <w:tc>
          <w:tcPr>
            <w:tcW w:w="440" w:type="dxa"/>
            <w:vAlign w:val="bottom"/>
            <w:tcBorders>
              <w:bottom w:val="single" w:sz="8" w:color="005C7D"/>
            </w:tcBorders>
          </w:tcPr>
          <w:p>
            <w:pPr>
              <w:spacing w:after="0"/>
              <w:rPr>
                <w:sz w:val="9"/>
                <w:szCs w:val="9"/>
                <w:color w:val="auto"/>
              </w:rPr>
            </w:pPr>
          </w:p>
        </w:tc>
        <w:tc>
          <w:tcPr>
            <w:tcW w:w="260" w:type="dxa"/>
            <w:vAlign w:val="bottom"/>
            <w:tcBorders>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80" w:type="dxa"/>
            <w:vAlign w:val="bottom"/>
            <w:tcBorders>
              <w:top w:val="single" w:sz="8" w:color="0000EE"/>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r>
      <w:tr>
        <w:trPr>
          <w:trHeight w:val="250"/>
        </w:trPr>
        <w:tc>
          <w:tcPr>
            <w:tcW w:w="540" w:type="dxa"/>
            <w:vAlign w:val="bottom"/>
          </w:tcPr>
          <w:p>
            <w:pPr>
              <w:spacing w:after="0"/>
              <w:rPr>
                <w:sz w:val="21"/>
                <w:szCs w:val="21"/>
                <w:color w:val="auto"/>
              </w:rPr>
            </w:pPr>
          </w:p>
        </w:tc>
        <w:tc>
          <w:tcPr>
            <w:tcW w:w="8720" w:type="dxa"/>
            <w:vAlign w:val="bottom"/>
            <w:gridSpan w:val="3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Company Background, 2016 Operating Environment and 2016 Performance Achievements</w:t>
              </w:r>
            </w:hyperlink>
          </w:p>
        </w:tc>
        <w:tc>
          <w:tcPr>
            <w:tcW w:w="240" w:type="dxa"/>
            <w:vAlign w:val="bottom"/>
            <w:gridSpan w:val="3"/>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39</w:t>
              </w:r>
            </w:hyperlink>
          </w:p>
        </w:tc>
        <w:tc>
          <w:tcPr>
            <w:tcW w:w="60" w:type="dxa"/>
            <w:vAlign w:val="bottom"/>
          </w:tcPr>
          <w:p>
            <w:pPr>
              <w:spacing w:after="0"/>
              <w:rPr>
                <w:sz w:val="21"/>
                <w:szCs w:val="21"/>
                <w:color w:val="auto"/>
              </w:rPr>
            </w:pPr>
          </w:p>
        </w:tc>
      </w:tr>
      <w:tr>
        <w:trPr>
          <w:trHeight w:val="223"/>
        </w:trPr>
        <w:tc>
          <w:tcPr>
            <w:tcW w:w="540" w:type="dxa"/>
            <w:vAlign w:val="bottom"/>
          </w:tcPr>
          <w:p>
            <w:pPr>
              <w:spacing w:after="0"/>
              <w:rPr>
                <w:sz w:val="19"/>
                <w:szCs w:val="19"/>
                <w:color w:val="auto"/>
              </w:rPr>
            </w:pPr>
          </w:p>
        </w:tc>
        <w:tc>
          <w:tcPr>
            <w:tcW w:w="6560" w:type="dxa"/>
            <w:vAlign w:val="bottom"/>
            <w:tcBorders>
              <w:top w:val="single" w:sz="8" w:color="0000EE"/>
            </w:tcBorders>
            <w:gridSpan w:val="2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Compensation Philosophy, 2016 Target Pay and 2016 Incentive Plan Payouts</w:t>
              </w:r>
            </w:hyperlink>
          </w:p>
        </w:tc>
        <w:tc>
          <w:tcPr>
            <w:tcW w:w="2160" w:type="dxa"/>
            <w:vAlign w:val="bottom"/>
            <w:gridSpan w:val="4"/>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41</w:t>
              </w:r>
            </w:hyperlink>
          </w:p>
        </w:tc>
        <w:tc>
          <w:tcPr>
            <w:tcW w:w="60" w:type="dxa"/>
            <w:vAlign w:val="bottom"/>
          </w:tcPr>
          <w:p>
            <w:pPr>
              <w:spacing w:after="0"/>
              <w:rPr>
                <w:sz w:val="19"/>
                <w:szCs w:val="19"/>
                <w:color w:val="auto"/>
              </w:rPr>
            </w:pPr>
          </w:p>
        </w:tc>
      </w:tr>
      <w:tr>
        <w:trPr>
          <w:trHeight w:val="20"/>
        </w:trPr>
        <w:tc>
          <w:tcPr>
            <w:tcW w:w="5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94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5640" w:type="dxa"/>
            <w:vAlign w:val="bottom"/>
            <w:tcBorders>
              <w:bottom w:val="single" w:sz="8" w:color="0000EE"/>
            </w:tcBorders>
            <w:gridSpan w:val="26"/>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2016 Shareholder Advisory Vote on Executive Compensation (“Say-On-Pay”)</w:t>
              </w:r>
            </w:hyperlink>
          </w:p>
        </w:tc>
        <w:tc>
          <w:tcPr>
            <w:tcW w:w="3080" w:type="dxa"/>
            <w:vAlign w:val="bottom"/>
            <w:gridSpan w:val="6"/>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42</w:t>
              </w:r>
            </w:hyperlink>
          </w:p>
        </w:tc>
        <w:tc>
          <w:tcPr>
            <w:tcW w:w="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8720" w:type="dxa"/>
            <w:vAlign w:val="bottom"/>
            <w:gridSpan w:val="32"/>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Sound Pay Practices</w:t>
              </w:r>
            </w:hyperlink>
          </w:p>
        </w:tc>
        <w:tc>
          <w:tcPr>
            <w:tcW w:w="240" w:type="dxa"/>
            <w:vAlign w:val="bottom"/>
            <w:gridSpan w:val="3"/>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42</w:t>
              </w:r>
            </w:hyperlink>
          </w:p>
        </w:tc>
        <w:tc>
          <w:tcPr>
            <w:tcW w:w="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1460" w:type="dxa"/>
            <w:vAlign w:val="bottom"/>
            <w:tcBorders>
              <w:top w:val="single" w:sz="8" w:color="0000EE"/>
            </w:tcBorders>
            <w:gridSpan w:val="4"/>
          </w:tcPr>
          <w:p>
            <w:pPr>
              <w:spacing w:after="0"/>
              <w:rPr>
                <w:rFonts w:ascii="Arial" w:cs="Arial" w:eastAsia="Arial" w:hAnsi="Arial"/>
                <w:sz w:val="18"/>
                <w:szCs w:val="18"/>
                <w:color w:val="0000EE"/>
                <w:w w:val="96"/>
              </w:rPr>
            </w:pPr>
            <w:hyperlink w:anchor="page49">
              <w:r>
                <w:rPr>
                  <w:rFonts w:ascii="Arial" w:cs="Arial" w:eastAsia="Arial" w:hAnsi="Arial"/>
                  <w:sz w:val="18"/>
                  <w:szCs w:val="18"/>
                  <w:color w:val="0000EE"/>
                  <w:w w:val="96"/>
                </w:rPr>
                <w:t>Program Overview</w:t>
              </w:r>
            </w:hyperlink>
          </w:p>
        </w:tc>
        <w:tc>
          <w:tcPr>
            <w:tcW w:w="7260" w:type="dxa"/>
            <w:vAlign w:val="bottom"/>
            <w:gridSpan w:val="28"/>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43</w:t>
              </w:r>
            </w:hyperlink>
          </w:p>
        </w:tc>
        <w:tc>
          <w:tcPr>
            <w:tcW w:w="60" w:type="dxa"/>
            <w:vAlign w:val="bottom"/>
          </w:tcPr>
          <w:p>
            <w:pPr>
              <w:spacing w:after="0"/>
              <w:rPr>
                <w:sz w:val="19"/>
                <w:szCs w:val="19"/>
                <w:color w:val="auto"/>
              </w:rPr>
            </w:pPr>
          </w:p>
        </w:tc>
      </w:tr>
      <w:tr>
        <w:trPr>
          <w:trHeight w:val="20"/>
        </w:trPr>
        <w:tc>
          <w:tcPr>
            <w:tcW w:w="5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12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27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Determining Executive Compensation</w:t>
              </w:r>
            </w:hyperlink>
          </w:p>
        </w:tc>
        <w:tc>
          <w:tcPr>
            <w:tcW w:w="5960" w:type="dxa"/>
            <w:vAlign w:val="bottom"/>
            <w:gridSpan w:val="18"/>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43</w:t>
              </w:r>
            </w:hyperlink>
          </w:p>
        </w:tc>
        <w:tc>
          <w:tcPr>
            <w:tcW w:w="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8720" w:type="dxa"/>
            <w:vAlign w:val="bottom"/>
            <w:gridSpan w:val="3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Mix of Pay</w:t>
              </w:r>
            </w:hyperlink>
          </w:p>
        </w:tc>
        <w:tc>
          <w:tcPr>
            <w:tcW w:w="240" w:type="dxa"/>
            <w:vAlign w:val="bottom"/>
            <w:gridSpan w:val="3"/>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44</w:t>
              </w:r>
            </w:hyperlink>
          </w:p>
        </w:tc>
        <w:tc>
          <w:tcPr>
            <w:tcW w:w="60" w:type="dxa"/>
            <w:vAlign w:val="bottom"/>
          </w:tcPr>
          <w:p>
            <w:pPr>
              <w:spacing w:after="0"/>
              <w:rPr>
                <w:sz w:val="19"/>
                <w:szCs w:val="19"/>
                <w:color w:val="auto"/>
              </w:rPr>
            </w:pPr>
          </w:p>
        </w:tc>
      </w:tr>
      <w:tr>
        <w:trPr>
          <w:trHeight w:val="20"/>
        </w:trPr>
        <w:tc>
          <w:tcPr>
            <w:tcW w:w="5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520" w:type="dxa"/>
            <w:vAlign w:val="bottom"/>
            <w:gridSpan w:val="13"/>
          </w:tcPr>
          <w:p>
            <w:pPr>
              <w:spacing w:after="0" w:line="20" w:lineRule="exact"/>
              <w:rPr>
                <w:sz w:val="1"/>
                <w:szCs w:val="1"/>
                <w:color w:val="auto"/>
              </w:rPr>
            </w:pPr>
          </w:p>
        </w:tc>
        <w:tc>
          <w:tcPr>
            <w:tcW w:w="412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8720" w:type="dxa"/>
            <w:vAlign w:val="bottom"/>
            <w:gridSpan w:val="3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Use of Market Data and Competitive Compensation Positioning</w:t>
              </w:r>
            </w:hyperlink>
          </w:p>
        </w:tc>
        <w:tc>
          <w:tcPr>
            <w:tcW w:w="240" w:type="dxa"/>
            <w:vAlign w:val="bottom"/>
            <w:gridSpan w:val="3"/>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45</w:t>
              </w:r>
            </w:hyperlink>
          </w:p>
        </w:tc>
        <w:tc>
          <w:tcPr>
            <w:tcW w:w="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20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52">
              <w:r>
                <w:rPr>
                  <w:rFonts w:ascii="Arial" w:cs="Arial" w:eastAsia="Arial" w:hAnsi="Arial"/>
                  <w:sz w:val="18"/>
                  <w:szCs w:val="18"/>
                  <w:color w:val="0000EE"/>
                  <w:w w:val="88"/>
                </w:rPr>
                <w:t>Elements of 2016 Target Pay</w:t>
              </w:r>
            </w:hyperlink>
          </w:p>
        </w:tc>
        <w:tc>
          <w:tcPr>
            <w:tcW w:w="2520" w:type="dxa"/>
            <w:vAlign w:val="bottom"/>
            <w:tcBorders>
              <w:top w:val="single" w:sz="8" w:color="0000EE"/>
            </w:tcBorders>
            <w:gridSpan w:val="13"/>
          </w:tcPr>
          <w:p>
            <w:pPr>
              <w:spacing w:after="0"/>
              <w:rPr>
                <w:sz w:val="19"/>
                <w:szCs w:val="19"/>
                <w:color w:val="auto"/>
              </w:rPr>
            </w:pPr>
          </w:p>
        </w:tc>
        <w:tc>
          <w:tcPr>
            <w:tcW w:w="4120" w:type="dxa"/>
            <w:vAlign w:val="bottom"/>
            <w:gridSpan w:val="13"/>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46</w:t>
              </w:r>
            </w:hyperlink>
          </w:p>
        </w:tc>
        <w:tc>
          <w:tcPr>
            <w:tcW w:w="60" w:type="dxa"/>
            <w:vAlign w:val="bottom"/>
          </w:tcPr>
          <w:p>
            <w:pPr>
              <w:spacing w:after="0"/>
              <w:rPr>
                <w:sz w:val="19"/>
                <w:szCs w:val="19"/>
                <w:color w:val="auto"/>
              </w:rPr>
            </w:pPr>
          </w:p>
        </w:tc>
      </w:tr>
      <w:tr>
        <w:trPr>
          <w:trHeight w:val="507"/>
        </w:trPr>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4"/>
          </w:tcPr>
          <w:p>
            <w:pPr>
              <w:ind w:left="720"/>
              <w:spacing w:after="0"/>
              <w:rPr>
                <w:sz w:val="20"/>
                <w:szCs w:val="20"/>
                <w:color w:val="auto"/>
              </w:rPr>
            </w:pPr>
            <w:r>
              <w:rPr>
                <w:rFonts w:ascii="Arial" w:cs="Arial" w:eastAsia="Arial" w:hAnsi="Arial"/>
                <w:sz w:val="14"/>
                <w:szCs w:val="14"/>
                <w:color w:val="005C7D"/>
                <w:w w:val="94"/>
              </w:rPr>
              <w:t xml:space="preserve">– </w:t>
            </w:r>
            <w:r>
              <w:rPr>
                <w:rFonts w:ascii="Arial" w:cs="Arial" w:eastAsia="Arial" w:hAnsi="Arial"/>
                <w:sz w:val="14"/>
                <w:szCs w:val="14"/>
                <w:i w:val="1"/>
                <w:iCs w:val="1"/>
                <w:color w:val="005C7D"/>
                <w:w w:val="94"/>
              </w:rPr>
              <w:t>2017 Proxy Statement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005C7D"/>
              </w:rPr>
              <w:t>i</w:t>
            </w:r>
          </w:p>
        </w:tc>
      </w:tr>
      <w:tr>
        <w:trPr>
          <w:trHeight w:val="567"/>
        </w:trPr>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8"/>
        </w:trPr>
        <w:tc>
          <w:tcPr>
            <w:tcW w:w="54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4742180</wp:posOffset>
            </wp:positionH>
            <wp:positionV relativeFrom="paragraph">
              <wp:posOffset>-539750</wp:posOffset>
            </wp:positionV>
            <wp:extent cx="16319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1540" w:type="dxa"/>
            <w:vAlign w:val="bottom"/>
            <w:tcBorders>
              <w:bottom w:val="single" w:sz="8" w:color="0000EE"/>
            </w:tcBorders>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7420" w:type="dxa"/>
            <w:vAlign w:val="bottom"/>
            <w:gridSpan w:val="23"/>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318"/>
        </w:trPr>
        <w:tc>
          <w:tcPr>
            <w:tcW w:w="540" w:type="dxa"/>
            <w:vAlign w:val="bottom"/>
          </w:tcPr>
          <w:p>
            <w:pPr>
              <w:spacing w:after="0"/>
              <w:rPr>
                <w:sz w:val="24"/>
                <w:szCs w:val="24"/>
                <w:color w:val="auto"/>
              </w:rPr>
            </w:pPr>
          </w:p>
        </w:tc>
        <w:tc>
          <w:tcPr>
            <w:tcW w:w="470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Payment of Performance Awards for the 2014-2016 Award Cycle</w:t>
              </w:r>
            </w:hyperlink>
          </w:p>
        </w:tc>
        <w:tc>
          <w:tcPr>
            <w:tcW w:w="3720" w:type="dxa"/>
            <w:vAlign w:val="bottom"/>
            <w:gridSpan w:val="7"/>
          </w:tcPr>
          <w:p>
            <w:pPr>
              <w:spacing w:after="0"/>
              <w:rPr>
                <w:sz w:val="24"/>
                <w:szCs w:val="24"/>
                <w:color w:val="auto"/>
              </w:rPr>
            </w:pPr>
          </w:p>
        </w:tc>
        <w:tc>
          <w:tcPr>
            <w:tcW w:w="36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56</w:t>
              </w:r>
            </w:hyperlink>
          </w:p>
        </w:tc>
        <w:tc>
          <w:tcPr>
            <w:tcW w:w="60" w:type="dxa"/>
            <w:vAlign w:val="bottom"/>
          </w:tcPr>
          <w:p>
            <w:pPr>
              <w:spacing w:after="0"/>
              <w:rPr>
                <w:sz w:val="24"/>
                <w:szCs w:val="24"/>
                <w:color w:val="auto"/>
              </w:rPr>
            </w:pPr>
          </w:p>
        </w:tc>
      </w:tr>
      <w:tr>
        <w:trPr>
          <w:trHeight w:val="223"/>
        </w:trPr>
        <w:tc>
          <w:tcPr>
            <w:tcW w:w="540" w:type="dxa"/>
            <w:vAlign w:val="bottom"/>
          </w:tcPr>
          <w:p>
            <w:pPr>
              <w:spacing w:after="0"/>
              <w:rPr>
                <w:sz w:val="19"/>
                <w:szCs w:val="19"/>
                <w:color w:val="auto"/>
              </w:rPr>
            </w:pPr>
          </w:p>
        </w:tc>
        <w:tc>
          <w:tcPr>
            <w:tcW w:w="25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Executive Benefits and Perquisites</w:t>
              </w:r>
            </w:hyperlink>
          </w:p>
        </w:tc>
        <w:tc>
          <w:tcPr>
            <w:tcW w:w="5920" w:type="dxa"/>
            <w:vAlign w:val="bottom"/>
            <w:gridSpan w:val="16"/>
          </w:tcPr>
          <w:p>
            <w:pPr>
              <w:spacing w:after="0"/>
              <w:rPr>
                <w:sz w:val="19"/>
                <w:szCs w:val="19"/>
                <w:color w:val="auto"/>
              </w:rPr>
            </w:pPr>
          </w:p>
        </w:tc>
        <w:tc>
          <w:tcPr>
            <w:tcW w:w="360" w:type="dxa"/>
            <w:vAlign w:val="bottom"/>
            <w:gridSpan w:val="3"/>
          </w:tcPr>
          <w:p>
            <w:pPr>
              <w:spacing w:after="0"/>
              <w:rPr>
                <w:sz w:val="19"/>
                <w:szCs w:val="19"/>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56</w:t>
              </w:r>
            </w:hyperlink>
          </w:p>
        </w:tc>
        <w:tc>
          <w:tcPr>
            <w:tcW w:w="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41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Stock Ownership Guidelines and Retention Requirements</w:t>
              </w:r>
            </w:hyperlink>
          </w:p>
        </w:tc>
        <w:tc>
          <w:tcPr>
            <w:tcW w:w="4260" w:type="dxa"/>
            <w:vAlign w:val="bottom"/>
            <w:gridSpan w:val="11"/>
          </w:tcPr>
          <w:p>
            <w:pPr>
              <w:spacing w:after="0"/>
              <w:rPr>
                <w:sz w:val="19"/>
                <w:szCs w:val="19"/>
                <w:color w:val="auto"/>
              </w:rPr>
            </w:pPr>
          </w:p>
        </w:tc>
        <w:tc>
          <w:tcPr>
            <w:tcW w:w="360" w:type="dxa"/>
            <w:vAlign w:val="bottom"/>
            <w:gridSpan w:val="3"/>
          </w:tcPr>
          <w:p>
            <w:pPr>
              <w:spacing w:after="0"/>
              <w:rPr>
                <w:sz w:val="19"/>
                <w:szCs w:val="19"/>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57</w:t>
              </w:r>
            </w:hyperlink>
          </w:p>
        </w:tc>
        <w:tc>
          <w:tcPr>
            <w:tcW w:w="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8420" w:type="dxa"/>
            <w:vAlign w:val="bottom"/>
            <w:gridSpan w:val="24"/>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Compensation Clawback Policy</w:t>
              </w:r>
            </w:hyperlink>
          </w:p>
        </w:tc>
        <w:tc>
          <w:tcPr>
            <w:tcW w:w="540" w:type="dxa"/>
            <w:vAlign w:val="bottom"/>
            <w:gridSpan w:val="4"/>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58</w:t>
              </w:r>
            </w:hyperlink>
          </w:p>
        </w:tc>
        <w:tc>
          <w:tcPr>
            <w:tcW w:w="60" w:type="dxa"/>
            <w:vAlign w:val="bottom"/>
          </w:tcPr>
          <w:p>
            <w:pPr>
              <w:spacing w:after="0"/>
              <w:rPr>
                <w:sz w:val="19"/>
                <w:szCs w:val="19"/>
                <w:color w:val="auto"/>
              </w:rPr>
            </w:pPr>
          </w:p>
        </w:tc>
      </w:tr>
      <w:tr>
        <w:trPr>
          <w:trHeight w:val="20"/>
        </w:trPr>
        <w:tc>
          <w:tcPr>
            <w:tcW w:w="5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298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64">
              <w:r>
                <w:rPr>
                  <w:rFonts w:ascii="Arial" w:cs="Arial" w:eastAsia="Arial" w:hAnsi="Arial"/>
                  <w:sz w:val="18"/>
                  <w:szCs w:val="18"/>
                  <w:color w:val="0000EE"/>
                  <w:w w:val="93"/>
                </w:rPr>
                <w:t>Anti-Hedging and Anti-Pledging Policies</w:t>
              </w:r>
            </w:hyperlink>
          </w:p>
        </w:tc>
        <w:tc>
          <w:tcPr>
            <w:tcW w:w="5440" w:type="dxa"/>
            <w:vAlign w:val="bottom"/>
            <w:gridSpan w:val="14"/>
          </w:tcPr>
          <w:p>
            <w:pPr>
              <w:spacing w:after="0"/>
              <w:rPr>
                <w:sz w:val="19"/>
                <w:szCs w:val="19"/>
                <w:color w:val="auto"/>
              </w:rPr>
            </w:pPr>
          </w:p>
        </w:tc>
        <w:tc>
          <w:tcPr>
            <w:tcW w:w="360" w:type="dxa"/>
            <w:vAlign w:val="bottom"/>
            <w:gridSpan w:val="3"/>
          </w:tcPr>
          <w:p>
            <w:pPr>
              <w:spacing w:after="0"/>
              <w:rPr>
                <w:sz w:val="19"/>
                <w:szCs w:val="19"/>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58</w:t>
              </w:r>
            </w:hyperlink>
          </w:p>
        </w:tc>
        <w:tc>
          <w:tcPr>
            <w:tcW w:w="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8420" w:type="dxa"/>
            <w:vAlign w:val="bottom"/>
            <w:gridSpan w:val="24"/>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Compensation Risk Assessment</w:t>
              </w:r>
            </w:hyperlink>
          </w:p>
        </w:tc>
        <w:tc>
          <w:tcPr>
            <w:tcW w:w="540" w:type="dxa"/>
            <w:vAlign w:val="bottom"/>
            <w:gridSpan w:val="4"/>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58</w:t>
              </w:r>
            </w:hyperlink>
          </w:p>
        </w:tc>
        <w:tc>
          <w:tcPr>
            <w:tcW w:w="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2300" w:type="dxa"/>
            <w:vAlign w:val="bottom"/>
            <w:tcBorders>
              <w:top w:val="single" w:sz="8" w:color="0000EE"/>
            </w:tcBorders>
            <w:gridSpan w:val="5"/>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Tax Considerations</w:t>
              </w:r>
            </w:hyperlink>
          </w:p>
        </w:tc>
        <w:tc>
          <w:tcPr>
            <w:tcW w:w="6120" w:type="dxa"/>
            <w:vAlign w:val="bottom"/>
            <w:gridSpan w:val="19"/>
          </w:tcPr>
          <w:p>
            <w:pPr>
              <w:spacing w:after="0"/>
              <w:rPr>
                <w:sz w:val="19"/>
                <w:szCs w:val="19"/>
                <w:color w:val="auto"/>
              </w:rPr>
            </w:pPr>
          </w:p>
        </w:tc>
        <w:tc>
          <w:tcPr>
            <w:tcW w:w="360" w:type="dxa"/>
            <w:vAlign w:val="bottom"/>
            <w:gridSpan w:val="3"/>
          </w:tcPr>
          <w:p>
            <w:pPr>
              <w:spacing w:after="0"/>
              <w:rPr>
                <w:sz w:val="19"/>
                <w:szCs w:val="19"/>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59</w:t>
              </w:r>
            </w:hyperlink>
          </w:p>
        </w:tc>
        <w:tc>
          <w:tcPr>
            <w:tcW w:w="60" w:type="dxa"/>
            <w:vAlign w:val="bottom"/>
          </w:tcPr>
          <w:p>
            <w:pPr>
              <w:spacing w:after="0"/>
              <w:rPr>
                <w:sz w:val="19"/>
                <w:szCs w:val="19"/>
                <w:color w:val="auto"/>
              </w:rPr>
            </w:pPr>
          </w:p>
        </w:tc>
      </w:tr>
      <w:tr>
        <w:trPr>
          <w:trHeight w:val="20"/>
        </w:trPr>
        <w:tc>
          <w:tcPr>
            <w:tcW w:w="5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50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65">
              <w:r>
                <w:rPr>
                  <w:rFonts w:ascii="Arial" w:cs="Arial" w:eastAsia="Arial" w:hAnsi="Arial"/>
                  <w:sz w:val="18"/>
                  <w:szCs w:val="18"/>
                  <w:color w:val="0000EE"/>
                  <w:w w:val="93"/>
                </w:rPr>
                <w:t>Equity Grant Timing</w:t>
              </w:r>
            </w:hyperlink>
          </w:p>
        </w:tc>
        <w:tc>
          <w:tcPr>
            <w:tcW w:w="6920" w:type="dxa"/>
            <w:vAlign w:val="bottom"/>
            <w:gridSpan w:val="21"/>
          </w:tcPr>
          <w:p>
            <w:pPr>
              <w:spacing w:after="0"/>
              <w:rPr>
                <w:sz w:val="19"/>
                <w:szCs w:val="19"/>
                <w:color w:val="auto"/>
              </w:rPr>
            </w:pPr>
          </w:p>
        </w:tc>
        <w:tc>
          <w:tcPr>
            <w:tcW w:w="360" w:type="dxa"/>
            <w:vAlign w:val="bottom"/>
            <w:gridSpan w:val="3"/>
          </w:tcPr>
          <w:p>
            <w:pPr>
              <w:spacing w:after="0"/>
              <w:rPr>
                <w:sz w:val="19"/>
                <w:szCs w:val="19"/>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59</w:t>
              </w:r>
            </w:hyperlink>
          </w:p>
        </w:tc>
        <w:tc>
          <w:tcPr>
            <w:tcW w:w="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8420" w:type="dxa"/>
            <w:vAlign w:val="bottom"/>
            <w:gridSpan w:val="2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Reconciliation of Non-GAAP Measures to GAAP Measures</w:t>
              </w:r>
            </w:hyperlink>
          </w:p>
        </w:tc>
        <w:tc>
          <w:tcPr>
            <w:tcW w:w="540" w:type="dxa"/>
            <w:vAlign w:val="bottom"/>
            <w:gridSpan w:val="4"/>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59</w:t>
              </w:r>
            </w:hyperlink>
          </w:p>
        </w:tc>
        <w:tc>
          <w:tcPr>
            <w:tcW w:w="60" w:type="dxa"/>
            <w:vAlign w:val="bottom"/>
          </w:tcPr>
          <w:p>
            <w:pPr>
              <w:spacing w:after="0"/>
              <w:rPr>
                <w:sz w:val="19"/>
                <w:szCs w:val="19"/>
                <w:color w:val="auto"/>
              </w:rPr>
            </w:pPr>
          </w:p>
        </w:tc>
      </w:tr>
      <w:tr>
        <w:trPr>
          <w:trHeight w:val="115"/>
        </w:trPr>
        <w:tc>
          <w:tcPr>
            <w:tcW w:w="540" w:type="dxa"/>
            <w:vAlign w:val="bottom"/>
            <w:tcBorders>
              <w:bottom w:val="single" w:sz="8" w:color="005C7D"/>
            </w:tcBorders>
          </w:tcPr>
          <w:p>
            <w:pPr>
              <w:spacing w:after="0"/>
              <w:rPr>
                <w:sz w:val="10"/>
                <w:szCs w:val="10"/>
                <w:color w:val="auto"/>
              </w:rPr>
            </w:pPr>
          </w:p>
        </w:tc>
        <w:tc>
          <w:tcPr>
            <w:tcW w:w="1000" w:type="dxa"/>
            <w:vAlign w:val="bottom"/>
            <w:tcBorders>
              <w:top w:val="single" w:sz="8" w:color="0000EE"/>
              <w:bottom w:val="single" w:sz="8" w:color="005C7D"/>
            </w:tcBorders>
          </w:tcPr>
          <w:p>
            <w:pPr>
              <w:spacing w:after="0"/>
              <w:rPr>
                <w:sz w:val="10"/>
                <w:szCs w:val="10"/>
                <w:color w:val="auto"/>
              </w:rPr>
            </w:pPr>
          </w:p>
        </w:tc>
        <w:tc>
          <w:tcPr>
            <w:tcW w:w="380" w:type="dxa"/>
            <w:vAlign w:val="bottom"/>
            <w:tcBorders>
              <w:top w:val="single" w:sz="8" w:color="0000EE"/>
              <w:bottom w:val="single" w:sz="8" w:color="005C7D"/>
            </w:tcBorders>
          </w:tcPr>
          <w:p>
            <w:pPr>
              <w:spacing w:after="0"/>
              <w:rPr>
                <w:sz w:val="10"/>
                <w:szCs w:val="10"/>
                <w:color w:val="auto"/>
              </w:rPr>
            </w:pPr>
          </w:p>
        </w:tc>
        <w:tc>
          <w:tcPr>
            <w:tcW w:w="120" w:type="dxa"/>
            <w:vAlign w:val="bottom"/>
            <w:tcBorders>
              <w:top w:val="single" w:sz="8" w:color="0000EE"/>
              <w:bottom w:val="single" w:sz="8" w:color="005C7D"/>
            </w:tcBorders>
          </w:tcPr>
          <w:p>
            <w:pPr>
              <w:spacing w:after="0"/>
              <w:rPr>
                <w:sz w:val="10"/>
                <w:szCs w:val="10"/>
                <w:color w:val="auto"/>
              </w:rPr>
            </w:pPr>
          </w:p>
        </w:tc>
        <w:tc>
          <w:tcPr>
            <w:tcW w:w="480" w:type="dxa"/>
            <w:vAlign w:val="bottom"/>
            <w:tcBorders>
              <w:top w:val="single" w:sz="8" w:color="0000EE"/>
              <w:bottom w:val="single" w:sz="8" w:color="005C7D"/>
            </w:tcBorders>
          </w:tcPr>
          <w:p>
            <w:pPr>
              <w:spacing w:after="0"/>
              <w:rPr>
                <w:sz w:val="10"/>
                <w:szCs w:val="10"/>
                <w:color w:val="auto"/>
              </w:rPr>
            </w:pPr>
          </w:p>
        </w:tc>
        <w:tc>
          <w:tcPr>
            <w:tcW w:w="320" w:type="dxa"/>
            <w:vAlign w:val="bottom"/>
            <w:tcBorders>
              <w:top w:val="single" w:sz="8" w:color="0000EE"/>
              <w:bottom w:val="single" w:sz="8" w:color="005C7D"/>
            </w:tcBorders>
          </w:tcPr>
          <w:p>
            <w:pPr>
              <w:spacing w:after="0"/>
              <w:rPr>
                <w:sz w:val="10"/>
                <w:szCs w:val="10"/>
                <w:color w:val="auto"/>
              </w:rPr>
            </w:pPr>
          </w:p>
        </w:tc>
        <w:tc>
          <w:tcPr>
            <w:tcW w:w="40" w:type="dxa"/>
            <w:vAlign w:val="bottom"/>
            <w:tcBorders>
              <w:top w:val="single" w:sz="8" w:color="0000EE"/>
              <w:bottom w:val="single" w:sz="8" w:color="005C7D"/>
            </w:tcBorders>
          </w:tcPr>
          <w:p>
            <w:pPr>
              <w:spacing w:after="0"/>
              <w:rPr>
                <w:sz w:val="10"/>
                <w:szCs w:val="10"/>
                <w:color w:val="auto"/>
              </w:rPr>
            </w:pPr>
          </w:p>
        </w:tc>
        <w:tc>
          <w:tcPr>
            <w:tcW w:w="60" w:type="dxa"/>
            <w:vAlign w:val="bottom"/>
            <w:tcBorders>
              <w:top w:val="single" w:sz="8" w:color="0000EE"/>
              <w:bottom w:val="single" w:sz="8" w:color="005C7D"/>
            </w:tcBorders>
          </w:tcPr>
          <w:p>
            <w:pPr>
              <w:spacing w:after="0"/>
              <w:rPr>
                <w:sz w:val="10"/>
                <w:szCs w:val="10"/>
                <w:color w:val="auto"/>
              </w:rPr>
            </w:pPr>
          </w:p>
        </w:tc>
        <w:tc>
          <w:tcPr>
            <w:tcW w:w="100" w:type="dxa"/>
            <w:vAlign w:val="bottom"/>
            <w:tcBorders>
              <w:top w:val="single" w:sz="8" w:color="0000EE"/>
              <w:bottom w:val="single" w:sz="8" w:color="005C7D"/>
            </w:tcBorders>
          </w:tcPr>
          <w:p>
            <w:pPr>
              <w:spacing w:after="0"/>
              <w:rPr>
                <w:sz w:val="10"/>
                <w:szCs w:val="10"/>
                <w:color w:val="auto"/>
              </w:rPr>
            </w:pPr>
          </w:p>
        </w:tc>
        <w:tc>
          <w:tcPr>
            <w:tcW w:w="240" w:type="dxa"/>
            <w:vAlign w:val="bottom"/>
            <w:tcBorders>
              <w:top w:val="single" w:sz="8" w:color="0000EE"/>
              <w:bottom w:val="single" w:sz="8" w:color="005C7D"/>
            </w:tcBorders>
          </w:tcPr>
          <w:p>
            <w:pPr>
              <w:spacing w:after="0"/>
              <w:rPr>
                <w:sz w:val="10"/>
                <w:szCs w:val="10"/>
                <w:color w:val="auto"/>
              </w:rPr>
            </w:pPr>
          </w:p>
        </w:tc>
        <w:tc>
          <w:tcPr>
            <w:tcW w:w="240" w:type="dxa"/>
            <w:vAlign w:val="bottom"/>
            <w:tcBorders>
              <w:top w:val="single" w:sz="8" w:color="0000EE"/>
              <w:bottom w:val="single" w:sz="8" w:color="005C7D"/>
            </w:tcBorders>
          </w:tcPr>
          <w:p>
            <w:pPr>
              <w:spacing w:after="0"/>
              <w:rPr>
                <w:sz w:val="10"/>
                <w:szCs w:val="10"/>
                <w:color w:val="auto"/>
              </w:rPr>
            </w:pPr>
          </w:p>
        </w:tc>
        <w:tc>
          <w:tcPr>
            <w:tcW w:w="620" w:type="dxa"/>
            <w:vAlign w:val="bottom"/>
            <w:tcBorders>
              <w:top w:val="single" w:sz="8" w:color="0000EE"/>
              <w:bottom w:val="single" w:sz="8" w:color="005C7D"/>
            </w:tcBorders>
          </w:tcPr>
          <w:p>
            <w:pPr>
              <w:spacing w:after="0"/>
              <w:rPr>
                <w:sz w:val="10"/>
                <w:szCs w:val="10"/>
                <w:color w:val="auto"/>
              </w:rPr>
            </w:pPr>
          </w:p>
        </w:tc>
        <w:tc>
          <w:tcPr>
            <w:tcW w:w="40" w:type="dxa"/>
            <w:vAlign w:val="bottom"/>
            <w:tcBorders>
              <w:top w:val="single" w:sz="8" w:color="0000EE"/>
              <w:bottom w:val="single" w:sz="8" w:color="005C7D"/>
            </w:tcBorders>
          </w:tcPr>
          <w:p>
            <w:pPr>
              <w:spacing w:after="0"/>
              <w:rPr>
                <w:sz w:val="10"/>
                <w:szCs w:val="10"/>
                <w:color w:val="auto"/>
              </w:rPr>
            </w:pPr>
          </w:p>
        </w:tc>
        <w:tc>
          <w:tcPr>
            <w:tcW w:w="520" w:type="dxa"/>
            <w:vAlign w:val="bottom"/>
            <w:tcBorders>
              <w:top w:val="single" w:sz="8" w:color="0000EE"/>
              <w:bottom w:val="single" w:sz="8" w:color="005C7D"/>
            </w:tcBorders>
          </w:tcPr>
          <w:p>
            <w:pPr>
              <w:spacing w:after="0"/>
              <w:rPr>
                <w:sz w:val="10"/>
                <w:szCs w:val="10"/>
                <w:color w:val="auto"/>
              </w:rPr>
            </w:pPr>
          </w:p>
        </w:tc>
        <w:tc>
          <w:tcPr>
            <w:tcW w:w="20" w:type="dxa"/>
            <w:vAlign w:val="bottom"/>
            <w:tcBorders>
              <w:top w:val="single" w:sz="8" w:color="0000EE"/>
              <w:bottom w:val="single" w:sz="8" w:color="005C7D"/>
            </w:tcBorders>
          </w:tcPr>
          <w:p>
            <w:pPr>
              <w:spacing w:after="0"/>
              <w:rPr>
                <w:sz w:val="10"/>
                <w:szCs w:val="10"/>
                <w:color w:val="auto"/>
              </w:rPr>
            </w:pPr>
          </w:p>
        </w:tc>
        <w:tc>
          <w:tcPr>
            <w:tcW w:w="160" w:type="dxa"/>
            <w:vAlign w:val="bottom"/>
            <w:tcBorders>
              <w:top w:val="single" w:sz="8" w:color="0000EE"/>
              <w:bottom w:val="single" w:sz="8" w:color="005C7D"/>
            </w:tcBorders>
          </w:tcPr>
          <w:p>
            <w:pPr>
              <w:spacing w:after="0"/>
              <w:rPr>
                <w:sz w:val="10"/>
                <w:szCs w:val="10"/>
                <w:color w:val="auto"/>
              </w:rPr>
            </w:pPr>
          </w:p>
        </w:tc>
        <w:tc>
          <w:tcPr>
            <w:tcW w:w="240" w:type="dxa"/>
            <w:vAlign w:val="bottom"/>
            <w:tcBorders>
              <w:bottom w:val="single" w:sz="8" w:color="005C7D"/>
            </w:tcBorders>
          </w:tcPr>
          <w:p>
            <w:pPr>
              <w:spacing w:after="0"/>
              <w:rPr>
                <w:sz w:val="10"/>
                <w:szCs w:val="10"/>
                <w:color w:val="auto"/>
              </w:rPr>
            </w:pPr>
          </w:p>
        </w:tc>
        <w:tc>
          <w:tcPr>
            <w:tcW w:w="120" w:type="dxa"/>
            <w:vAlign w:val="bottom"/>
            <w:tcBorders>
              <w:bottom w:val="single" w:sz="8" w:color="005C7D"/>
            </w:tcBorders>
          </w:tcPr>
          <w:p>
            <w:pPr>
              <w:spacing w:after="0"/>
              <w:rPr>
                <w:sz w:val="10"/>
                <w:szCs w:val="10"/>
                <w:color w:val="auto"/>
              </w:rPr>
            </w:pPr>
          </w:p>
        </w:tc>
        <w:tc>
          <w:tcPr>
            <w:tcW w:w="320" w:type="dxa"/>
            <w:vAlign w:val="bottom"/>
            <w:tcBorders>
              <w:bottom w:val="single" w:sz="8" w:color="005C7D"/>
            </w:tcBorders>
          </w:tcPr>
          <w:p>
            <w:pPr>
              <w:spacing w:after="0"/>
              <w:rPr>
                <w:sz w:val="10"/>
                <w:szCs w:val="10"/>
                <w:color w:val="auto"/>
              </w:rPr>
            </w:pPr>
          </w:p>
        </w:tc>
        <w:tc>
          <w:tcPr>
            <w:tcW w:w="440" w:type="dxa"/>
            <w:vAlign w:val="bottom"/>
            <w:tcBorders>
              <w:bottom w:val="single" w:sz="8" w:color="005C7D"/>
            </w:tcBorders>
          </w:tcPr>
          <w:p>
            <w:pPr>
              <w:spacing w:after="0"/>
              <w:rPr>
                <w:sz w:val="10"/>
                <w:szCs w:val="10"/>
                <w:color w:val="auto"/>
              </w:rPr>
            </w:pPr>
          </w:p>
        </w:tc>
        <w:tc>
          <w:tcPr>
            <w:tcW w:w="600" w:type="dxa"/>
            <w:vAlign w:val="bottom"/>
            <w:tcBorders>
              <w:bottom w:val="single" w:sz="8" w:color="005C7D"/>
            </w:tcBorders>
          </w:tcPr>
          <w:p>
            <w:pPr>
              <w:spacing w:after="0"/>
              <w:rPr>
                <w:sz w:val="10"/>
                <w:szCs w:val="10"/>
                <w:color w:val="auto"/>
              </w:rPr>
            </w:pPr>
          </w:p>
        </w:tc>
        <w:tc>
          <w:tcPr>
            <w:tcW w:w="1520" w:type="dxa"/>
            <w:vAlign w:val="bottom"/>
            <w:tcBorders>
              <w:bottom w:val="single" w:sz="8" w:color="005C7D"/>
            </w:tcBorders>
          </w:tcPr>
          <w:p>
            <w:pPr>
              <w:spacing w:after="0"/>
              <w:rPr>
                <w:sz w:val="10"/>
                <w:szCs w:val="10"/>
                <w:color w:val="auto"/>
              </w:rPr>
            </w:pPr>
          </w:p>
        </w:tc>
        <w:tc>
          <w:tcPr>
            <w:tcW w:w="140" w:type="dxa"/>
            <w:vAlign w:val="bottom"/>
            <w:tcBorders>
              <w:bottom w:val="single" w:sz="8" w:color="005C7D"/>
            </w:tcBorders>
          </w:tcPr>
          <w:p>
            <w:pPr>
              <w:spacing w:after="0"/>
              <w:rPr>
                <w:sz w:val="10"/>
                <w:szCs w:val="10"/>
                <w:color w:val="auto"/>
              </w:rPr>
            </w:pPr>
          </w:p>
        </w:tc>
        <w:tc>
          <w:tcPr>
            <w:tcW w:w="460" w:type="dxa"/>
            <w:vAlign w:val="bottom"/>
            <w:tcBorders>
              <w:bottom w:val="single" w:sz="8" w:color="005C7D"/>
            </w:tcBorders>
          </w:tcPr>
          <w:p>
            <w:pPr>
              <w:spacing w:after="0"/>
              <w:rPr>
                <w:sz w:val="10"/>
                <w:szCs w:val="10"/>
                <w:color w:val="auto"/>
              </w:rPr>
            </w:pPr>
          </w:p>
        </w:tc>
        <w:tc>
          <w:tcPr>
            <w:tcW w:w="240" w:type="dxa"/>
            <w:vAlign w:val="bottom"/>
            <w:tcBorders>
              <w:bottom w:val="single" w:sz="8" w:color="005C7D"/>
            </w:tcBorders>
          </w:tcPr>
          <w:p>
            <w:pPr>
              <w:spacing w:after="0"/>
              <w:rPr>
                <w:sz w:val="10"/>
                <w:szCs w:val="10"/>
                <w:color w:val="auto"/>
              </w:rPr>
            </w:pPr>
          </w:p>
        </w:tc>
        <w:tc>
          <w:tcPr>
            <w:tcW w:w="260" w:type="dxa"/>
            <w:vAlign w:val="bottom"/>
            <w:tcBorders>
              <w:bottom w:val="single" w:sz="8" w:color="005C7D"/>
            </w:tcBorders>
          </w:tcPr>
          <w:p>
            <w:pPr>
              <w:spacing w:after="0"/>
              <w:rPr>
                <w:sz w:val="10"/>
                <w:szCs w:val="10"/>
                <w:color w:val="auto"/>
              </w:rPr>
            </w:pPr>
          </w:p>
        </w:tc>
        <w:tc>
          <w:tcPr>
            <w:tcW w:w="20" w:type="dxa"/>
            <w:vAlign w:val="bottom"/>
            <w:tcBorders>
              <w:bottom w:val="single" w:sz="8" w:color="005C7D"/>
            </w:tcBorders>
          </w:tcPr>
          <w:p>
            <w:pPr>
              <w:spacing w:after="0"/>
              <w:rPr>
                <w:sz w:val="10"/>
                <w:szCs w:val="10"/>
                <w:color w:val="auto"/>
              </w:rPr>
            </w:pPr>
          </w:p>
        </w:tc>
        <w:tc>
          <w:tcPr>
            <w:tcW w:w="80" w:type="dxa"/>
            <w:vAlign w:val="bottom"/>
            <w:tcBorders>
              <w:bottom w:val="single" w:sz="8" w:color="005C7D"/>
            </w:tcBorders>
          </w:tcPr>
          <w:p>
            <w:pPr>
              <w:spacing w:after="0"/>
              <w:rPr>
                <w:sz w:val="10"/>
                <w:szCs w:val="10"/>
                <w:color w:val="auto"/>
              </w:rPr>
            </w:pPr>
          </w:p>
        </w:tc>
        <w:tc>
          <w:tcPr>
            <w:tcW w:w="180" w:type="dxa"/>
            <w:vAlign w:val="bottom"/>
            <w:tcBorders>
              <w:top w:val="single" w:sz="8" w:color="0000EE"/>
              <w:bottom w:val="single" w:sz="8" w:color="005C7D"/>
            </w:tcBorders>
          </w:tcPr>
          <w:p>
            <w:pPr>
              <w:spacing w:after="0"/>
              <w:rPr>
                <w:sz w:val="10"/>
                <w:szCs w:val="10"/>
                <w:color w:val="auto"/>
              </w:rPr>
            </w:pPr>
          </w:p>
        </w:tc>
        <w:tc>
          <w:tcPr>
            <w:tcW w:w="60" w:type="dxa"/>
            <w:vAlign w:val="bottom"/>
            <w:tcBorders>
              <w:bottom w:val="single" w:sz="8" w:color="005C7D"/>
            </w:tcBorders>
          </w:tcPr>
          <w:p>
            <w:pPr>
              <w:spacing w:after="0"/>
              <w:rPr>
                <w:sz w:val="10"/>
                <w:szCs w:val="10"/>
                <w:color w:val="auto"/>
              </w:rPr>
            </w:pPr>
          </w:p>
        </w:tc>
      </w:tr>
      <w:tr>
        <w:trPr>
          <w:trHeight w:val="271"/>
        </w:trPr>
        <w:tc>
          <w:tcPr>
            <w:tcW w:w="8960" w:type="dxa"/>
            <w:vAlign w:val="bottom"/>
            <w:gridSpan w:val="25"/>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REPORT OF THE COMPENSATION COMMITTEE</w:t>
              </w:r>
            </w:hyperlink>
          </w:p>
        </w:tc>
        <w:tc>
          <w:tcPr>
            <w:tcW w:w="540" w:type="dxa"/>
            <w:vAlign w:val="bottom"/>
            <w:gridSpan w:val="4"/>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61</w:t>
              </w:r>
            </w:hyperlink>
          </w:p>
        </w:tc>
        <w:tc>
          <w:tcPr>
            <w:tcW w:w="60" w:type="dxa"/>
            <w:vAlign w:val="bottom"/>
          </w:tcPr>
          <w:p>
            <w:pPr>
              <w:spacing w:after="0"/>
              <w:rPr>
                <w:sz w:val="23"/>
                <w:szCs w:val="23"/>
                <w:color w:val="auto"/>
              </w:rPr>
            </w:pPr>
          </w:p>
        </w:tc>
      </w:tr>
      <w:tr>
        <w:trPr>
          <w:trHeight w:val="108"/>
        </w:trPr>
        <w:tc>
          <w:tcPr>
            <w:tcW w:w="540" w:type="dxa"/>
            <w:vAlign w:val="bottom"/>
            <w:tcBorders>
              <w:top w:val="single" w:sz="8" w:color="0000EE"/>
              <w:bottom w:val="single" w:sz="8" w:color="005C7D"/>
            </w:tcBorders>
          </w:tcPr>
          <w:p>
            <w:pPr>
              <w:spacing w:after="0"/>
              <w:rPr>
                <w:sz w:val="9"/>
                <w:szCs w:val="9"/>
                <w:color w:val="auto"/>
              </w:rPr>
            </w:pPr>
          </w:p>
        </w:tc>
        <w:tc>
          <w:tcPr>
            <w:tcW w:w="1000" w:type="dxa"/>
            <w:vAlign w:val="bottom"/>
            <w:tcBorders>
              <w:top w:val="single" w:sz="8" w:color="0000EE"/>
              <w:bottom w:val="single" w:sz="8" w:color="005C7D"/>
            </w:tcBorders>
          </w:tcPr>
          <w:p>
            <w:pPr>
              <w:spacing w:after="0"/>
              <w:rPr>
                <w:sz w:val="9"/>
                <w:szCs w:val="9"/>
                <w:color w:val="auto"/>
              </w:rPr>
            </w:pPr>
          </w:p>
        </w:tc>
        <w:tc>
          <w:tcPr>
            <w:tcW w:w="380" w:type="dxa"/>
            <w:vAlign w:val="bottom"/>
            <w:tcBorders>
              <w:top w:val="single" w:sz="8" w:color="0000EE"/>
              <w:bottom w:val="single" w:sz="8" w:color="005C7D"/>
            </w:tcBorders>
          </w:tcPr>
          <w:p>
            <w:pPr>
              <w:spacing w:after="0"/>
              <w:rPr>
                <w:sz w:val="9"/>
                <w:szCs w:val="9"/>
                <w:color w:val="auto"/>
              </w:rPr>
            </w:pPr>
          </w:p>
        </w:tc>
        <w:tc>
          <w:tcPr>
            <w:tcW w:w="120" w:type="dxa"/>
            <w:vAlign w:val="bottom"/>
            <w:tcBorders>
              <w:top w:val="single" w:sz="8" w:color="0000EE"/>
              <w:bottom w:val="single" w:sz="8" w:color="005C7D"/>
            </w:tcBorders>
          </w:tcPr>
          <w:p>
            <w:pPr>
              <w:spacing w:after="0"/>
              <w:rPr>
                <w:sz w:val="9"/>
                <w:szCs w:val="9"/>
                <w:color w:val="auto"/>
              </w:rPr>
            </w:pPr>
          </w:p>
        </w:tc>
        <w:tc>
          <w:tcPr>
            <w:tcW w:w="480" w:type="dxa"/>
            <w:vAlign w:val="bottom"/>
            <w:tcBorders>
              <w:top w:val="single" w:sz="8" w:color="0000EE"/>
              <w:bottom w:val="single" w:sz="8" w:color="005C7D"/>
            </w:tcBorders>
          </w:tcPr>
          <w:p>
            <w:pPr>
              <w:spacing w:after="0"/>
              <w:rPr>
                <w:sz w:val="9"/>
                <w:szCs w:val="9"/>
                <w:color w:val="auto"/>
              </w:rPr>
            </w:pPr>
          </w:p>
        </w:tc>
        <w:tc>
          <w:tcPr>
            <w:tcW w:w="32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60" w:type="dxa"/>
            <w:vAlign w:val="bottom"/>
            <w:tcBorders>
              <w:top w:val="single" w:sz="8" w:color="0000EE"/>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240" w:type="dxa"/>
            <w:vAlign w:val="bottom"/>
            <w:tcBorders>
              <w:top w:val="single" w:sz="8" w:color="0000EE"/>
              <w:bottom w:val="single" w:sz="8" w:color="005C7D"/>
            </w:tcBorders>
          </w:tcPr>
          <w:p>
            <w:pPr>
              <w:spacing w:after="0"/>
              <w:rPr>
                <w:sz w:val="9"/>
                <w:szCs w:val="9"/>
                <w:color w:val="auto"/>
              </w:rPr>
            </w:pPr>
          </w:p>
        </w:tc>
        <w:tc>
          <w:tcPr>
            <w:tcW w:w="240" w:type="dxa"/>
            <w:vAlign w:val="bottom"/>
            <w:tcBorders>
              <w:top w:val="single" w:sz="8" w:color="0000EE"/>
              <w:bottom w:val="single" w:sz="8" w:color="005C7D"/>
            </w:tcBorders>
          </w:tcPr>
          <w:p>
            <w:pPr>
              <w:spacing w:after="0"/>
              <w:rPr>
                <w:sz w:val="9"/>
                <w:szCs w:val="9"/>
                <w:color w:val="auto"/>
              </w:rPr>
            </w:pPr>
          </w:p>
        </w:tc>
        <w:tc>
          <w:tcPr>
            <w:tcW w:w="62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520" w:type="dxa"/>
            <w:vAlign w:val="bottom"/>
            <w:tcBorders>
              <w:bottom w:val="single" w:sz="8" w:color="005C7D"/>
            </w:tcBorders>
          </w:tcPr>
          <w:p>
            <w:pPr>
              <w:spacing w:after="0"/>
              <w:rPr>
                <w:sz w:val="9"/>
                <w:szCs w:val="9"/>
                <w:color w:val="auto"/>
              </w:rPr>
            </w:pPr>
          </w:p>
        </w:tc>
        <w:tc>
          <w:tcPr>
            <w:tcW w:w="20" w:type="dxa"/>
            <w:vAlign w:val="bottom"/>
            <w:tcBorders>
              <w:bottom w:val="single" w:sz="8" w:color="005C7D"/>
            </w:tcBorders>
          </w:tcPr>
          <w:p>
            <w:pPr>
              <w:spacing w:after="0"/>
              <w:rPr>
                <w:sz w:val="9"/>
                <w:szCs w:val="9"/>
                <w:color w:val="auto"/>
              </w:rPr>
            </w:pPr>
          </w:p>
        </w:tc>
        <w:tc>
          <w:tcPr>
            <w:tcW w:w="16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120" w:type="dxa"/>
            <w:vAlign w:val="bottom"/>
            <w:tcBorders>
              <w:bottom w:val="single" w:sz="8" w:color="005C7D"/>
            </w:tcBorders>
          </w:tcPr>
          <w:p>
            <w:pPr>
              <w:spacing w:after="0"/>
              <w:rPr>
                <w:sz w:val="9"/>
                <w:szCs w:val="9"/>
                <w:color w:val="auto"/>
              </w:rPr>
            </w:pPr>
          </w:p>
        </w:tc>
        <w:tc>
          <w:tcPr>
            <w:tcW w:w="320" w:type="dxa"/>
            <w:vAlign w:val="bottom"/>
            <w:tcBorders>
              <w:bottom w:val="single" w:sz="8" w:color="005C7D"/>
            </w:tcBorders>
          </w:tcPr>
          <w:p>
            <w:pPr>
              <w:spacing w:after="0"/>
              <w:rPr>
                <w:sz w:val="9"/>
                <w:szCs w:val="9"/>
                <w:color w:val="auto"/>
              </w:rPr>
            </w:pPr>
          </w:p>
        </w:tc>
        <w:tc>
          <w:tcPr>
            <w:tcW w:w="440" w:type="dxa"/>
            <w:vAlign w:val="bottom"/>
            <w:tcBorders>
              <w:bottom w:val="single" w:sz="8" w:color="005C7D"/>
            </w:tcBorders>
          </w:tcPr>
          <w:p>
            <w:pPr>
              <w:spacing w:after="0"/>
              <w:rPr>
                <w:sz w:val="9"/>
                <w:szCs w:val="9"/>
                <w:color w:val="auto"/>
              </w:rPr>
            </w:pPr>
          </w:p>
        </w:tc>
        <w:tc>
          <w:tcPr>
            <w:tcW w:w="600" w:type="dxa"/>
            <w:vAlign w:val="bottom"/>
            <w:tcBorders>
              <w:bottom w:val="single" w:sz="8" w:color="005C7D"/>
            </w:tcBorders>
          </w:tcPr>
          <w:p>
            <w:pPr>
              <w:spacing w:after="0"/>
              <w:rPr>
                <w:sz w:val="9"/>
                <w:szCs w:val="9"/>
                <w:color w:val="auto"/>
              </w:rPr>
            </w:pPr>
          </w:p>
        </w:tc>
        <w:tc>
          <w:tcPr>
            <w:tcW w:w="1520" w:type="dxa"/>
            <w:vAlign w:val="bottom"/>
            <w:tcBorders>
              <w:bottom w:val="single" w:sz="8" w:color="005C7D"/>
            </w:tcBorders>
          </w:tcPr>
          <w:p>
            <w:pPr>
              <w:spacing w:after="0"/>
              <w:rPr>
                <w:sz w:val="9"/>
                <w:szCs w:val="9"/>
                <w:color w:val="auto"/>
              </w:rPr>
            </w:pPr>
          </w:p>
        </w:tc>
        <w:tc>
          <w:tcPr>
            <w:tcW w:w="140" w:type="dxa"/>
            <w:vAlign w:val="bottom"/>
            <w:tcBorders>
              <w:bottom w:val="single" w:sz="8" w:color="005C7D"/>
            </w:tcBorders>
          </w:tcPr>
          <w:p>
            <w:pPr>
              <w:spacing w:after="0"/>
              <w:rPr>
                <w:sz w:val="9"/>
                <w:szCs w:val="9"/>
                <w:color w:val="auto"/>
              </w:rPr>
            </w:pPr>
          </w:p>
        </w:tc>
        <w:tc>
          <w:tcPr>
            <w:tcW w:w="46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260" w:type="dxa"/>
            <w:vAlign w:val="bottom"/>
            <w:tcBorders>
              <w:bottom w:val="single" w:sz="8" w:color="005C7D"/>
            </w:tcBorders>
          </w:tcPr>
          <w:p>
            <w:pPr>
              <w:spacing w:after="0"/>
              <w:rPr>
                <w:sz w:val="9"/>
                <w:szCs w:val="9"/>
                <w:color w:val="auto"/>
              </w:rPr>
            </w:pPr>
          </w:p>
        </w:tc>
        <w:tc>
          <w:tcPr>
            <w:tcW w:w="20" w:type="dxa"/>
            <w:vAlign w:val="bottom"/>
            <w:tcBorders>
              <w:bottom w:val="single" w:sz="8" w:color="005C7D"/>
            </w:tcBorders>
          </w:tcPr>
          <w:p>
            <w:pPr>
              <w:spacing w:after="0"/>
              <w:rPr>
                <w:sz w:val="9"/>
                <w:szCs w:val="9"/>
                <w:color w:val="auto"/>
              </w:rPr>
            </w:pPr>
          </w:p>
        </w:tc>
        <w:tc>
          <w:tcPr>
            <w:tcW w:w="80" w:type="dxa"/>
            <w:vAlign w:val="bottom"/>
            <w:tcBorders>
              <w:bottom w:val="single" w:sz="8" w:color="005C7D"/>
            </w:tcBorders>
          </w:tcPr>
          <w:p>
            <w:pPr>
              <w:spacing w:after="0"/>
              <w:rPr>
                <w:sz w:val="9"/>
                <w:szCs w:val="9"/>
                <w:color w:val="auto"/>
              </w:rPr>
            </w:pPr>
          </w:p>
        </w:tc>
        <w:tc>
          <w:tcPr>
            <w:tcW w:w="180" w:type="dxa"/>
            <w:vAlign w:val="bottom"/>
            <w:tcBorders>
              <w:top w:val="single" w:sz="8" w:color="0000EE"/>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r>
      <w:tr>
        <w:trPr>
          <w:trHeight w:val="271"/>
        </w:trPr>
        <w:tc>
          <w:tcPr>
            <w:tcW w:w="8960" w:type="dxa"/>
            <w:vAlign w:val="bottom"/>
            <w:gridSpan w:val="25"/>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TABULAR EXECUTIVE COMPENSATION DISCLOSURE</w:t>
              </w:r>
            </w:hyperlink>
          </w:p>
        </w:tc>
        <w:tc>
          <w:tcPr>
            <w:tcW w:w="540" w:type="dxa"/>
            <w:vAlign w:val="bottom"/>
            <w:gridSpan w:val="4"/>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62</w:t>
              </w:r>
            </w:hyperlink>
          </w:p>
        </w:tc>
        <w:tc>
          <w:tcPr>
            <w:tcW w:w="60" w:type="dxa"/>
            <w:vAlign w:val="bottom"/>
          </w:tcPr>
          <w:p>
            <w:pPr>
              <w:spacing w:after="0"/>
              <w:rPr>
                <w:sz w:val="23"/>
                <w:szCs w:val="23"/>
                <w:color w:val="auto"/>
              </w:rPr>
            </w:pPr>
          </w:p>
        </w:tc>
      </w:tr>
      <w:tr>
        <w:trPr>
          <w:trHeight w:val="108"/>
        </w:trPr>
        <w:tc>
          <w:tcPr>
            <w:tcW w:w="540" w:type="dxa"/>
            <w:vAlign w:val="bottom"/>
            <w:tcBorders>
              <w:top w:val="single" w:sz="8" w:color="0000EE"/>
              <w:bottom w:val="single" w:sz="8" w:color="005C7D"/>
            </w:tcBorders>
          </w:tcPr>
          <w:p>
            <w:pPr>
              <w:spacing w:after="0"/>
              <w:rPr>
                <w:sz w:val="9"/>
                <w:szCs w:val="9"/>
                <w:color w:val="auto"/>
              </w:rPr>
            </w:pPr>
          </w:p>
        </w:tc>
        <w:tc>
          <w:tcPr>
            <w:tcW w:w="1000" w:type="dxa"/>
            <w:vAlign w:val="bottom"/>
            <w:tcBorders>
              <w:top w:val="single" w:sz="8" w:color="0000EE"/>
              <w:bottom w:val="single" w:sz="8" w:color="005C7D"/>
            </w:tcBorders>
          </w:tcPr>
          <w:p>
            <w:pPr>
              <w:spacing w:after="0"/>
              <w:rPr>
                <w:sz w:val="9"/>
                <w:szCs w:val="9"/>
                <w:color w:val="auto"/>
              </w:rPr>
            </w:pPr>
          </w:p>
        </w:tc>
        <w:tc>
          <w:tcPr>
            <w:tcW w:w="380" w:type="dxa"/>
            <w:vAlign w:val="bottom"/>
            <w:tcBorders>
              <w:top w:val="single" w:sz="8" w:color="0000EE"/>
              <w:bottom w:val="single" w:sz="8" w:color="005C7D"/>
            </w:tcBorders>
          </w:tcPr>
          <w:p>
            <w:pPr>
              <w:spacing w:after="0"/>
              <w:rPr>
                <w:sz w:val="9"/>
                <w:szCs w:val="9"/>
                <w:color w:val="auto"/>
              </w:rPr>
            </w:pPr>
          </w:p>
        </w:tc>
        <w:tc>
          <w:tcPr>
            <w:tcW w:w="120" w:type="dxa"/>
            <w:vAlign w:val="bottom"/>
            <w:tcBorders>
              <w:top w:val="single" w:sz="8" w:color="0000EE"/>
              <w:bottom w:val="single" w:sz="8" w:color="005C7D"/>
            </w:tcBorders>
          </w:tcPr>
          <w:p>
            <w:pPr>
              <w:spacing w:after="0"/>
              <w:rPr>
                <w:sz w:val="9"/>
                <w:szCs w:val="9"/>
                <w:color w:val="auto"/>
              </w:rPr>
            </w:pPr>
          </w:p>
        </w:tc>
        <w:tc>
          <w:tcPr>
            <w:tcW w:w="480" w:type="dxa"/>
            <w:vAlign w:val="bottom"/>
            <w:tcBorders>
              <w:top w:val="single" w:sz="8" w:color="0000EE"/>
              <w:bottom w:val="single" w:sz="8" w:color="005C7D"/>
            </w:tcBorders>
          </w:tcPr>
          <w:p>
            <w:pPr>
              <w:spacing w:after="0"/>
              <w:rPr>
                <w:sz w:val="9"/>
                <w:szCs w:val="9"/>
                <w:color w:val="auto"/>
              </w:rPr>
            </w:pPr>
          </w:p>
        </w:tc>
        <w:tc>
          <w:tcPr>
            <w:tcW w:w="32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60" w:type="dxa"/>
            <w:vAlign w:val="bottom"/>
            <w:tcBorders>
              <w:top w:val="single" w:sz="8" w:color="0000EE"/>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240" w:type="dxa"/>
            <w:vAlign w:val="bottom"/>
            <w:tcBorders>
              <w:top w:val="single" w:sz="8" w:color="0000EE"/>
              <w:bottom w:val="single" w:sz="8" w:color="005C7D"/>
            </w:tcBorders>
          </w:tcPr>
          <w:p>
            <w:pPr>
              <w:spacing w:after="0"/>
              <w:rPr>
                <w:sz w:val="9"/>
                <w:szCs w:val="9"/>
                <w:color w:val="auto"/>
              </w:rPr>
            </w:pPr>
          </w:p>
        </w:tc>
        <w:tc>
          <w:tcPr>
            <w:tcW w:w="240" w:type="dxa"/>
            <w:vAlign w:val="bottom"/>
            <w:tcBorders>
              <w:top w:val="single" w:sz="8" w:color="0000EE"/>
              <w:bottom w:val="single" w:sz="8" w:color="005C7D"/>
            </w:tcBorders>
          </w:tcPr>
          <w:p>
            <w:pPr>
              <w:spacing w:after="0"/>
              <w:rPr>
                <w:sz w:val="9"/>
                <w:szCs w:val="9"/>
                <w:color w:val="auto"/>
              </w:rPr>
            </w:pPr>
          </w:p>
        </w:tc>
        <w:tc>
          <w:tcPr>
            <w:tcW w:w="62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520" w:type="dxa"/>
            <w:vAlign w:val="bottom"/>
            <w:tcBorders>
              <w:top w:val="single" w:sz="8" w:color="0000EE"/>
              <w:bottom w:val="single" w:sz="8" w:color="005C7D"/>
            </w:tcBorders>
          </w:tcPr>
          <w:p>
            <w:pPr>
              <w:spacing w:after="0"/>
              <w:rPr>
                <w:sz w:val="9"/>
                <w:szCs w:val="9"/>
                <w:color w:val="auto"/>
              </w:rPr>
            </w:pPr>
          </w:p>
        </w:tc>
        <w:tc>
          <w:tcPr>
            <w:tcW w:w="20" w:type="dxa"/>
            <w:vAlign w:val="bottom"/>
            <w:tcBorders>
              <w:top w:val="single" w:sz="8" w:color="0000EE"/>
              <w:bottom w:val="single" w:sz="8" w:color="005C7D"/>
            </w:tcBorders>
          </w:tcPr>
          <w:p>
            <w:pPr>
              <w:spacing w:after="0"/>
              <w:rPr>
                <w:sz w:val="9"/>
                <w:szCs w:val="9"/>
                <w:color w:val="auto"/>
              </w:rPr>
            </w:pPr>
          </w:p>
        </w:tc>
        <w:tc>
          <w:tcPr>
            <w:tcW w:w="16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120" w:type="dxa"/>
            <w:vAlign w:val="bottom"/>
            <w:tcBorders>
              <w:bottom w:val="single" w:sz="8" w:color="005C7D"/>
            </w:tcBorders>
          </w:tcPr>
          <w:p>
            <w:pPr>
              <w:spacing w:after="0"/>
              <w:rPr>
                <w:sz w:val="9"/>
                <w:szCs w:val="9"/>
                <w:color w:val="auto"/>
              </w:rPr>
            </w:pPr>
          </w:p>
        </w:tc>
        <w:tc>
          <w:tcPr>
            <w:tcW w:w="320" w:type="dxa"/>
            <w:vAlign w:val="bottom"/>
            <w:tcBorders>
              <w:bottom w:val="single" w:sz="8" w:color="005C7D"/>
            </w:tcBorders>
          </w:tcPr>
          <w:p>
            <w:pPr>
              <w:spacing w:after="0"/>
              <w:rPr>
                <w:sz w:val="9"/>
                <w:szCs w:val="9"/>
                <w:color w:val="auto"/>
              </w:rPr>
            </w:pPr>
          </w:p>
        </w:tc>
        <w:tc>
          <w:tcPr>
            <w:tcW w:w="440" w:type="dxa"/>
            <w:vAlign w:val="bottom"/>
            <w:tcBorders>
              <w:bottom w:val="single" w:sz="8" w:color="005C7D"/>
            </w:tcBorders>
          </w:tcPr>
          <w:p>
            <w:pPr>
              <w:spacing w:after="0"/>
              <w:rPr>
                <w:sz w:val="9"/>
                <w:szCs w:val="9"/>
                <w:color w:val="auto"/>
              </w:rPr>
            </w:pPr>
          </w:p>
        </w:tc>
        <w:tc>
          <w:tcPr>
            <w:tcW w:w="600" w:type="dxa"/>
            <w:vAlign w:val="bottom"/>
            <w:tcBorders>
              <w:bottom w:val="single" w:sz="8" w:color="005C7D"/>
            </w:tcBorders>
          </w:tcPr>
          <w:p>
            <w:pPr>
              <w:spacing w:after="0"/>
              <w:rPr>
                <w:sz w:val="9"/>
                <w:szCs w:val="9"/>
                <w:color w:val="auto"/>
              </w:rPr>
            </w:pPr>
          </w:p>
        </w:tc>
        <w:tc>
          <w:tcPr>
            <w:tcW w:w="1520" w:type="dxa"/>
            <w:vAlign w:val="bottom"/>
            <w:tcBorders>
              <w:bottom w:val="single" w:sz="8" w:color="005C7D"/>
            </w:tcBorders>
          </w:tcPr>
          <w:p>
            <w:pPr>
              <w:spacing w:after="0"/>
              <w:rPr>
                <w:sz w:val="9"/>
                <w:szCs w:val="9"/>
                <w:color w:val="auto"/>
              </w:rPr>
            </w:pPr>
          </w:p>
        </w:tc>
        <w:tc>
          <w:tcPr>
            <w:tcW w:w="140" w:type="dxa"/>
            <w:vAlign w:val="bottom"/>
            <w:tcBorders>
              <w:bottom w:val="single" w:sz="8" w:color="005C7D"/>
            </w:tcBorders>
          </w:tcPr>
          <w:p>
            <w:pPr>
              <w:spacing w:after="0"/>
              <w:rPr>
                <w:sz w:val="9"/>
                <w:szCs w:val="9"/>
                <w:color w:val="auto"/>
              </w:rPr>
            </w:pPr>
          </w:p>
        </w:tc>
        <w:tc>
          <w:tcPr>
            <w:tcW w:w="46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260" w:type="dxa"/>
            <w:vAlign w:val="bottom"/>
            <w:tcBorders>
              <w:bottom w:val="single" w:sz="8" w:color="005C7D"/>
            </w:tcBorders>
          </w:tcPr>
          <w:p>
            <w:pPr>
              <w:spacing w:after="0"/>
              <w:rPr>
                <w:sz w:val="9"/>
                <w:szCs w:val="9"/>
                <w:color w:val="auto"/>
              </w:rPr>
            </w:pPr>
          </w:p>
        </w:tc>
        <w:tc>
          <w:tcPr>
            <w:tcW w:w="20" w:type="dxa"/>
            <w:vAlign w:val="bottom"/>
            <w:tcBorders>
              <w:bottom w:val="single" w:sz="8" w:color="005C7D"/>
            </w:tcBorders>
          </w:tcPr>
          <w:p>
            <w:pPr>
              <w:spacing w:after="0"/>
              <w:rPr>
                <w:sz w:val="9"/>
                <w:szCs w:val="9"/>
                <w:color w:val="auto"/>
              </w:rPr>
            </w:pPr>
          </w:p>
        </w:tc>
        <w:tc>
          <w:tcPr>
            <w:tcW w:w="80" w:type="dxa"/>
            <w:vAlign w:val="bottom"/>
            <w:tcBorders>
              <w:bottom w:val="single" w:sz="8" w:color="005C7D"/>
            </w:tcBorders>
          </w:tcPr>
          <w:p>
            <w:pPr>
              <w:spacing w:after="0"/>
              <w:rPr>
                <w:sz w:val="9"/>
                <w:szCs w:val="9"/>
                <w:color w:val="auto"/>
              </w:rPr>
            </w:pPr>
          </w:p>
        </w:tc>
        <w:tc>
          <w:tcPr>
            <w:tcW w:w="180" w:type="dxa"/>
            <w:vAlign w:val="bottom"/>
            <w:tcBorders>
              <w:top w:val="single" w:sz="8" w:color="0000EE"/>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r>
      <w:tr>
        <w:trPr>
          <w:trHeight w:val="271"/>
        </w:trPr>
        <w:tc>
          <w:tcPr>
            <w:tcW w:w="8960" w:type="dxa"/>
            <w:vAlign w:val="bottom"/>
            <w:gridSpan w:val="25"/>
          </w:tcPr>
          <w:p>
            <w:pPr>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COMPENSATION OF DIRECTORS</w:t>
              </w:r>
            </w:hyperlink>
          </w:p>
        </w:tc>
        <w:tc>
          <w:tcPr>
            <w:tcW w:w="540" w:type="dxa"/>
            <w:vAlign w:val="bottom"/>
            <w:gridSpan w:val="4"/>
          </w:tcPr>
          <w:p>
            <w:pPr>
              <w:jc w:val="right"/>
              <w:spacing w:after="0"/>
              <w:rPr>
                <w:rFonts w:ascii="Arial" w:cs="Arial" w:eastAsia="Arial" w:hAnsi="Arial"/>
                <w:sz w:val="18"/>
                <w:szCs w:val="18"/>
                <w:color w:val="0000EE"/>
              </w:rPr>
            </w:pPr>
            <w:hyperlink w:anchor="page85">
              <w:r>
                <w:rPr>
                  <w:rFonts w:ascii="Arial" w:cs="Arial" w:eastAsia="Arial" w:hAnsi="Arial"/>
                  <w:sz w:val="18"/>
                  <w:szCs w:val="18"/>
                  <w:color w:val="0000EE"/>
                </w:rPr>
                <w:t>79</w:t>
              </w:r>
            </w:hyperlink>
          </w:p>
        </w:tc>
        <w:tc>
          <w:tcPr>
            <w:tcW w:w="60" w:type="dxa"/>
            <w:vAlign w:val="bottom"/>
          </w:tcPr>
          <w:p>
            <w:pPr>
              <w:spacing w:after="0"/>
              <w:rPr>
                <w:sz w:val="23"/>
                <w:szCs w:val="23"/>
                <w:color w:val="auto"/>
              </w:rPr>
            </w:pPr>
          </w:p>
        </w:tc>
      </w:tr>
      <w:tr>
        <w:trPr>
          <w:trHeight w:val="108"/>
        </w:trPr>
        <w:tc>
          <w:tcPr>
            <w:tcW w:w="540" w:type="dxa"/>
            <w:vAlign w:val="bottom"/>
            <w:tcBorders>
              <w:top w:val="single" w:sz="8" w:color="0000EE"/>
              <w:bottom w:val="single" w:sz="8" w:color="005C7D"/>
            </w:tcBorders>
          </w:tcPr>
          <w:p>
            <w:pPr>
              <w:spacing w:after="0"/>
              <w:rPr>
                <w:sz w:val="9"/>
                <w:szCs w:val="9"/>
                <w:color w:val="auto"/>
              </w:rPr>
            </w:pPr>
          </w:p>
        </w:tc>
        <w:tc>
          <w:tcPr>
            <w:tcW w:w="1000" w:type="dxa"/>
            <w:vAlign w:val="bottom"/>
            <w:tcBorders>
              <w:top w:val="single" w:sz="8" w:color="0000EE"/>
              <w:bottom w:val="single" w:sz="8" w:color="005C7D"/>
            </w:tcBorders>
          </w:tcPr>
          <w:p>
            <w:pPr>
              <w:spacing w:after="0"/>
              <w:rPr>
                <w:sz w:val="9"/>
                <w:szCs w:val="9"/>
                <w:color w:val="auto"/>
              </w:rPr>
            </w:pPr>
          </w:p>
        </w:tc>
        <w:tc>
          <w:tcPr>
            <w:tcW w:w="380" w:type="dxa"/>
            <w:vAlign w:val="bottom"/>
            <w:tcBorders>
              <w:top w:val="single" w:sz="8" w:color="0000EE"/>
              <w:bottom w:val="single" w:sz="8" w:color="005C7D"/>
            </w:tcBorders>
          </w:tcPr>
          <w:p>
            <w:pPr>
              <w:spacing w:after="0"/>
              <w:rPr>
                <w:sz w:val="9"/>
                <w:szCs w:val="9"/>
                <w:color w:val="auto"/>
              </w:rPr>
            </w:pPr>
          </w:p>
        </w:tc>
        <w:tc>
          <w:tcPr>
            <w:tcW w:w="120" w:type="dxa"/>
            <w:vAlign w:val="bottom"/>
            <w:tcBorders>
              <w:top w:val="single" w:sz="8" w:color="0000EE"/>
              <w:bottom w:val="single" w:sz="8" w:color="005C7D"/>
            </w:tcBorders>
          </w:tcPr>
          <w:p>
            <w:pPr>
              <w:spacing w:after="0"/>
              <w:rPr>
                <w:sz w:val="9"/>
                <w:szCs w:val="9"/>
                <w:color w:val="auto"/>
              </w:rPr>
            </w:pPr>
          </w:p>
        </w:tc>
        <w:tc>
          <w:tcPr>
            <w:tcW w:w="480" w:type="dxa"/>
            <w:vAlign w:val="bottom"/>
            <w:tcBorders>
              <w:top w:val="single" w:sz="8" w:color="0000EE"/>
              <w:bottom w:val="single" w:sz="8" w:color="005C7D"/>
            </w:tcBorders>
          </w:tcPr>
          <w:p>
            <w:pPr>
              <w:spacing w:after="0"/>
              <w:rPr>
                <w:sz w:val="9"/>
                <w:szCs w:val="9"/>
                <w:color w:val="auto"/>
              </w:rPr>
            </w:pPr>
          </w:p>
        </w:tc>
        <w:tc>
          <w:tcPr>
            <w:tcW w:w="32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c>
          <w:tcPr>
            <w:tcW w:w="10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620" w:type="dxa"/>
            <w:vAlign w:val="bottom"/>
            <w:tcBorders>
              <w:bottom w:val="single" w:sz="8" w:color="005C7D"/>
            </w:tcBorders>
          </w:tcPr>
          <w:p>
            <w:pPr>
              <w:spacing w:after="0"/>
              <w:rPr>
                <w:sz w:val="9"/>
                <w:szCs w:val="9"/>
                <w:color w:val="auto"/>
              </w:rPr>
            </w:pPr>
          </w:p>
        </w:tc>
        <w:tc>
          <w:tcPr>
            <w:tcW w:w="40" w:type="dxa"/>
            <w:vAlign w:val="bottom"/>
            <w:tcBorders>
              <w:bottom w:val="single" w:sz="8" w:color="005C7D"/>
            </w:tcBorders>
          </w:tcPr>
          <w:p>
            <w:pPr>
              <w:spacing w:after="0"/>
              <w:rPr>
                <w:sz w:val="9"/>
                <w:szCs w:val="9"/>
                <w:color w:val="auto"/>
              </w:rPr>
            </w:pPr>
          </w:p>
        </w:tc>
        <w:tc>
          <w:tcPr>
            <w:tcW w:w="520" w:type="dxa"/>
            <w:vAlign w:val="bottom"/>
            <w:tcBorders>
              <w:bottom w:val="single" w:sz="8" w:color="005C7D"/>
            </w:tcBorders>
          </w:tcPr>
          <w:p>
            <w:pPr>
              <w:spacing w:after="0"/>
              <w:rPr>
                <w:sz w:val="9"/>
                <w:szCs w:val="9"/>
                <w:color w:val="auto"/>
              </w:rPr>
            </w:pPr>
          </w:p>
        </w:tc>
        <w:tc>
          <w:tcPr>
            <w:tcW w:w="20" w:type="dxa"/>
            <w:vAlign w:val="bottom"/>
            <w:tcBorders>
              <w:bottom w:val="single" w:sz="8" w:color="005C7D"/>
            </w:tcBorders>
          </w:tcPr>
          <w:p>
            <w:pPr>
              <w:spacing w:after="0"/>
              <w:rPr>
                <w:sz w:val="9"/>
                <w:szCs w:val="9"/>
                <w:color w:val="auto"/>
              </w:rPr>
            </w:pPr>
          </w:p>
        </w:tc>
        <w:tc>
          <w:tcPr>
            <w:tcW w:w="16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120" w:type="dxa"/>
            <w:vAlign w:val="bottom"/>
            <w:tcBorders>
              <w:bottom w:val="single" w:sz="8" w:color="005C7D"/>
            </w:tcBorders>
          </w:tcPr>
          <w:p>
            <w:pPr>
              <w:spacing w:after="0"/>
              <w:rPr>
                <w:sz w:val="9"/>
                <w:szCs w:val="9"/>
                <w:color w:val="auto"/>
              </w:rPr>
            </w:pPr>
          </w:p>
        </w:tc>
        <w:tc>
          <w:tcPr>
            <w:tcW w:w="320" w:type="dxa"/>
            <w:vAlign w:val="bottom"/>
            <w:tcBorders>
              <w:bottom w:val="single" w:sz="8" w:color="005C7D"/>
            </w:tcBorders>
          </w:tcPr>
          <w:p>
            <w:pPr>
              <w:spacing w:after="0"/>
              <w:rPr>
                <w:sz w:val="9"/>
                <w:szCs w:val="9"/>
                <w:color w:val="auto"/>
              </w:rPr>
            </w:pPr>
          </w:p>
        </w:tc>
        <w:tc>
          <w:tcPr>
            <w:tcW w:w="440" w:type="dxa"/>
            <w:vAlign w:val="bottom"/>
            <w:tcBorders>
              <w:bottom w:val="single" w:sz="8" w:color="005C7D"/>
            </w:tcBorders>
          </w:tcPr>
          <w:p>
            <w:pPr>
              <w:spacing w:after="0"/>
              <w:rPr>
                <w:sz w:val="9"/>
                <w:szCs w:val="9"/>
                <w:color w:val="auto"/>
              </w:rPr>
            </w:pPr>
          </w:p>
        </w:tc>
        <w:tc>
          <w:tcPr>
            <w:tcW w:w="600" w:type="dxa"/>
            <w:vAlign w:val="bottom"/>
            <w:tcBorders>
              <w:bottom w:val="single" w:sz="8" w:color="005C7D"/>
            </w:tcBorders>
          </w:tcPr>
          <w:p>
            <w:pPr>
              <w:spacing w:after="0"/>
              <w:rPr>
                <w:sz w:val="9"/>
                <w:szCs w:val="9"/>
                <w:color w:val="auto"/>
              </w:rPr>
            </w:pPr>
          </w:p>
        </w:tc>
        <w:tc>
          <w:tcPr>
            <w:tcW w:w="1520" w:type="dxa"/>
            <w:vAlign w:val="bottom"/>
            <w:tcBorders>
              <w:bottom w:val="single" w:sz="8" w:color="005C7D"/>
            </w:tcBorders>
          </w:tcPr>
          <w:p>
            <w:pPr>
              <w:spacing w:after="0"/>
              <w:rPr>
                <w:sz w:val="9"/>
                <w:szCs w:val="9"/>
                <w:color w:val="auto"/>
              </w:rPr>
            </w:pPr>
          </w:p>
        </w:tc>
        <w:tc>
          <w:tcPr>
            <w:tcW w:w="140" w:type="dxa"/>
            <w:vAlign w:val="bottom"/>
            <w:tcBorders>
              <w:bottom w:val="single" w:sz="8" w:color="005C7D"/>
            </w:tcBorders>
          </w:tcPr>
          <w:p>
            <w:pPr>
              <w:spacing w:after="0"/>
              <w:rPr>
                <w:sz w:val="9"/>
                <w:szCs w:val="9"/>
                <w:color w:val="auto"/>
              </w:rPr>
            </w:pPr>
          </w:p>
        </w:tc>
        <w:tc>
          <w:tcPr>
            <w:tcW w:w="46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260" w:type="dxa"/>
            <w:vAlign w:val="bottom"/>
            <w:tcBorders>
              <w:bottom w:val="single" w:sz="8" w:color="005C7D"/>
            </w:tcBorders>
          </w:tcPr>
          <w:p>
            <w:pPr>
              <w:spacing w:after="0"/>
              <w:rPr>
                <w:sz w:val="9"/>
                <w:szCs w:val="9"/>
                <w:color w:val="auto"/>
              </w:rPr>
            </w:pPr>
          </w:p>
        </w:tc>
        <w:tc>
          <w:tcPr>
            <w:tcW w:w="20" w:type="dxa"/>
            <w:vAlign w:val="bottom"/>
            <w:tcBorders>
              <w:bottom w:val="single" w:sz="8" w:color="005C7D"/>
            </w:tcBorders>
          </w:tcPr>
          <w:p>
            <w:pPr>
              <w:spacing w:after="0"/>
              <w:rPr>
                <w:sz w:val="9"/>
                <w:szCs w:val="9"/>
                <w:color w:val="auto"/>
              </w:rPr>
            </w:pPr>
          </w:p>
        </w:tc>
        <w:tc>
          <w:tcPr>
            <w:tcW w:w="80" w:type="dxa"/>
            <w:vAlign w:val="bottom"/>
            <w:tcBorders>
              <w:bottom w:val="single" w:sz="8" w:color="005C7D"/>
            </w:tcBorders>
          </w:tcPr>
          <w:p>
            <w:pPr>
              <w:spacing w:after="0"/>
              <w:rPr>
                <w:sz w:val="9"/>
                <w:szCs w:val="9"/>
                <w:color w:val="auto"/>
              </w:rPr>
            </w:pPr>
          </w:p>
        </w:tc>
        <w:tc>
          <w:tcPr>
            <w:tcW w:w="180" w:type="dxa"/>
            <w:vAlign w:val="bottom"/>
            <w:tcBorders>
              <w:top w:val="single" w:sz="8" w:color="0000EE"/>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r>
      <w:tr>
        <w:trPr>
          <w:trHeight w:val="271"/>
        </w:trPr>
        <w:tc>
          <w:tcPr>
            <w:tcW w:w="8960" w:type="dxa"/>
            <w:vAlign w:val="bottom"/>
            <w:gridSpan w:val="25"/>
          </w:tcPr>
          <w:p>
            <w:pPr>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REPORT OF THE AUDIT COMMITTEE</w:t>
              </w:r>
            </w:hyperlink>
          </w:p>
        </w:tc>
        <w:tc>
          <w:tcPr>
            <w:tcW w:w="540" w:type="dxa"/>
            <w:vAlign w:val="bottom"/>
            <w:gridSpan w:val="4"/>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81</w:t>
              </w:r>
            </w:hyperlink>
          </w:p>
        </w:tc>
        <w:tc>
          <w:tcPr>
            <w:tcW w:w="60" w:type="dxa"/>
            <w:vAlign w:val="bottom"/>
          </w:tcPr>
          <w:p>
            <w:pPr>
              <w:spacing w:after="0"/>
              <w:rPr>
                <w:sz w:val="23"/>
                <w:szCs w:val="23"/>
                <w:color w:val="auto"/>
              </w:rPr>
            </w:pPr>
          </w:p>
        </w:tc>
      </w:tr>
      <w:tr>
        <w:trPr>
          <w:trHeight w:val="108"/>
        </w:trPr>
        <w:tc>
          <w:tcPr>
            <w:tcW w:w="540" w:type="dxa"/>
            <w:vAlign w:val="bottom"/>
            <w:tcBorders>
              <w:top w:val="single" w:sz="8" w:color="0000EE"/>
              <w:bottom w:val="single" w:sz="8" w:color="005C7D"/>
            </w:tcBorders>
          </w:tcPr>
          <w:p>
            <w:pPr>
              <w:spacing w:after="0"/>
              <w:rPr>
                <w:sz w:val="9"/>
                <w:szCs w:val="9"/>
                <w:color w:val="auto"/>
              </w:rPr>
            </w:pPr>
          </w:p>
        </w:tc>
        <w:tc>
          <w:tcPr>
            <w:tcW w:w="1000" w:type="dxa"/>
            <w:vAlign w:val="bottom"/>
            <w:tcBorders>
              <w:top w:val="single" w:sz="8" w:color="0000EE"/>
              <w:bottom w:val="single" w:sz="8" w:color="005C7D"/>
            </w:tcBorders>
          </w:tcPr>
          <w:p>
            <w:pPr>
              <w:spacing w:after="0"/>
              <w:rPr>
                <w:sz w:val="9"/>
                <w:szCs w:val="9"/>
                <w:color w:val="auto"/>
              </w:rPr>
            </w:pPr>
          </w:p>
        </w:tc>
        <w:tc>
          <w:tcPr>
            <w:tcW w:w="380" w:type="dxa"/>
            <w:vAlign w:val="bottom"/>
            <w:tcBorders>
              <w:top w:val="single" w:sz="8" w:color="0000EE"/>
              <w:bottom w:val="single" w:sz="8" w:color="005C7D"/>
            </w:tcBorders>
          </w:tcPr>
          <w:p>
            <w:pPr>
              <w:spacing w:after="0"/>
              <w:rPr>
                <w:sz w:val="9"/>
                <w:szCs w:val="9"/>
                <w:color w:val="auto"/>
              </w:rPr>
            </w:pPr>
          </w:p>
        </w:tc>
        <w:tc>
          <w:tcPr>
            <w:tcW w:w="120" w:type="dxa"/>
            <w:vAlign w:val="bottom"/>
            <w:tcBorders>
              <w:top w:val="single" w:sz="8" w:color="0000EE"/>
              <w:bottom w:val="single" w:sz="8" w:color="005C7D"/>
            </w:tcBorders>
          </w:tcPr>
          <w:p>
            <w:pPr>
              <w:spacing w:after="0"/>
              <w:rPr>
                <w:sz w:val="9"/>
                <w:szCs w:val="9"/>
                <w:color w:val="auto"/>
              </w:rPr>
            </w:pPr>
          </w:p>
        </w:tc>
        <w:tc>
          <w:tcPr>
            <w:tcW w:w="480" w:type="dxa"/>
            <w:vAlign w:val="bottom"/>
            <w:tcBorders>
              <w:top w:val="single" w:sz="8" w:color="0000EE"/>
              <w:bottom w:val="single" w:sz="8" w:color="005C7D"/>
            </w:tcBorders>
          </w:tcPr>
          <w:p>
            <w:pPr>
              <w:spacing w:after="0"/>
              <w:rPr>
                <w:sz w:val="9"/>
                <w:szCs w:val="9"/>
                <w:color w:val="auto"/>
              </w:rPr>
            </w:pPr>
          </w:p>
        </w:tc>
        <w:tc>
          <w:tcPr>
            <w:tcW w:w="32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60" w:type="dxa"/>
            <w:vAlign w:val="bottom"/>
            <w:tcBorders>
              <w:top w:val="single" w:sz="8" w:color="0000EE"/>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240" w:type="dxa"/>
            <w:vAlign w:val="bottom"/>
            <w:tcBorders>
              <w:top w:val="single" w:sz="8" w:color="0000EE"/>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620" w:type="dxa"/>
            <w:vAlign w:val="bottom"/>
            <w:tcBorders>
              <w:bottom w:val="single" w:sz="8" w:color="005C7D"/>
            </w:tcBorders>
          </w:tcPr>
          <w:p>
            <w:pPr>
              <w:spacing w:after="0"/>
              <w:rPr>
                <w:sz w:val="9"/>
                <w:szCs w:val="9"/>
                <w:color w:val="auto"/>
              </w:rPr>
            </w:pPr>
          </w:p>
        </w:tc>
        <w:tc>
          <w:tcPr>
            <w:tcW w:w="40" w:type="dxa"/>
            <w:vAlign w:val="bottom"/>
            <w:tcBorders>
              <w:bottom w:val="single" w:sz="8" w:color="005C7D"/>
            </w:tcBorders>
          </w:tcPr>
          <w:p>
            <w:pPr>
              <w:spacing w:after="0"/>
              <w:rPr>
                <w:sz w:val="9"/>
                <w:szCs w:val="9"/>
                <w:color w:val="auto"/>
              </w:rPr>
            </w:pPr>
          </w:p>
        </w:tc>
        <w:tc>
          <w:tcPr>
            <w:tcW w:w="520" w:type="dxa"/>
            <w:vAlign w:val="bottom"/>
            <w:tcBorders>
              <w:bottom w:val="single" w:sz="8" w:color="005C7D"/>
            </w:tcBorders>
          </w:tcPr>
          <w:p>
            <w:pPr>
              <w:spacing w:after="0"/>
              <w:rPr>
                <w:sz w:val="9"/>
                <w:szCs w:val="9"/>
                <w:color w:val="auto"/>
              </w:rPr>
            </w:pPr>
          </w:p>
        </w:tc>
        <w:tc>
          <w:tcPr>
            <w:tcW w:w="20" w:type="dxa"/>
            <w:vAlign w:val="bottom"/>
            <w:tcBorders>
              <w:bottom w:val="single" w:sz="8" w:color="005C7D"/>
            </w:tcBorders>
          </w:tcPr>
          <w:p>
            <w:pPr>
              <w:spacing w:after="0"/>
              <w:rPr>
                <w:sz w:val="9"/>
                <w:szCs w:val="9"/>
                <w:color w:val="auto"/>
              </w:rPr>
            </w:pPr>
          </w:p>
        </w:tc>
        <w:tc>
          <w:tcPr>
            <w:tcW w:w="16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120" w:type="dxa"/>
            <w:vAlign w:val="bottom"/>
            <w:tcBorders>
              <w:bottom w:val="single" w:sz="8" w:color="005C7D"/>
            </w:tcBorders>
          </w:tcPr>
          <w:p>
            <w:pPr>
              <w:spacing w:after="0"/>
              <w:rPr>
                <w:sz w:val="9"/>
                <w:szCs w:val="9"/>
                <w:color w:val="auto"/>
              </w:rPr>
            </w:pPr>
          </w:p>
        </w:tc>
        <w:tc>
          <w:tcPr>
            <w:tcW w:w="320" w:type="dxa"/>
            <w:vAlign w:val="bottom"/>
            <w:tcBorders>
              <w:bottom w:val="single" w:sz="8" w:color="005C7D"/>
            </w:tcBorders>
          </w:tcPr>
          <w:p>
            <w:pPr>
              <w:spacing w:after="0"/>
              <w:rPr>
                <w:sz w:val="9"/>
                <w:szCs w:val="9"/>
                <w:color w:val="auto"/>
              </w:rPr>
            </w:pPr>
          </w:p>
        </w:tc>
        <w:tc>
          <w:tcPr>
            <w:tcW w:w="440" w:type="dxa"/>
            <w:vAlign w:val="bottom"/>
            <w:tcBorders>
              <w:bottom w:val="single" w:sz="8" w:color="005C7D"/>
            </w:tcBorders>
          </w:tcPr>
          <w:p>
            <w:pPr>
              <w:spacing w:after="0"/>
              <w:rPr>
                <w:sz w:val="9"/>
                <w:szCs w:val="9"/>
                <w:color w:val="auto"/>
              </w:rPr>
            </w:pPr>
          </w:p>
        </w:tc>
        <w:tc>
          <w:tcPr>
            <w:tcW w:w="600" w:type="dxa"/>
            <w:vAlign w:val="bottom"/>
            <w:tcBorders>
              <w:bottom w:val="single" w:sz="8" w:color="005C7D"/>
            </w:tcBorders>
          </w:tcPr>
          <w:p>
            <w:pPr>
              <w:spacing w:after="0"/>
              <w:rPr>
                <w:sz w:val="9"/>
                <w:szCs w:val="9"/>
                <w:color w:val="auto"/>
              </w:rPr>
            </w:pPr>
          </w:p>
        </w:tc>
        <w:tc>
          <w:tcPr>
            <w:tcW w:w="1520" w:type="dxa"/>
            <w:vAlign w:val="bottom"/>
            <w:tcBorders>
              <w:bottom w:val="single" w:sz="8" w:color="005C7D"/>
            </w:tcBorders>
          </w:tcPr>
          <w:p>
            <w:pPr>
              <w:spacing w:after="0"/>
              <w:rPr>
                <w:sz w:val="9"/>
                <w:szCs w:val="9"/>
                <w:color w:val="auto"/>
              </w:rPr>
            </w:pPr>
          </w:p>
        </w:tc>
        <w:tc>
          <w:tcPr>
            <w:tcW w:w="140" w:type="dxa"/>
            <w:vAlign w:val="bottom"/>
            <w:tcBorders>
              <w:bottom w:val="single" w:sz="8" w:color="005C7D"/>
            </w:tcBorders>
          </w:tcPr>
          <w:p>
            <w:pPr>
              <w:spacing w:after="0"/>
              <w:rPr>
                <w:sz w:val="9"/>
                <w:szCs w:val="9"/>
                <w:color w:val="auto"/>
              </w:rPr>
            </w:pPr>
          </w:p>
        </w:tc>
        <w:tc>
          <w:tcPr>
            <w:tcW w:w="46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260" w:type="dxa"/>
            <w:vAlign w:val="bottom"/>
            <w:tcBorders>
              <w:bottom w:val="single" w:sz="8" w:color="005C7D"/>
            </w:tcBorders>
          </w:tcPr>
          <w:p>
            <w:pPr>
              <w:spacing w:after="0"/>
              <w:rPr>
                <w:sz w:val="9"/>
                <w:szCs w:val="9"/>
                <w:color w:val="auto"/>
              </w:rPr>
            </w:pPr>
          </w:p>
        </w:tc>
        <w:tc>
          <w:tcPr>
            <w:tcW w:w="20" w:type="dxa"/>
            <w:vAlign w:val="bottom"/>
            <w:tcBorders>
              <w:bottom w:val="single" w:sz="8" w:color="005C7D"/>
            </w:tcBorders>
          </w:tcPr>
          <w:p>
            <w:pPr>
              <w:spacing w:after="0"/>
              <w:rPr>
                <w:sz w:val="9"/>
                <w:szCs w:val="9"/>
                <w:color w:val="auto"/>
              </w:rPr>
            </w:pPr>
          </w:p>
        </w:tc>
        <w:tc>
          <w:tcPr>
            <w:tcW w:w="80" w:type="dxa"/>
            <w:vAlign w:val="bottom"/>
            <w:tcBorders>
              <w:bottom w:val="single" w:sz="8" w:color="005C7D"/>
            </w:tcBorders>
          </w:tcPr>
          <w:p>
            <w:pPr>
              <w:spacing w:after="0"/>
              <w:rPr>
                <w:sz w:val="9"/>
                <w:szCs w:val="9"/>
                <w:color w:val="auto"/>
              </w:rPr>
            </w:pPr>
          </w:p>
        </w:tc>
        <w:tc>
          <w:tcPr>
            <w:tcW w:w="180" w:type="dxa"/>
            <w:vAlign w:val="bottom"/>
            <w:tcBorders>
              <w:top w:val="single" w:sz="8" w:color="0000EE"/>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r>
      <w:tr>
        <w:trPr>
          <w:trHeight w:val="271"/>
        </w:trPr>
        <w:tc>
          <w:tcPr>
            <w:tcW w:w="8960" w:type="dxa"/>
            <w:vAlign w:val="bottom"/>
            <w:gridSpan w:val="25"/>
          </w:tcPr>
          <w:p>
            <w:pPr>
              <w:spacing w:after="0"/>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INDEPENDENT REGISTERED PUBLIC ACCOUNTING FIRM FEES</w:t>
              </w:r>
            </w:hyperlink>
          </w:p>
        </w:tc>
        <w:tc>
          <w:tcPr>
            <w:tcW w:w="540" w:type="dxa"/>
            <w:vAlign w:val="bottom"/>
            <w:gridSpan w:val="4"/>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82</w:t>
              </w:r>
            </w:hyperlink>
          </w:p>
        </w:tc>
        <w:tc>
          <w:tcPr>
            <w:tcW w:w="60" w:type="dxa"/>
            <w:vAlign w:val="bottom"/>
          </w:tcPr>
          <w:p>
            <w:pPr>
              <w:spacing w:after="0"/>
              <w:rPr>
                <w:sz w:val="23"/>
                <w:szCs w:val="23"/>
                <w:color w:val="auto"/>
              </w:rPr>
            </w:pPr>
          </w:p>
        </w:tc>
      </w:tr>
      <w:tr>
        <w:trPr>
          <w:trHeight w:val="108"/>
        </w:trPr>
        <w:tc>
          <w:tcPr>
            <w:tcW w:w="540" w:type="dxa"/>
            <w:vAlign w:val="bottom"/>
            <w:tcBorders>
              <w:top w:val="single" w:sz="8" w:color="0000EE"/>
              <w:bottom w:val="single" w:sz="8" w:color="005C7D"/>
            </w:tcBorders>
          </w:tcPr>
          <w:p>
            <w:pPr>
              <w:spacing w:after="0"/>
              <w:rPr>
                <w:sz w:val="9"/>
                <w:szCs w:val="9"/>
                <w:color w:val="auto"/>
              </w:rPr>
            </w:pPr>
          </w:p>
        </w:tc>
        <w:tc>
          <w:tcPr>
            <w:tcW w:w="1000" w:type="dxa"/>
            <w:vAlign w:val="bottom"/>
            <w:tcBorders>
              <w:top w:val="single" w:sz="8" w:color="0000EE"/>
              <w:bottom w:val="single" w:sz="8" w:color="005C7D"/>
            </w:tcBorders>
          </w:tcPr>
          <w:p>
            <w:pPr>
              <w:spacing w:after="0"/>
              <w:rPr>
                <w:sz w:val="9"/>
                <w:szCs w:val="9"/>
                <w:color w:val="auto"/>
              </w:rPr>
            </w:pPr>
          </w:p>
        </w:tc>
        <w:tc>
          <w:tcPr>
            <w:tcW w:w="380" w:type="dxa"/>
            <w:vAlign w:val="bottom"/>
            <w:tcBorders>
              <w:top w:val="single" w:sz="8" w:color="0000EE"/>
              <w:bottom w:val="single" w:sz="8" w:color="005C7D"/>
            </w:tcBorders>
          </w:tcPr>
          <w:p>
            <w:pPr>
              <w:spacing w:after="0"/>
              <w:rPr>
                <w:sz w:val="9"/>
                <w:szCs w:val="9"/>
                <w:color w:val="auto"/>
              </w:rPr>
            </w:pPr>
          </w:p>
        </w:tc>
        <w:tc>
          <w:tcPr>
            <w:tcW w:w="120" w:type="dxa"/>
            <w:vAlign w:val="bottom"/>
            <w:tcBorders>
              <w:top w:val="single" w:sz="8" w:color="0000EE"/>
              <w:bottom w:val="single" w:sz="8" w:color="005C7D"/>
            </w:tcBorders>
          </w:tcPr>
          <w:p>
            <w:pPr>
              <w:spacing w:after="0"/>
              <w:rPr>
                <w:sz w:val="9"/>
                <w:szCs w:val="9"/>
                <w:color w:val="auto"/>
              </w:rPr>
            </w:pPr>
          </w:p>
        </w:tc>
        <w:tc>
          <w:tcPr>
            <w:tcW w:w="480" w:type="dxa"/>
            <w:vAlign w:val="bottom"/>
            <w:tcBorders>
              <w:top w:val="single" w:sz="8" w:color="0000EE"/>
              <w:bottom w:val="single" w:sz="8" w:color="005C7D"/>
            </w:tcBorders>
          </w:tcPr>
          <w:p>
            <w:pPr>
              <w:spacing w:after="0"/>
              <w:rPr>
                <w:sz w:val="9"/>
                <w:szCs w:val="9"/>
                <w:color w:val="auto"/>
              </w:rPr>
            </w:pPr>
          </w:p>
        </w:tc>
        <w:tc>
          <w:tcPr>
            <w:tcW w:w="32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60" w:type="dxa"/>
            <w:vAlign w:val="bottom"/>
            <w:tcBorders>
              <w:top w:val="single" w:sz="8" w:color="0000EE"/>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240" w:type="dxa"/>
            <w:vAlign w:val="bottom"/>
            <w:tcBorders>
              <w:top w:val="single" w:sz="8" w:color="0000EE"/>
              <w:bottom w:val="single" w:sz="8" w:color="005C7D"/>
            </w:tcBorders>
          </w:tcPr>
          <w:p>
            <w:pPr>
              <w:spacing w:after="0"/>
              <w:rPr>
                <w:sz w:val="9"/>
                <w:szCs w:val="9"/>
                <w:color w:val="auto"/>
              </w:rPr>
            </w:pPr>
          </w:p>
        </w:tc>
        <w:tc>
          <w:tcPr>
            <w:tcW w:w="240" w:type="dxa"/>
            <w:vAlign w:val="bottom"/>
            <w:tcBorders>
              <w:top w:val="single" w:sz="8" w:color="0000EE"/>
              <w:bottom w:val="single" w:sz="8" w:color="005C7D"/>
            </w:tcBorders>
          </w:tcPr>
          <w:p>
            <w:pPr>
              <w:spacing w:after="0"/>
              <w:rPr>
                <w:sz w:val="9"/>
                <w:szCs w:val="9"/>
                <w:color w:val="auto"/>
              </w:rPr>
            </w:pPr>
          </w:p>
        </w:tc>
        <w:tc>
          <w:tcPr>
            <w:tcW w:w="62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520" w:type="dxa"/>
            <w:vAlign w:val="bottom"/>
            <w:tcBorders>
              <w:top w:val="single" w:sz="8" w:color="0000EE"/>
              <w:bottom w:val="single" w:sz="8" w:color="005C7D"/>
            </w:tcBorders>
          </w:tcPr>
          <w:p>
            <w:pPr>
              <w:spacing w:after="0"/>
              <w:rPr>
                <w:sz w:val="9"/>
                <w:szCs w:val="9"/>
                <w:color w:val="auto"/>
              </w:rPr>
            </w:pPr>
          </w:p>
        </w:tc>
        <w:tc>
          <w:tcPr>
            <w:tcW w:w="20" w:type="dxa"/>
            <w:vAlign w:val="bottom"/>
            <w:tcBorders>
              <w:top w:val="single" w:sz="8" w:color="0000EE"/>
              <w:bottom w:val="single" w:sz="8" w:color="005C7D"/>
            </w:tcBorders>
          </w:tcPr>
          <w:p>
            <w:pPr>
              <w:spacing w:after="0"/>
              <w:rPr>
                <w:sz w:val="9"/>
                <w:szCs w:val="9"/>
                <w:color w:val="auto"/>
              </w:rPr>
            </w:pPr>
          </w:p>
        </w:tc>
        <w:tc>
          <w:tcPr>
            <w:tcW w:w="160" w:type="dxa"/>
            <w:vAlign w:val="bottom"/>
            <w:tcBorders>
              <w:top w:val="single" w:sz="8" w:color="0000EE"/>
              <w:bottom w:val="single" w:sz="8" w:color="005C7D"/>
            </w:tcBorders>
          </w:tcPr>
          <w:p>
            <w:pPr>
              <w:spacing w:after="0"/>
              <w:rPr>
                <w:sz w:val="9"/>
                <w:szCs w:val="9"/>
                <w:color w:val="auto"/>
              </w:rPr>
            </w:pPr>
          </w:p>
        </w:tc>
        <w:tc>
          <w:tcPr>
            <w:tcW w:w="240" w:type="dxa"/>
            <w:vAlign w:val="bottom"/>
            <w:tcBorders>
              <w:top w:val="single" w:sz="8" w:color="0000EE"/>
              <w:bottom w:val="single" w:sz="8" w:color="005C7D"/>
            </w:tcBorders>
          </w:tcPr>
          <w:p>
            <w:pPr>
              <w:spacing w:after="0"/>
              <w:rPr>
                <w:sz w:val="9"/>
                <w:szCs w:val="9"/>
                <w:color w:val="auto"/>
              </w:rPr>
            </w:pPr>
          </w:p>
        </w:tc>
        <w:tc>
          <w:tcPr>
            <w:tcW w:w="120" w:type="dxa"/>
            <w:vAlign w:val="bottom"/>
            <w:tcBorders>
              <w:top w:val="single" w:sz="8" w:color="0000EE"/>
              <w:bottom w:val="single" w:sz="8" w:color="005C7D"/>
            </w:tcBorders>
          </w:tcPr>
          <w:p>
            <w:pPr>
              <w:spacing w:after="0"/>
              <w:rPr>
                <w:sz w:val="9"/>
                <w:szCs w:val="9"/>
                <w:color w:val="auto"/>
              </w:rPr>
            </w:pPr>
          </w:p>
        </w:tc>
        <w:tc>
          <w:tcPr>
            <w:tcW w:w="320" w:type="dxa"/>
            <w:vAlign w:val="bottom"/>
            <w:tcBorders>
              <w:top w:val="single" w:sz="8" w:color="0000EE"/>
              <w:bottom w:val="single" w:sz="8" w:color="005C7D"/>
            </w:tcBorders>
          </w:tcPr>
          <w:p>
            <w:pPr>
              <w:spacing w:after="0"/>
              <w:rPr>
                <w:sz w:val="9"/>
                <w:szCs w:val="9"/>
                <w:color w:val="auto"/>
              </w:rPr>
            </w:pPr>
          </w:p>
        </w:tc>
        <w:tc>
          <w:tcPr>
            <w:tcW w:w="440" w:type="dxa"/>
            <w:vAlign w:val="bottom"/>
            <w:tcBorders>
              <w:bottom w:val="single" w:sz="8" w:color="005C7D"/>
            </w:tcBorders>
          </w:tcPr>
          <w:p>
            <w:pPr>
              <w:spacing w:after="0"/>
              <w:rPr>
                <w:sz w:val="9"/>
                <w:szCs w:val="9"/>
                <w:color w:val="auto"/>
              </w:rPr>
            </w:pPr>
          </w:p>
        </w:tc>
        <w:tc>
          <w:tcPr>
            <w:tcW w:w="600" w:type="dxa"/>
            <w:vAlign w:val="bottom"/>
            <w:tcBorders>
              <w:bottom w:val="single" w:sz="8" w:color="005C7D"/>
            </w:tcBorders>
          </w:tcPr>
          <w:p>
            <w:pPr>
              <w:spacing w:after="0"/>
              <w:rPr>
                <w:sz w:val="9"/>
                <w:szCs w:val="9"/>
                <w:color w:val="auto"/>
              </w:rPr>
            </w:pPr>
          </w:p>
        </w:tc>
        <w:tc>
          <w:tcPr>
            <w:tcW w:w="1520" w:type="dxa"/>
            <w:vAlign w:val="bottom"/>
            <w:tcBorders>
              <w:bottom w:val="single" w:sz="8" w:color="005C7D"/>
            </w:tcBorders>
          </w:tcPr>
          <w:p>
            <w:pPr>
              <w:spacing w:after="0"/>
              <w:rPr>
                <w:sz w:val="9"/>
                <w:szCs w:val="9"/>
                <w:color w:val="auto"/>
              </w:rPr>
            </w:pPr>
          </w:p>
        </w:tc>
        <w:tc>
          <w:tcPr>
            <w:tcW w:w="140" w:type="dxa"/>
            <w:vAlign w:val="bottom"/>
            <w:tcBorders>
              <w:bottom w:val="single" w:sz="8" w:color="005C7D"/>
            </w:tcBorders>
          </w:tcPr>
          <w:p>
            <w:pPr>
              <w:spacing w:after="0"/>
              <w:rPr>
                <w:sz w:val="9"/>
                <w:szCs w:val="9"/>
                <w:color w:val="auto"/>
              </w:rPr>
            </w:pPr>
          </w:p>
        </w:tc>
        <w:tc>
          <w:tcPr>
            <w:tcW w:w="46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260" w:type="dxa"/>
            <w:vAlign w:val="bottom"/>
            <w:tcBorders>
              <w:bottom w:val="single" w:sz="8" w:color="005C7D"/>
            </w:tcBorders>
          </w:tcPr>
          <w:p>
            <w:pPr>
              <w:spacing w:after="0"/>
              <w:rPr>
                <w:sz w:val="9"/>
                <w:szCs w:val="9"/>
                <w:color w:val="auto"/>
              </w:rPr>
            </w:pPr>
          </w:p>
        </w:tc>
        <w:tc>
          <w:tcPr>
            <w:tcW w:w="20" w:type="dxa"/>
            <w:vAlign w:val="bottom"/>
            <w:tcBorders>
              <w:bottom w:val="single" w:sz="8" w:color="005C7D"/>
            </w:tcBorders>
          </w:tcPr>
          <w:p>
            <w:pPr>
              <w:spacing w:after="0"/>
              <w:rPr>
                <w:sz w:val="9"/>
                <w:szCs w:val="9"/>
                <w:color w:val="auto"/>
              </w:rPr>
            </w:pPr>
          </w:p>
        </w:tc>
        <w:tc>
          <w:tcPr>
            <w:tcW w:w="80" w:type="dxa"/>
            <w:vAlign w:val="bottom"/>
            <w:tcBorders>
              <w:bottom w:val="single" w:sz="8" w:color="005C7D"/>
            </w:tcBorders>
          </w:tcPr>
          <w:p>
            <w:pPr>
              <w:spacing w:after="0"/>
              <w:rPr>
                <w:sz w:val="9"/>
                <w:szCs w:val="9"/>
                <w:color w:val="auto"/>
              </w:rPr>
            </w:pPr>
          </w:p>
        </w:tc>
        <w:tc>
          <w:tcPr>
            <w:tcW w:w="180" w:type="dxa"/>
            <w:vAlign w:val="bottom"/>
            <w:tcBorders>
              <w:top w:val="single" w:sz="8" w:color="0000EE"/>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r>
      <w:tr>
        <w:trPr>
          <w:trHeight w:val="271"/>
        </w:trPr>
        <w:tc>
          <w:tcPr>
            <w:tcW w:w="8960" w:type="dxa"/>
            <w:vAlign w:val="bottom"/>
            <w:gridSpan w:val="25"/>
          </w:tcPr>
          <w:p>
            <w:pPr>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COMPENSATION COMMITTEE INTERLOCKS AND INSIDER PARTICIPATION</w:t>
              </w:r>
            </w:hyperlink>
          </w:p>
        </w:tc>
        <w:tc>
          <w:tcPr>
            <w:tcW w:w="540" w:type="dxa"/>
            <w:vAlign w:val="bottom"/>
            <w:gridSpan w:val="4"/>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83</w:t>
              </w:r>
            </w:hyperlink>
          </w:p>
        </w:tc>
        <w:tc>
          <w:tcPr>
            <w:tcW w:w="60" w:type="dxa"/>
            <w:vAlign w:val="bottom"/>
          </w:tcPr>
          <w:p>
            <w:pPr>
              <w:spacing w:after="0"/>
              <w:rPr>
                <w:sz w:val="23"/>
                <w:szCs w:val="23"/>
                <w:color w:val="auto"/>
              </w:rPr>
            </w:pPr>
          </w:p>
        </w:tc>
      </w:tr>
      <w:tr>
        <w:trPr>
          <w:trHeight w:val="108"/>
        </w:trPr>
        <w:tc>
          <w:tcPr>
            <w:tcW w:w="540" w:type="dxa"/>
            <w:vAlign w:val="bottom"/>
            <w:tcBorders>
              <w:top w:val="single" w:sz="8" w:color="0000EE"/>
              <w:bottom w:val="single" w:sz="8" w:color="005C7D"/>
            </w:tcBorders>
          </w:tcPr>
          <w:p>
            <w:pPr>
              <w:spacing w:after="0"/>
              <w:rPr>
                <w:sz w:val="9"/>
                <w:szCs w:val="9"/>
                <w:color w:val="auto"/>
              </w:rPr>
            </w:pPr>
          </w:p>
        </w:tc>
        <w:tc>
          <w:tcPr>
            <w:tcW w:w="1000" w:type="dxa"/>
            <w:vAlign w:val="bottom"/>
            <w:tcBorders>
              <w:top w:val="single" w:sz="8" w:color="0000EE"/>
              <w:bottom w:val="single" w:sz="8" w:color="005C7D"/>
            </w:tcBorders>
          </w:tcPr>
          <w:p>
            <w:pPr>
              <w:spacing w:after="0"/>
              <w:rPr>
                <w:sz w:val="9"/>
                <w:szCs w:val="9"/>
                <w:color w:val="auto"/>
              </w:rPr>
            </w:pPr>
          </w:p>
        </w:tc>
        <w:tc>
          <w:tcPr>
            <w:tcW w:w="380" w:type="dxa"/>
            <w:vAlign w:val="bottom"/>
            <w:tcBorders>
              <w:top w:val="single" w:sz="8" w:color="0000EE"/>
              <w:bottom w:val="single" w:sz="8" w:color="005C7D"/>
            </w:tcBorders>
          </w:tcPr>
          <w:p>
            <w:pPr>
              <w:spacing w:after="0"/>
              <w:rPr>
                <w:sz w:val="9"/>
                <w:szCs w:val="9"/>
                <w:color w:val="auto"/>
              </w:rPr>
            </w:pPr>
          </w:p>
        </w:tc>
        <w:tc>
          <w:tcPr>
            <w:tcW w:w="120" w:type="dxa"/>
            <w:vAlign w:val="bottom"/>
            <w:tcBorders>
              <w:top w:val="single" w:sz="8" w:color="0000EE"/>
              <w:bottom w:val="single" w:sz="8" w:color="005C7D"/>
            </w:tcBorders>
          </w:tcPr>
          <w:p>
            <w:pPr>
              <w:spacing w:after="0"/>
              <w:rPr>
                <w:sz w:val="9"/>
                <w:szCs w:val="9"/>
                <w:color w:val="auto"/>
              </w:rPr>
            </w:pPr>
          </w:p>
        </w:tc>
        <w:tc>
          <w:tcPr>
            <w:tcW w:w="480" w:type="dxa"/>
            <w:vAlign w:val="bottom"/>
            <w:tcBorders>
              <w:top w:val="single" w:sz="8" w:color="0000EE"/>
              <w:bottom w:val="single" w:sz="8" w:color="005C7D"/>
            </w:tcBorders>
          </w:tcPr>
          <w:p>
            <w:pPr>
              <w:spacing w:after="0"/>
              <w:rPr>
                <w:sz w:val="9"/>
                <w:szCs w:val="9"/>
                <w:color w:val="auto"/>
              </w:rPr>
            </w:pPr>
          </w:p>
        </w:tc>
        <w:tc>
          <w:tcPr>
            <w:tcW w:w="32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60" w:type="dxa"/>
            <w:vAlign w:val="bottom"/>
            <w:tcBorders>
              <w:top w:val="single" w:sz="8" w:color="0000EE"/>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240" w:type="dxa"/>
            <w:vAlign w:val="bottom"/>
            <w:tcBorders>
              <w:top w:val="single" w:sz="8" w:color="0000EE"/>
              <w:bottom w:val="single" w:sz="8" w:color="005C7D"/>
            </w:tcBorders>
          </w:tcPr>
          <w:p>
            <w:pPr>
              <w:spacing w:after="0"/>
              <w:rPr>
                <w:sz w:val="9"/>
                <w:szCs w:val="9"/>
                <w:color w:val="auto"/>
              </w:rPr>
            </w:pPr>
          </w:p>
        </w:tc>
        <w:tc>
          <w:tcPr>
            <w:tcW w:w="240" w:type="dxa"/>
            <w:vAlign w:val="bottom"/>
            <w:tcBorders>
              <w:top w:val="single" w:sz="8" w:color="0000EE"/>
              <w:bottom w:val="single" w:sz="8" w:color="005C7D"/>
            </w:tcBorders>
          </w:tcPr>
          <w:p>
            <w:pPr>
              <w:spacing w:after="0"/>
              <w:rPr>
                <w:sz w:val="9"/>
                <w:szCs w:val="9"/>
                <w:color w:val="auto"/>
              </w:rPr>
            </w:pPr>
          </w:p>
        </w:tc>
        <w:tc>
          <w:tcPr>
            <w:tcW w:w="62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520" w:type="dxa"/>
            <w:vAlign w:val="bottom"/>
            <w:tcBorders>
              <w:top w:val="single" w:sz="8" w:color="0000EE"/>
              <w:bottom w:val="single" w:sz="8" w:color="005C7D"/>
            </w:tcBorders>
          </w:tcPr>
          <w:p>
            <w:pPr>
              <w:spacing w:after="0"/>
              <w:rPr>
                <w:sz w:val="9"/>
                <w:szCs w:val="9"/>
                <w:color w:val="auto"/>
              </w:rPr>
            </w:pPr>
          </w:p>
        </w:tc>
        <w:tc>
          <w:tcPr>
            <w:tcW w:w="20" w:type="dxa"/>
            <w:vAlign w:val="bottom"/>
            <w:tcBorders>
              <w:top w:val="single" w:sz="8" w:color="0000EE"/>
              <w:bottom w:val="single" w:sz="8" w:color="005C7D"/>
            </w:tcBorders>
          </w:tcPr>
          <w:p>
            <w:pPr>
              <w:spacing w:after="0"/>
              <w:rPr>
                <w:sz w:val="9"/>
                <w:szCs w:val="9"/>
                <w:color w:val="auto"/>
              </w:rPr>
            </w:pPr>
          </w:p>
        </w:tc>
        <w:tc>
          <w:tcPr>
            <w:tcW w:w="160" w:type="dxa"/>
            <w:vAlign w:val="bottom"/>
            <w:tcBorders>
              <w:top w:val="single" w:sz="8" w:color="0000EE"/>
              <w:bottom w:val="single" w:sz="8" w:color="005C7D"/>
            </w:tcBorders>
          </w:tcPr>
          <w:p>
            <w:pPr>
              <w:spacing w:after="0"/>
              <w:rPr>
                <w:sz w:val="9"/>
                <w:szCs w:val="9"/>
                <w:color w:val="auto"/>
              </w:rPr>
            </w:pPr>
          </w:p>
        </w:tc>
        <w:tc>
          <w:tcPr>
            <w:tcW w:w="240" w:type="dxa"/>
            <w:vAlign w:val="bottom"/>
            <w:tcBorders>
              <w:top w:val="single" w:sz="8" w:color="0000EE"/>
              <w:bottom w:val="single" w:sz="8" w:color="005C7D"/>
            </w:tcBorders>
          </w:tcPr>
          <w:p>
            <w:pPr>
              <w:spacing w:after="0"/>
              <w:rPr>
                <w:sz w:val="9"/>
                <w:szCs w:val="9"/>
                <w:color w:val="auto"/>
              </w:rPr>
            </w:pPr>
          </w:p>
        </w:tc>
        <w:tc>
          <w:tcPr>
            <w:tcW w:w="120" w:type="dxa"/>
            <w:vAlign w:val="bottom"/>
            <w:tcBorders>
              <w:top w:val="single" w:sz="8" w:color="0000EE"/>
              <w:bottom w:val="single" w:sz="8" w:color="005C7D"/>
            </w:tcBorders>
          </w:tcPr>
          <w:p>
            <w:pPr>
              <w:spacing w:after="0"/>
              <w:rPr>
                <w:sz w:val="9"/>
                <w:szCs w:val="9"/>
                <w:color w:val="auto"/>
              </w:rPr>
            </w:pPr>
          </w:p>
        </w:tc>
        <w:tc>
          <w:tcPr>
            <w:tcW w:w="320" w:type="dxa"/>
            <w:vAlign w:val="bottom"/>
            <w:tcBorders>
              <w:top w:val="single" w:sz="8" w:color="0000EE"/>
              <w:bottom w:val="single" w:sz="8" w:color="005C7D"/>
            </w:tcBorders>
          </w:tcPr>
          <w:p>
            <w:pPr>
              <w:spacing w:after="0"/>
              <w:rPr>
                <w:sz w:val="9"/>
                <w:szCs w:val="9"/>
                <w:color w:val="auto"/>
              </w:rPr>
            </w:pPr>
          </w:p>
        </w:tc>
        <w:tc>
          <w:tcPr>
            <w:tcW w:w="440" w:type="dxa"/>
            <w:vAlign w:val="bottom"/>
            <w:tcBorders>
              <w:top w:val="single" w:sz="8" w:color="0000EE"/>
              <w:bottom w:val="single" w:sz="8" w:color="005C7D"/>
            </w:tcBorders>
          </w:tcPr>
          <w:p>
            <w:pPr>
              <w:spacing w:after="0"/>
              <w:rPr>
                <w:sz w:val="9"/>
                <w:szCs w:val="9"/>
                <w:color w:val="auto"/>
              </w:rPr>
            </w:pPr>
          </w:p>
        </w:tc>
        <w:tc>
          <w:tcPr>
            <w:tcW w:w="600" w:type="dxa"/>
            <w:vAlign w:val="bottom"/>
            <w:tcBorders>
              <w:top w:val="single" w:sz="8" w:color="0000EE"/>
              <w:bottom w:val="single" w:sz="8" w:color="005C7D"/>
            </w:tcBorders>
          </w:tcPr>
          <w:p>
            <w:pPr>
              <w:spacing w:after="0"/>
              <w:rPr>
                <w:sz w:val="9"/>
                <w:szCs w:val="9"/>
                <w:color w:val="auto"/>
              </w:rPr>
            </w:pPr>
          </w:p>
        </w:tc>
        <w:tc>
          <w:tcPr>
            <w:tcW w:w="1520" w:type="dxa"/>
            <w:vAlign w:val="bottom"/>
            <w:tcBorders>
              <w:bottom w:val="single" w:sz="8" w:color="005C7D"/>
            </w:tcBorders>
          </w:tcPr>
          <w:p>
            <w:pPr>
              <w:spacing w:after="0"/>
              <w:rPr>
                <w:sz w:val="9"/>
                <w:szCs w:val="9"/>
                <w:color w:val="auto"/>
              </w:rPr>
            </w:pPr>
          </w:p>
        </w:tc>
        <w:tc>
          <w:tcPr>
            <w:tcW w:w="140" w:type="dxa"/>
            <w:vAlign w:val="bottom"/>
            <w:tcBorders>
              <w:bottom w:val="single" w:sz="8" w:color="005C7D"/>
            </w:tcBorders>
          </w:tcPr>
          <w:p>
            <w:pPr>
              <w:spacing w:after="0"/>
              <w:rPr>
                <w:sz w:val="9"/>
                <w:szCs w:val="9"/>
                <w:color w:val="auto"/>
              </w:rPr>
            </w:pPr>
          </w:p>
        </w:tc>
        <w:tc>
          <w:tcPr>
            <w:tcW w:w="46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260" w:type="dxa"/>
            <w:vAlign w:val="bottom"/>
            <w:tcBorders>
              <w:bottom w:val="single" w:sz="8" w:color="005C7D"/>
            </w:tcBorders>
          </w:tcPr>
          <w:p>
            <w:pPr>
              <w:spacing w:after="0"/>
              <w:rPr>
                <w:sz w:val="9"/>
                <w:szCs w:val="9"/>
                <w:color w:val="auto"/>
              </w:rPr>
            </w:pPr>
          </w:p>
        </w:tc>
        <w:tc>
          <w:tcPr>
            <w:tcW w:w="20" w:type="dxa"/>
            <w:vAlign w:val="bottom"/>
            <w:tcBorders>
              <w:bottom w:val="single" w:sz="8" w:color="005C7D"/>
            </w:tcBorders>
          </w:tcPr>
          <w:p>
            <w:pPr>
              <w:spacing w:after="0"/>
              <w:rPr>
                <w:sz w:val="9"/>
                <w:szCs w:val="9"/>
                <w:color w:val="auto"/>
              </w:rPr>
            </w:pPr>
          </w:p>
        </w:tc>
        <w:tc>
          <w:tcPr>
            <w:tcW w:w="80" w:type="dxa"/>
            <w:vAlign w:val="bottom"/>
            <w:tcBorders>
              <w:bottom w:val="single" w:sz="8" w:color="005C7D"/>
            </w:tcBorders>
          </w:tcPr>
          <w:p>
            <w:pPr>
              <w:spacing w:after="0"/>
              <w:rPr>
                <w:sz w:val="9"/>
                <w:szCs w:val="9"/>
                <w:color w:val="auto"/>
              </w:rPr>
            </w:pPr>
          </w:p>
        </w:tc>
        <w:tc>
          <w:tcPr>
            <w:tcW w:w="180" w:type="dxa"/>
            <w:vAlign w:val="bottom"/>
            <w:tcBorders>
              <w:top w:val="single" w:sz="8" w:color="0000EE"/>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r>
      <w:tr>
        <w:trPr>
          <w:trHeight w:val="271"/>
        </w:trPr>
        <w:tc>
          <w:tcPr>
            <w:tcW w:w="8960" w:type="dxa"/>
            <w:vAlign w:val="bottom"/>
            <w:gridSpan w:val="25"/>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CERTAIN RELATIONSHIPS AND RELATED TRANSACTIONS</w:t>
              </w:r>
            </w:hyperlink>
          </w:p>
        </w:tc>
        <w:tc>
          <w:tcPr>
            <w:tcW w:w="540" w:type="dxa"/>
            <w:vAlign w:val="bottom"/>
            <w:gridSpan w:val="4"/>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84</w:t>
              </w:r>
            </w:hyperlink>
          </w:p>
        </w:tc>
        <w:tc>
          <w:tcPr>
            <w:tcW w:w="60" w:type="dxa"/>
            <w:vAlign w:val="bottom"/>
          </w:tcPr>
          <w:p>
            <w:pPr>
              <w:spacing w:after="0"/>
              <w:rPr>
                <w:sz w:val="23"/>
                <w:szCs w:val="23"/>
                <w:color w:val="auto"/>
              </w:rPr>
            </w:pPr>
          </w:p>
        </w:tc>
      </w:tr>
      <w:tr>
        <w:trPr>
          <w:trHeight w:val="108"/>
        </w:trPr>
        <w:tc>
          <w:tcPr>
            <w:tcW w:w="540" w:type="dxa"/>
            <w:vAlign w:val="bottom"/>
            <w:tcBorders>
              <w:top w:val="single" w:sz="8" w:color="0000EE"/>
              <w:bottom w:val="single" w:sz="8" w:color="005C7D"/>
            </w:tcBorders>
          </w:tcPr>
          <w:p>
            <w:pPr>
              <w:spacing w:after="0"/>
              <w:rPr>
                <w:sz w:val="9"/>
                <w:szCs w:val="9"/>
                <w:color w:val="auto"/>
              </w:rPr>
            </w:pPr>
          </w:p>
        </w:tc>
        <w:tc>
          <w:tcPr>
            <w:tcW w:w="1000" w:type="dxa"/>
            <w:vAlign w:val="bottom"/>
            <w:tcBorders>
              <w:top w:val="single" w:sz="8" w:color="0000EE"/>
              <w:bottom w:val="single" w:sz="8" w:color="005C7D"/>
            </w:tcBorders>
          </w:tcPr>
          <w:p>
            <w:pPr>
              <w:spacing w:after="0"/>
              <w:rPr>
                <w:sz w:val="9"/>
                <w:szCs w:val="9"/>
                <w:color w:val="auto"/>
              </w:rPr>
            </w:pPr>
          </w:p>
        </w:tc>
        <w:tc>
          <w:tcPr>
            <w:tcW w:w="380" w:type="dxa"/>
            <w:vAlign w:val="bottom"/>
            <w:tcBorders>
              <w:top w:val="single" w:sz="8" w:color="0000EE"/>
              <w:bottom w:val="single" w:sz="8" w:color="005C7D"/>
            </w:tcBorders>
          </w:tcPr>
          <w:p>
            <w:pPr>
              <w:spacing w:after="0"/>
              <w:rPr>
                <w:sz w:val="9"/>
                <w:szCs w:val="9"/>
                <w:color w:val="auto"/>
              </w:rPr>
            </w:pPr>
          </w:p>
        </w:tc>
        <w:tc>
          <w:tcPr>
            <w:tcW w:w="120" w:type="dxa"/>
            <w:vAlign w:val="bottom"/>
            <w:tcBorders>
              <w:top w:val="single" w:sz="8" w:color="0000EE"/>
              <w:bottom w:val="single" w:sz="8" w:color="005C7D"/>
            </w:tcBorders>
          </w:tcPr>
          <w:p>
            <w:pPr>
              <w:spacing w:after="0"/>
              <w:rPr>
                <w:sz w:val="9"/>
                <w:szCs w:val="9"/>
                <w:color w:val="auto"/>
              </w:rPr>
            </w:pPr>
          </w:p>
        </w:tc>
        <w:tc>
          <w:tcPr>
            <w:tcW w:w="480" w:type="dxa"/>
            <w:vAlign w:val="bottom"/>
            <w:tcBorders>
              <w:top w:val="single" w:sz="8" w:color="0000EE"/>
              <w:bottom w:val="single" w:sz="8" w:color="005C7D"/>
            </w:tcBorders>
          </w:tcPr>
          <w:p>
            <w:pPr>
              <w:spacing w:after="0"/>
              <w:rPr>
                <w:sz w:val="9"/>
                <w:szCs w:val="9"/>
                <w:color w:val="auto"/>
              </w:rPr>
            </w:pPr>
          </w:p>
        </w:tc>
        <w:tc>
          <w:tcPr>
            <w:tcW w:w="32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60" w:type="dxa"/>
            <w:vAlign w:val="bottom"/>
            <w:tcBorders>
              <w:top w:val="single" w:sz="8" w:color="0000EE"/>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240" w:type="dxa"/>
            <w:vAlign w:val="bottom"/>
            <w:tcBorders>
              <w:top w:val="single" w:sz="8" w:color="0000EE"/>
              <w:bottom w:val="single" w:sz="8" w:color="005C7D"/>
            </w:tcBorders>
          </w:tcPr>
          <w:p>
            <w:pPr>
              <w:spacing w:after="0"/>
              <w:rPr>
                <w:sz w:val="9"/>
                <w:szCs w:val="9"/>
                <w:color w:val="auto"/>
              </w:rPr>
            </w:pPr>
          </w:p>
        </w:tc>
        <w:tc>
          <w:tcPr>
            <w:tcW w:w="240" w:type="dxa"/>
            <w:vAlign w:val="bottom"/>
            <w:tcBorders>
              <w:top w:val="single" w:sz="8" w:color="0000EE"/>
              <w:bottom w:val="single" w:sz="8" w:color="005C7D"/>
            </w:tcBorders>
          </w:tcPr>
          <w:p>
            <w:pPr>
              <w:spacing w:after="0"/>
              <w:rPr>
                <w:sz w:val="9"/>
                <w:szCs w:val="9"/>
                <w:color w:val="auto"/>
              </w:rPr>
            </w:pPr>
          </w:p>
        </w:tc>
        <w:tc>
          <w:tcPr>
            <w:tcW w:w="62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520" w:type="dxa"/>
            <w:vAlign w:val="bottom"/>
            <w:tcBorders>
              <w:top w:val="single" w:sz="8" w:color="0000EE"/>
              <w:bottom w:val="single" w:sz="8" w:color="005C7D"/>
            </w:tcBorders>
          </w:tcPr>
          <w:p>
            <w:pPr>
              <w:spacing w:after="0"/>
              <w:rPr>
                <w:sz w:val="9"/>
                <w:szCs w:val="9"/>
                <w:color w:val="auto"/>
              </w:rPr>
            </w:pPr>
          </w:p>
        </w:tc>
        <w:tc>
          <w:tcPr>
            <w:tcW w:w="20" w:type="dxa"/>
            <w:vAlign w:val="bottom"/>
            <w:tcBorders>
              <w:top w:val="single" w:sz="8" w:color="0000EE"/>
              <w:bottom w:val="single" w:sz="8" w:color="005C7D"/>
            </w:tcBorders>
          </w:tcPr>
          <w:p>
            <w:pPr>
              <w:spacing w:after="0"/>
              <w:rPr>
                <w:sz w:val="9"/>
                <w:szCs w:val="9"/>
                <w:color w:val="auto"/>
              </w:rPr>
            </w:pPr>
          </w:p>
        </w:tc>
        <w:tc>
          <w:tcPr>
            <w:tcW w:w="160" w:type="dxa"/>
            <w:vAlign w:val="bottom"/>
            <w:tcBorders>
              <w:top w:val="single" w:sz="8" w:color="0000EE"/>
              <w:bottom w:val="single" w:sz="8" w:color="005C7D"/>
            </w:tcBorders>
          </w:tcPr>
          <w:p>
            <w:pPr>
              <w:spacing w:after="0"/>
              <w:rPr>
                <w:sz w:val="9"/>
                <w:szCs w:val="9"/>
                <w:color w:val="auto"/>
              </w:rPr>
            </w:pPr>
          </w:p>
        </w:tc>
        <w:tc>
          <w:tcPr>
            <w:tcW w:w="240" w:type="dxa"/>
            <w:vAlign w:val="bottom"/>
            <w:tcBorders>
              <w:top w:val="single" w:sz="8" w:color="0000EE"/>
              <w:bottom w:val="single" w:sz="8" w:color="005C7D"/>
            </w:tcBorders>
          </w:tcPr>
          <w:p>
            <w:pPr>
              <w:spacing w:after="0"/>
              <w:rPr>
                <w:sz w:val="9"/>
                <w:szCs w:val="9"/>
                <w:color w:val="auto"/>
              </w:rPr>
            </w:pPr>
          </w:p>
        </w:tc>
        <w:tc>
          <w:tcPr>
            <w:tcW w:w="120" w:type="dxa"/>
            <w:vAlign w:val="bottom"/>
            <w:tcBorders>
              <w:bottom w:val="single" w:sz="8" w:color="005C7D"/>
            </w:tcBorders>
          </w:tcPr>
          <w:p>
            <w:pPr>
              <w:spacing w:after="0"/>
              <w:rPr>
                <w:sz w:val="9"/>
                <w:szCs w:val="9"/>
                <w:color w:val="auto"/>
              </w:rPr>
            </w:pPr>
          </w:p>
        </w:tc>
        <w:tc>
          <w:tcPr>
            <w:tcW w:w="320" w:type="dxa"/>
            <w:vAlign w:val="bottom"/>
            <w:tcBorders>
              <w:bottom w:val="single" w:sz="8" w:color="005C7D"/>
            </w:tcBorders>
          </w:tcPr>
          <w:p>
            <w:pPr>
              <w:spacing w:after="0"/>
              <w:rPr>
                <w:sz w:val="9"/>
                <w:szCs w:val="9"/>
                <w:color w:val="auto"/>
              </w:rPr>
            </w:pPr>
          </w:p>
        </w:tc>
        <w:tc>
          <w:tcPr>
            <w:tcW w:w="440" w:type="dxa"/>
            <w:vAlign w:val="bottom"/>
            <w:tcBorders>
              <w:bottom w:val="single" w:sz="8" w:color="005C7D"/>
            </w:tcBorders>
          </w:tcPr>
          <w:p>
            <w:pPr>
              <w:spacing w:after="0"/>
              <w:rPr>
                <w:sz w:val="9"/>
                <w:szCs w:val="9"/>
                <w:color w:val="auto"/>
              </w:rPr>
            </w:pPr>
          </w:p>
        </w:tc>
        <w:tc>
          <w:tcPr>
            <w:tcW w:w="600" w:type="dxa"/>
            <w:vAlign w:val="bottom"/>
            <w:tcBorders>
              <w:bottom w:val="single" w:sz="8" w:color="005C7D"/>
            </w:tcBorders>
          </w:tcPr>
          <w:p>
            <w:pPr>
              <w:spacing w:after="0"/>
              <w:rPr>
                <w:sz w:val="9"/>
                <w:szCs w:val="9"/>
                <w:color w:val="auto"/>
              </w:rPr>
            </w:pPr>
          </w:p>
        </w:tc>
        <w:tc>
          <w:tcPr>
            <w:tcW w:w="1520" w:type="dxa"/>
            <w:vAlign w:val="bottom"/>
            <w:tcBorders>
              <w:bottom w:val="single" w:sz="8" w:color="005C7D"/>
            </w:tcBorders>
          </w:tcPr>
          <w:p>
            <w:pPr>
              <w:spacing w:after="0"/>
              <w:rPr>
                <w:sz w:val="9"/>
                <w:szCs w:val="9"/>
                <w:color w:val="auto"/>
              </w:rPr>
            </w:pPr>
          </w:p>
        </w:tc>
        <w:tc>
          <w:tcPr>
            <w:tcW w:w="140" w:type="dxa"/>
            <w:vAlign w:val="bottom"/>
            <w:tcBorders>
              <w:bottom w:val="single" w:sz="8" w:color="005C7D"/>
            </w:tcBorders>
          </w:tcPr>
          <w:p>
            <w:pPr>
              <w:spacing w:after="0"/>
              <w:rPr>
                <w:sz w:val="9"/>
                <w:szCs w:val="9"/>
                <w:color w:val="auto"/>
              </w:rPr>
            </w:pPr>
          </w:p>
        </w:tc>
        <w:tc>
          <w:tcPr>
            <w:tcW w:w="46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260" w:type="dxa"/>
            <w:vAlign w:val="bottom"/>
            <w:tcBorders>
              <w:bottom w:val="single" w:sz="8" w:color="005C7D"/>
            </w:tcBorders>
          </w:tcPr>
          <w:p>
            <w:pPr>
              <w:spacing w:after="0"/>
              <w:rPr>
                <w:sz w:val="9"/>
                <w:szCs w:val="9"/>
                <w:color w:val="auto"/>
              </w:rPr>
            </w:pPr>
          </w:p>
        </w:tc>
        <w:tc>
          <w:tcPr>
            <w:tcW w:w="20" w:type="dxa"/>
            <w:vAlign w:val="bottom"/>
            <w:tcBorders>
              <w:bottom w:val="single" w:sz="8" w:color="005C7D"/>
            </w:tcBorders>
          </w:tcPr>
          <w:p>
            <w:pPr>
              <w:spacing w:after="0"/>
              <w:rPr>
                <w:sz w:val="9"/>
                <w:szCs w:val="9"/>
                <w:color w:val="auto"/>
              </w:rPr>
            </w:pPr>
          </w:p>
        </w:tc>
        <w:tc>
          <w:tcPr>
            <w:tcW w:w="80" w:type="dxa"/>
            <w:vAlign w:val="bottom"/>
            <w:tcBorders>
              <w:bottom w:val="single" w:sz="8" w:color="005C7D"/>
            </w:tcBorders>
          </w:tcPr>
          <w:p>
            <w:pPr>
              <w:spacing w:after="0"/>
              <w:rPr>
                <w:sz w:val="9"/>
                <w:szCs w:val="9"/>
                <w:color w:val="auto"/>
              </w:rPr>
            </w:pPr>
          </w:p>
        </w:tc>
        <w:tc>
          <w:tcPr>
            <w:tcW w:w="180" w:type="dxa"/>
            <w:vAlign w:val="bottom"/>
            <w:tcBorders>
              <w:top w:val="single" w:sz="8" w:color="0000EE"/>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r>
      <w:tr>
        <w:trPr>
          <w:trHeight w:val="271"/>
        </w:trPr>
        <w:tc>
          <w:tcPr>
            <w:tcW w:w="8960" w:type="dxa"/>
            <w:vAlign w:val="bottom"/>
            <w:gridSpan w:val="25"/>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EQUITY COMPENSATION PLAN INFORMATION</w:t>
              </w:r>
            </w:hyperlink>
          </w:p>
        </w:tc>
        <w:tc>
          <w:tcPr>
            <w:tcW w:w="540" w:type="dxa"/>
            <w:vAlign w:val="bottom"/>
            <w:gridSpan w:val="4"/>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85</w:t>
              </w:r>
            </w:hyperlink>
          </w:p>
        </w:tc>
        <w:tc>
          <w:tcPr>
            <w:tcW w:w="60" w:type="dxa"/>
            <w:vAlign w:val="bottom"/>
          </w:tcPr>
          <w:p>
            <w:pPr>
              <w:spacing w:after="0"/>
              <w:rPr>
                <w:sz w:val="23"/>
                <w:szCs w:val="23"/>
                <w:color w:val="auto"/>
              </w:rPr>
            </w:pPr>
          </w:p>
        </w:tc>
      </w:tr>
      <w:tr>
        <w:trPr>
          <w:trHeight w:val="108"/>
        </w:trPr>
        <w:tc>
          <w:tcPr>
            <w:tcW w:w="540" w:type="dxa"/>
            <w:vAlign w:val="bottom"/>
            <w:tcBorders>
              <w:top w:val="single" w:sz="8" w:color="0000EE"/>
              <w:bottom w:val="single" w:sz="8" w:color="005C7D"/>
            </w:tcBorders>
          </w:tcPr>
          <w:p>
            <w:pPr>
              <w:spacing w:after="0"/>
              <w:rPr>
                <w:sz w:val="9"/>
                <w:szCs w:val="9"/>
                <w:color w:val="auto"/>
              </w:rPr>
            </w:pPr>
          </w:p>
        </w:tc>
        <w:tc>
          <w:tcPr>
            <w:tcW w:w="1000" w:type="dxa"/>
            <w:vAlign w:val="bottom"/>
            <w:tcBorders>
              <w:top w:val="single" w:sz="8" w:color="0000EE"/>
              <w:bottom w:val="single" w:sz="8" w:color="005C7D"/>
            </w:tcBorders>
          </w:tcPr>
          <w:p>
            <w:pPr>
              <w:spacing w:after="0"/>
              <w:rPr>
                <w:sz w:val="9"/>
                <w:szCs w:val="9"/>
                <w:color w:val="auto"/>
              </w:rPr>
            </w:pPr>
          </w:p>
        </w:tc>
        <w:tc>
          <w:tcPr>
            <w:tcW w:w="380" w:type="dxa"/>
            <w:vAlign w:val="bottom"/>
            <w:tcBorders>
              <w:top w:val="single" w:sz="8" w:color="0000EE"/>
              <w:bottom w:val="single" w:sz="8" w:color="005C7D"/>
            </w:tcBorders>
          </w:tcPr>
          <w:p>
            <w:pPr>
              <w:spacing w:after="0"/>
              <w:rPr>
                <w:sz w:val="9"/>
                <w:szCs w:val="9"/>
                <w:color w:val="auto"/>
              </w:rPr>
            </w:pPr>
          </w:p>
        </w:tc>
        <w:tc>
          <w:tcPr>
            <w:tcW w:w="120" w:type="dxa"/>
            <w:vAlign w:val="bottom"/>
            <w:tcBorders>
              <w:top w:val="single" w:sz="8" w:color="0000EE"/>
              <w:bottom w:val="single" w:sz="8" w:color="005C7D"/>
            </w:tcBorders>
          </w:tcPr>
          <w:p>
            <w:pPr>
              <w:spacing w:after="0"/>
              <w:rPr>
                <w:sz w:val="9"/>
                <w:szCs w:val="9"/>
                <w:color w:val="auto"/>
              </w:rPr>
            </w:pPr>
          </w:p>
        </w:tc>
        <w:tc>
          <w:tcPr>
            <w:tcW w:w="480" w:type="dxa"/>
            <w:vAlign w:val="bottom"/>
            <w:tcBorders>
              <w:top w:val="single" w:sz="8" w:color="0000EE"/>
              <w:bottom w:val="single" w:sz="8" w:color="005C7D"/>
            </w:tcBorders>
          </w:tcPr>
          <w:p>
            <w:pPr>
              <w:spacing w:after="0"/>
              <w:rPr>
                <w:sz w:val="9"/>
                <w:szCs w:val="9"/>
                <w:color w:val="auto"/>
              </w:rPr>
            </w:pPr>
          </w:p>
        </w:tc>
        <w:tc>
          <w:tcPr>
            <w:tcW w:w="32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60" w:type="dxa"/>
            <w:vAlign w:val="bottom"/>
            <w:tcBorders>
              <w:top w:val="single" w:sz="8" w:color="0000EE"/>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240" w:type="dxa"/>
            <w:vAlign w:val="bottom"/>
            <w:tcBorders>
              <w:top w:val="single" w:sz="8" w:color="0000EE"/>
              <w:bottom w:val="single" w:sz="8" w:color="005C7D"/>
            </w:tcBorders>
          </w:tcPr>
          <w:p>
            <w:pPr>
              <w:spacing w:after="0"/>
              <w:rPr>
                <w:sz w:val="9"/>
                <w:szCs w:val="9"/>
                <w:color w:val="auto"/>
              </w:rPr>
            </w:pPr>
          </w:p>
        </w:tc>
        <w:tc>
          <w:tcPr>
            <w:tcW w:w="240" w:type="dxa"/>
            <w:vAlign w:val="bottom"/>
            <w:tcBorders>
              <w:top w:val="single" w:sz="8" w:color="0000EE"/>
              <w:bottom w:val="single" w:sz="8" w:color="005C7D"/>
            </w:tcBorders>
          </w:tcPr>
          <w:p>
            <w:pPr>
              <w:spacing w:after="0"/>
              <w:rPr>
                <w:sz w:val="9"/>
                <w:szCs w:val="9"/>
                <w:color w:val="auto"/>
              </w:rPr>
            </w:pPr>
          </w:p>
        </w:tc>
        <w:tc>
          <w:tcPr>
            <w:tcW w:w="620" w:type="dxa"/>
            <w:vAlign w:val="bottom"/>
            <w:tcBorders>
              <w:top w:val="single" w:sz="8" w:color="0000EE"/>
              <w:bottom w:val="single" w:sz="8" w:color="005C7D"/>
            </w:tcBorders>
          </w:tcPr>
          <w:p>
            <w:pPr>
              <w:spacing w:after="0"/>
              <w:rPr>
                <w:sz w:val="9"/>
                <w:szCs w:val="9"/>
                <w:color w:val="auto"/>
              </w:rPr>
            </w:pPr>
          </w:p>
        </w:tc>
        <w:tc>
          <w:tcPr>
            <w:tcW w:w="40" w:type="dxa"/>
            <w:vAlign w:val="bottom"/>
            <w:tcBorders>
              <w:bottom w:val="single" w:sz="8" w:color="005C7D"/>
            </w:tcBorders>
          </w:tcPr>
          <w:p>
            <w:pPr>
              <w:spacing w:after="0"/>
              <w:rPr>
                <w:sz w:val="9"/>
                <w:szCs w:val="9"/>
                <w:color w:val="auto"/>
              </w:rPr>
            </w:pPr>
          </w:p>
        </w:tc>
        <w:tc>
          <w:tcPr>
            <w:tcW w:w="520" w:type="dxa"/>
            <w:vAlign w:val="bottom"/>
            <w:tcBorders>
              <w:bottom w:val="single" w:sz="8" w:color="005C7D"/>
            </w:tcBorders>
          </w:tcPr>
          <w:p>
            <w:pPr>
              <w:spacing w:after="0"/>
              <w:rPr>
                <w:sz w:val="9"/>
                <w:szCs w:val="9"/>
                <w:color w:val="auto"/>
              </w:rPr>
            </w:pPr>
          </w:p>
        </w:tc>
        <w:tc>
          <w:tcPr>
            <w:tcW w:w="20" w:type="dxa"/>
            <w:vAlign w:val="bottom"/>
            <w:tcBorders>
              <w:bottom w:val="single" w:sz="8" w:color="005C7D"/>
            </w:tcBorders>
          </w:tcPr>
          <w:p>
            <w:pPr>
              <w:spacing w:after="0"/>
              <w:rPr>
                <w:sz w:val="9"/>
                <w:szCs w:val="9"/>
                <w:color w:val="auto"/>
              </w:rPr>
            </w:pPr>
          </w:p>
        </w:tc>
        <w:tc>
          <w:tcPr>
            <w:tcW w:w="16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120" w:type="dxa"/>
            <w:vAlign w:val="bottom"/>
            <w:tcBorders>
              <w:bottom w:val="single" w:sz="8" w:color="005C7D"/>
            </w:tcBorders>
          </w:tcPr>
          <w:p>
            <w:pPr>
              <w:spacing w:after="0"/>
              <w:rPr>
                <w:sz w:val="9"/>
                <w:szCs w:val="9"/>
                <w:color w:val="auto"/>
              </w:rPr>
            </w:pPr>
          </w:p>
        </w:tc>
        <w:tc>
          <w:tcPr>
            <w:tcW w:w="320" w:type="dxa"/>
            <w:vAlign w:val="bottom"/>
            <w:tcBorders>
              <w:bottom w:val="single" w:sz="8" w:color="005C7D"/>
            </w:tcBorders>
          </w:tcPr>
          <w:p>
            <w:pPr>
              <w:spacing w:after="0"/>
              <w:rPr>
                <w:sz w:val="9"/>
                <w:szCs w:val="9"/>
                <w:color w:val="auto"/>
              </w:rPr>
            </w:pPr>
          </w:p>
        </w:tc>
        <w:tc>
          <w:tcPr>
            <w:tcW w:w="440" w:type="dxa"/>
            <w:vAlign w:val="bottom"/>
            <w:tcBorders>
              <w:bottom w:val="single" w:sz="8" w:color="005C7D"/>
            </w:tcBorders>
          </w:tcPr>
          <w:p>
            <w:pPr>
              <w:spacing w:after="0"/>
              <w:rPr>
                <w:sz w:val="9"/>
                <w:szCs w:val="9"/>
                <w:color w:val="auto"/>
              </w:rPr>
            </w:pPr>
          </w:p>
        </w:tc>
        <w:tc>
          <w:tcPr>
            <w:tcW w:w="600" w:type="dxa"/>
            <w:vAlign w:val="bottom"/>
            <w:tcBorders>
              <w:bottom w:val="single" w:sz="8" w:color="005C7D"/>
            </w:tcBorders>
          </w:tcPr>
          <w:p>
            <w:pPr>
              <w:spacing w:after="0"/>
              <w:rPr>
                <w:sz w:val="9"/>
                <w:szCs w:val="9"/>
                <w:color w:val="auto"/>
              </w:rPr>
            </w:pPr>
          </w:p>
        </w:tc>
        <w:tc>
          <w:tcPr>
            <w:tcW w:w="1520" w:type="dxa"/>
            <w:vAlign w:val="bottom"/>
            <w:tcBorders>
              <w:bottom w:val="single" w:sz="8" w:color="005C7D"/>
            </w:tcBorders>
          </w:tcPr>
          <w:p>
            <w:pPr>
              <w:spacing w:after="0"/>
              <w:rPr>
                <w:sz w:val="9"/>
                <w:szCs w:val="9"/>
                <w:color w:val="auto"/>
              </w:rPr>
            </w:pPr>
          </w:p>
        </w:tc>
        <w:tc>
          <w:tcPr>
            <w:tcW w:w="140" w:type="dxa"/>
            <w:vAlign w:val="bottom"/>
            <w:tcBorders>
              <w:bottom w:val="single" w:sz="8" w:color="005C7D"/>
            </w:tcBorders>
          </w:tcPr>
          <w:p>
            <w:pPr>
              <w:spacing w:after="0"/>
              <w:rPr>
                <w:sz w:val="9"/>
                <w:szCs w:val="9"/>
                <w:color w:val="auto"/>
              </w:rPr>
            </w:pPr>
          </w:p>
        </w:tc>
        <w:tc>
          <w:tcPr>
            <w:tcW w:w="46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260" w:type="dxa"/>
            <w:vAlign w:val="bottom"/>
            <w:tcBorders>
              <w:bottom w:val="single" w:sz="8" w:color="005C7D"/>
            </w:tcBorders>
          </w:tcPr>
          <w:p>
            <w:pPr>
              <w:spacing w:after="0"/>
              <w:rPr>
                <w:sz w:val="9"/>
                <w:szCs w:val="9"/>
                <w:color w:val="auto"/>
              </w:rPr>
            </w:pPr>
          </w:p>
        </w:tc>
        <w:tc>
          <w:tcPr>
            <w:tcW w:w="20" w:type="dxa"/>
            <w:vAlign w:val="bottom"/>
            <w:tcBorders>
              <w:bottom w:val="single" w:sz="8" w:color="005C7D"/>
            </w:tcBorders>
          </w:tcPr>
          <w:p>
            <w:pPr>
              <w:spacing w:after="0"/>
              <w:rPr>
                <w:sz w:val="9"/>
                <w:szCs w:val="9"/>
                <w:color w:val="auto"/>
              </w:rPr>
            </w:pPr>
          </w:p>
        </w:tc>
        <w:tc>
          <w:tcPr>
            <w:tcW w:w="80" w:type="dxa"/>
            <w:vAlign w:val="bottom"/>
            <w:tcBorders>
              <w:bottom w:val="single" w:sz="8" w:color="005C7D"/>
            </w:tcBorders>
          </w:tcPr>
          <w:p>
            <w:pPr>
              <w:spacing w:after="0"/>
              <w:rPr>
                <w:sz w:val="9"/>
                <w:szCs w:val="9"/>
                <w:color w:val="auto"/>
              </w:rPr>
            </w:pPr>
          </w:p>
        </w:tc>
        <w:tc>
          <w:tcPr>
            <w:tcW w:w="180" w:type="dxa"/>
            <w:vAlign w:val="bottom"/>
            <w:tcBorders>
              <w:top w:val="single" w:sz="8" w:color="0000EE"/>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r>
      <w:tr>
        <w:trPr>
          <w:trHeight w:val="271"/>
        </w:trPr>
        <w:tc>
          <w:tcPr>
            <w:tcW w:w="8960" w:type="dxa"/>
            <w:vAlign w:val="bottom"/>
            <w:gridSpan w:val="25"/>
          </w:tcPr>
          <w:p>
            <w:pPr>
              <w:spacing w:after="0"/>
              <w:rPr>
                <w:rFonts w:ascii="Arial" w:cs="Arial" w:eastAsia="Arial" w:hAnsi="Arial"/>
                <w:sz w:val="18"/>
                <w:szCs w:val="18"/>
                <w:b w:val="1"/>
                <w:bCs w:val="1"/>
                <w:color w:val="0000EE"/>
              </w:rPr>
            </w:pPr>
            <w:hyperlink w:anchor="page92">
              <w:r>
                <w:rPr>
                  <w:rFonts w:ascii="Arial" w:cs="Arial" w:eastAsia="Arial" w:hAnsi="Arial"/>
                  <w:sz w:val="18"/>
                  <w:szCs w:val="18"/>
                  <w:b w:val="1"/>
                  <w:bCs w:val="1"/>
                  <w:color w:val="0000EE"/>
                </w:rPr>
                <w:t>SECTION 16(a) BENEFICIAL OWNERSHIP REPORTING COMPLIANCE</w:t>
              </w:r>
            </w:hyperlink>
          </w:p>
        </w:tc>
        <w:tc>
          <w:tcPr>
            <w:tcW w:w="540" w:type="dxa"/>
            <w:vAlign w:val="bottom"/>
            <w:gridSpan w:val="4"/>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86</w:t>
              </w:r>
            </w:hyperlink>
          </w:p>
        </w:tc>
        <w:tc>
          <w:tcPr>
            <w:tcW w:w="60" w:type="dxa"/>
            <w:vAlign w:val="bottom"/>
          </w:tcPr>
          <w:p>
            <w:pPr>
              <w:spacing w:after="0"/>
              <w:rPr>
                <w:sz w:val="23"/>
                <w:szCs w:val="23"/>
                <w:color w:val="auto"/>
              </w:rPr>
            </w:pPr>
          </w:p>
        </w:tc>
      </w:tr>
      <w:tr>
        <w:trPr>
          <w:trHeight w:val="108"/>
        </w:trPr>
        <w:tc>
          <w:tcPr>
            <w:tcW w:w="540" w:type="dxa"/>
            <w:vAlign w:val="bottom"/>
            <w:tcBorders>
              <w:top w:val="single" w:sz="8" w:color="0000EE"/>
              <w:bottom w:val="single" w:sz="8" w:color="005C7D"/>
            </w:tcBorders>
          </w:tcPr>
          <w:p>
            <w:pPr>
              <w:spacing w:after="0"/>
              <w:rPr>
                <w:sz w:val="9"/>
                <w:szCs w:val="9"/>
                <w:color w:val="auto"/>
              </w:rPr>
            </w:pPr>
          </w:p>
        </w:tc>
        <w:tc>
          <w:tcPr>
            <w:tcW w:w="1000" w:type="dxa"/>
            <w:vAlign w:val="bottom"/>
            <w:tcBorders>
              <w:top w:val="single" w:sz="8" w:color="0000EE"/>
              <w:bottom w:val="single" w:sz="8" w:color="005C7D"/>
            </w:tcBorders>
          </w:tcPr>
          <w:p>
            <w:pPr>
              <w:spacing w:after="0"/>
              <w:rPr>
                <w:sz w:val="9"/>
                <w:szCs w:val="9"/>
                <w:color w:val="auto"/>
              </w:rPr>
            </w:pPr>
          </w:p>
        </w:tc>
        <w:tc>
          <w:tcPr>
            <w:tcW w:w="380" w:type="dxa"/>
            <w:vAlign w:val="bottom"/>
            <w:tcBorders>
              <w:top w:val="single" w:sz="8" w:color="0000EE"/>
              <w:bottom w:val="single" w:sz="8" w:color="005C7D"/>
            </w:tcBorders>
          </w:tcPr>
          <w:p>
            <w:pPr>
              <w:spacing w:after="0"/>
              <w:rPr>
                <w:sz w:val="9"/>
                <w:szCs w:val="9"/>
                <w:color w:val="auto"/>
              </w:rPr>
            </w:pPr>
          </w:p>
        </w:tc>
        <w:tc>
          <w:tcPr>
            <w:tcW w:w="120" w:type="dxa"/>
            <w:vAlign w:val="bottom"/>
            <w:tcBorders>
              <w:top w:val="single" w:sz="8" w:color="0000EE"/>
              <w:bottom w:val="single" w:sz="8" w:color="005C7D"/>
            </w:tcBorders>
          </w:tcPr>
          <w:p>
            <w:pPr>
              <w:spacing w:after="0"/>
              <w:rPr>
                <w:sz w:val="9"/>
                <w:szCs w:val="9"/>
                <w:color w:val="auto"/>
              </w:rPr>
            </w:pPr>
          </w:p>
        </w:tc>
        <w:tc>
          <w:tcPr>
            <w:tcW w:w="480" w:type="dxa"/>
            <w:vAlign w:val="bottom"/>
            <w:tcBorders>
              <w:top w:val="single" w:sz="8" w:color="0000EE"/>
              <w:bottom w:val="single" w:sz="8" w:color="005C7D"/>
            </w:tcBorders>
          </w:tcPr>
          <w:p>
            <w:pPr>
              <w:spacing w:after="0"/>
              <w:rPr>
                <w:sz w:val="9"/>
                <w:szCs w:val="9"/>
                <w:color w:val="auto"/>
              </w:rPr>
            </w:pPr>
          </w:p>
        </w:tc>
        <w:tc>
          <w:tcPr>
            <w:tcW w:w="32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60" w:type="dxa"/>
            <w:vAlign w:val="bottom"/>
            <w:tcBorders>
              <w:top w:val="single" w:sz="8" w:color="0000EE"/>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240" w:type="dxa"/>
            <w:vAlign w:val="bottom"/>
            <w:tcBorders>
              <w:top w:val="single" w:sz="8" w:color="0000EE"/>
              <w:bottom w:val="single" w:sz="8" w:color="005C7D"/>
            </w:tcBorders>
          </w:tcPr>
          <w:p>
            <w:pPr>
              <w:spacing w:after="0"/>
              <w:rPr>
                <w:sz w:val="9"/>
                <w:szCs w:val="9"/>
                <w:color w:val="auto"/>
              </w:rPr>
            </w:pPr>
          </w:p>
        </w:tc>
        <w:tc>
          <w:tcPr>
            <w:tcW w:w="240" w:type="dxa"/>
            <w:vAlign w:val="bottom"/>
            <w:tcBorders>
              <w:top w:val="single" w:sz="8" w:color="0000EE"/>
              <w:bottom w:val="single" w:sz="8" w:color="005C7D"/>
            </w:tcBorders>
          </w:tcPr>
          <w:p>
            <w:pPr>
              <w:spacing w:after="0"/>
              <w:rPr>
                <w:sz w:val="9"/>
                <w:szCs w:val="9"/>
                <w:color w:val="auto"/>
              </w:rPr>
            </w:pPr>
          </w:p>
        </w:tc>
        <w:tc>
          <w:tcPr>
            <w:tcW w:w="62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520" w:type="dxa"/>
            <w:vAlign w:val="bottom"/>
            <w:tcBorders>
              <w:top w:val="single" w:sz="8" w:color="0000EE"/>
              <w:bottom w:val="single" w:sz="8" w:color="005C7D"/>
            </w:tcBorders>
          </w:tcPr>
          <w:p>
            <w:pPr>
              <w:spacing w:after="0"/>
              <w:rPr>
                <w:sz w:val="9"/>
                <w:szCs w:val="9"/>
                <w:color w:val="auto"/>
              </w:rPr>
            </w:pPr>
          </w:p>
        </w:tc>
        <w:tc>
          <w:tcPr>
            <w:tcW w:w="20" w:type="dxa"/>
            <w:vAlign w:val="bottom"/>
            <w:tcBorders>
              <w:top w:val="single" w:sz="8" w:color="0000EE"/>
              <w:bottom w:val="single" w:sz="8" w:color="005C7D"/>
            </w:tcBorders>
          </w:tcPr>
          <w:p>
            <w:pPr>
              <w:spacing w:after="0"/>
              <w:rPr>
                <w:sz w:val="9"/>
                <w:szCs w:val="9"/>
                <w:color w:val="auto"/>
              </w:rPr>
            </w:pPr>
          </w:p>
        </w:tc>
        <w:tc>
          <w:tcPr>
            <w:tcW w:w="160" w:type="dxa"/>
            <w:vAlign w:val="bottom"/>
            <w:tcBorders>
              <w:top w:val="single" w:sz="8" w:color="0000EE"/>
              <w:bottom w:val="single" w:sz="8" w:color="005C7D"/>
            </w:tcBorders>
          </w:tcPr>
          <w:p>
            <w:pPr>
              <w:spacing w:after="0"/>
              <w:rPr>
                <w:sz w:val="9"/>
                <w:szCs w:val="9"/>
                <w:color w:val="auto"/>
              </w:rPr>
            </w:pPr>
          </w:p>
        </w:tc>
        <w:tc>
          <w:tcPr>
            <w:tcW w:w="240" w:type="dxa"/>
            <w:vAlign w:val="bottom"/>
            <w:tcBorders>
              <w:top w:val="single" w:sz="8" w:color="0000EE"/>
              <w:bottom w:val="single" w:sz="8" w:color="005C7D"/>
            </w:tcBorders>
          </w:tcPr>
          <w:p>
            <w:pPr>
              <w:spacing w:after="0"/>
              <w:rPr>
                <w:sz w:val="9"/>
                <w:szCs w:val="9"/>
                <w:color w:val="auto"/>
              </w:rPr>
            </w:pPr>
          </w:p>
        </w:tc>
        <w:tc>
          <w:tcPr>
            <w:tcW w:w="120" w:type="dxa"/>
            <w:vAlign w:val="bottom"/>
            <w:tcBorders>
              <w:top w:val="single" w:sz="8" w:color="0000EE"/>
              <w:bottom w:val="single" w:sz="8" w:color="005C7D"/>
            </w:tcBorders>
          </w:tcPr>
          <w:p>
            <w:pPr>
              <w:spacing w:after="0"/>
              <w:rPr>
                <w:sz w:val="9"/>
                <w:szCs w:val="9"/>
                <w:color w:val="auto"/>
              </w:rPr>
            </w:pPr>
          </w:p>
        </w:tc>
        <w:tc>
          <w:tcPr>
            <w:tcW w:w="320" w:type="dxa"/>
            <w:vAlign w:val="bottom"/>
            <w:tcBorders>
              <w:top w:val="single" w:sz="8" w:color="0000EE"/>
              <w:bottom w:val="single" w:sz="8" w:color="005C7D"/>
            </w:tcBorders>
          </w:tcPr>
          <w:p>
            <w:pPr>
              <w:spacing w:after="0"/>
              <w:rPr>
                <w:sz w:val="9"/>
                <w:szCs w:val="9"/>
                <w:color w:val="auto"/>
              </w:rPr>
            </w:pPr>
          </w:p>
        </w:tc>
        <w:tc>
          <w:tcPr>
            <w:tcW w:w="440" w:type="dxa"/>
            <w:vAlign w:val="bottom"/>
            <w:tcBorders>
              <w:top w:val="single" w:sz="8" w:color="0000EE"/>
              <w:bottom w:val="single" w:sz="8" w:color="005C7D"/>
            </w:tcBorders>
          </w:tcPr>
          <w:p>
            <w:pPr>
              <w:spacing w:after="0"/>
              <w:rPr>
                <w:sz w:val="9"/>
                <w:szCs w:val="9"/>
                <w:color w:val="auto"/>
              </w:rPr>
            </w:pPr>
          </w:p>
        </w:tc>
        <w:tc>
          <w:tcPr>
            <w:tcW w:w="600" w:type="dxa"/>
            <w:vAlign w:val="bottom"/>
            <w:tcBorders>
              <w:bottom w:val="single" w:sz="8" w:color="005C7D"/>
            </w:tcBorders>
          </w:tcPr>
          <w:p>
            <w:pPr>
              <w:spacing w:after="0"/>
              <w:rPr>
                <w:sz w:val="9"/>
                <w:szCs w:val="9"/>
                <w:color w:val="auto"/>
              </w:rPr>
            </w:pPr>
          </w:p>
        </w:tc>
        <w:tc>
          <w:tcPr>
            <w:tcW w:w="1520" w:type="dxa"/>
            <w:vAlign w:val="bottom"/>
            <w:tcBorders>
              <w:bottom w:val="single" w:sz="8" w:color="005C7D"/>
            </w:tcBorders>
          </w:tcPr>
          <w:p>
            <w:pPr>
              <w:spacing w:after="0"/>
              <w:rPr>
                <w:sz w:val="9"/>
                <w:szCs w:val="9"/>
                <w:color w:val="auto"/>
              </w:rPr>
            </w:pPr>
          </w:p>
        </w:tc>
        <w:tc>
          <w:tcPr>
            <w:tcW w:w="140" w:type="dxa"/>
            <w:vAlign w:val="bottom"/>
            <w:tcBorders>
              <w:bottom w:val="single" w:sz="8" w:color="005C7D"/>
            </w:tcBorders>
          </w:tcPr>
          <w:p>
            <w:pPr>
              <w:spacing w:after="0"/>
              <w:rPr>
                <w:sz w:val="9"/>
                <w:szCs w:val="9"/>
                <w:color w:val="auto"/>
              </w:rPr>
            </w:pPr>
          </w:p>
        </w:tc>
        <w:tc>
          <w:tcPr>
            <w:tcW w:w="46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260" w:type="dxa"/>
            <w:vAlign w:val="bottom"/>
            <w:tcBorders>
              <w:bottom w:val="single" w:sz="8" w:color="005C7D"/>
            </w:tcBorders>
          </w:tcPr>
          <w:p>
            <w:pPr>
              <w:spacing w:after="0"/>
              <w:rPr>
                <w:sz w:val="9"/>
                <w:szCs w:val="9"/>
                <w:color w:val="auto"/>
              </w:rPr>
            </w:pPr>
          </w:p>
        </w:tc>
        <w:tc>
          <w:tcPr>
            <w:tcW w:w="20" w:type="dxa"/>
            <w:vAlign w:val="bottom"/>
            <w:tcBorders>
              <w:bottom w:val="single" w:sz="8" w:color="005C7D"/>
            </w:tcBorders>
          </w:tcPr>
          <w:p>
            <w:pPr>
              <w:spacing w:after="0"/>
              <w:rPr>
                <w:sz w:val="9"/>
                <w:szCs w:val="9"/>
                <w:color w:val="auto"/>
              </w:rPr>
            </w:pPr>
          </w:p>
        </w:tc>
        <w:tc>
          <w:tcPr>
            <w:tcW w:w="80" w:type="dxa"/>
            <w:vAlign w:val="bottom"/>
            <w:tcBorders>
              <w:bottom w:val="single" w:sz="8" w:color="005C7D"/>
            </w:tcBorders>
          </w:tcPr>
          <w:p>
            <w:pPr>
              <w:spacing w:after="0"/>
              <w:rPr>
                <w:sz w:val="9"/>
                <w:szCs w:val="9"/>
                <w:color w:val="auto"/>
              </w:rPr>
            </w:pPr>
          </w:p>
        </w:tc>
        <w:tc>
          <w:tcPr>
            <w:tcW w:w="180" w:type="dxa"/>
            <w:vAlign w:val="bottom"/>
            <w:tcBorders>
              <w:top w:val="single" w:sz="8" w:color="0000EE"/>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r>
      <w:tr>
        <w:trPr>
          <w:trHeight w:val="264"/>
        </w:trPr>
        <w:tc>
          <w:tcPr>
            <w:tcW w:w="8260" w:type="dxa"/>
            <w:vAlign w:val="bottom"/>
            <w:tcBorders>
              <w:bottom w:val="single" w:sz="8" w:color="0000EE"/>
            </w:tcBorders>
            <w:gridSpan w:val="23"/>
          </w:tcPr>
          <w:p>
            <w:pPr>
              <w:spacing w:after="0"/>
              <w:rPr>
                <w:rFonts w:ascii="Arial" w:cs="Arial" w:eastAsia="Arial" w:hAnsi="Arial"/>
                <w:sz w:val="18"/>
                <w:szCs w:val="18"/>
                <w:b w:val="1"/>
                <w:bCs w:val="1"/>
                <w:color w:val="0000EE"/>
                <w:w w:val="99"/>
              </w:rPr>
            </w:pPr>
            <w:hyperlink w:anchor="page93">
              <w:r>
                <w:rPr>
                  <w:rFonts w:ascii="Arial" w:cs="Arial" w:eastAsia="Arial" w:hAnsi="Arial"/>
                  <w:sz w:val="18"/>
                  <w:szCs w:val="18"/>
                  <w:b w:val="1"/>
                  <w:bCs w:val="1"/>
                  <w:color w:val="0000EE"/>
                  <w:w w:val="99"/>
                </w:rPr>
                <w:t>QUESTIONS AND ANSWERS ABOUT BOARD COMMUNICATIONS, COMPANY DOCUMENTS AND</w:t>
              </w:r>
            </w:hyperlink>
          </w:p>
        </w:tc>
        <w:tc>
          <w:tcPr>
            <w:tcW w:w="700" w:type="dxa"/>
            <w:vAlign w:val="bottom"/>
            <w:gridSpan w:val="2"/>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03"/>
        </w:trPr>
        <w:tc>
          <w:tcPr>
            <w:tcW w:w="8960" w:type="dxa"/>
            <w:vAlign w:val="bottom"/>
            <w:gridSpan w:val="25"/>
          </w:tcPr>
          <w:p>
            <w:pPr>
              <w:spacing w:after="0" w:line="182" w:lineRule="exact"/>
              <w:rPr>
                <w:rFonts w:ascii="Arial" w:cs="Arial" w:eastAsia="Arial" w:hAnsi="Arial"/>
                <w:sz w:val="18"/>
                <w:szCs w:val="18"/>
                <w:b w:val="1"/>
                <w:bCs w:val="1"/>
                <w:color w:val="0000EE"/>
              </w:rPr>
            </w:pPr>
            <w:hyperlink w:anchor="page93">
              <w:r>
                <w:rPr>
                  <w:rFonts w:ascii="Arial" w:cs="Arial" w:eastAsia="Arial" w:hAnsi="Arial"/>
                  <w:sz w:val="18"/>
                  <w:szCs w:val="18"/>
                  <w:b w:val="1"/>
                  <w:bCs w:val="1"/>
                  <w:color w:val="0000EE"/>
                </w:rPr>
                <w:t>SHAREHOLDER PROPOSALS</w:t>
              </w:r>
            </w:hyperlink>
          </w:p>
        </w:tc>
        <w:tc>
          <w:tcPr>
            <w:tcW w:w="540" w:type="dxa"/>
            <w:vAlign w:val="bottom"/>
            <w:gridSpan w:val="4"/>
          </w:tcPr>
          <w:p>
            <w:pPr>
              <w:jc w:val="right"/>
              <w:spacing w:after="0" w:line="182" w:lineRule="exact"/>
              <w:rPr>
                <w:rFonts w:ascii="Arial" w:cs="Arial" w:eastAsia="Arial" w:hAnsi="Arial"/>
                <w:sz w:val="18"/>
                <w:szCs w:val="18"/>
                <w:color w:val="0000EE"/>
              </w:rPr>
            </w:pPr>
            <w:hyperlink w:anchor="page93">
              <w:r>
                <w:rPr>
                  <w:rFonts w:ascii="Arial" w:cs="Arial" w:eastAsia="Arial" w:hAnsi="Arial"/>
                  <w:sz w:val="18"/>
                  <w:szCs w:val="18"/>
                  <w:color w:val="0000EE"/>
                </w:rPr>
                <w:t>87</w:t>
              </w:r>
            </w:hyperlink>
          </w:p>
        </w:tc>
        <w:tc>
          <w:tcPr>
            <w:tcW w:w="60" w:type="dxa"/>
            <w:vAlign w:val="bottom"/>
          </w:tcPr>
          <w:p>
            <w:pPr>
              <w:spacing w:after="0"/>
              <w:rPr>
                <w:sz w:val="17"/>
                <w:szCs w:val="17"/>
                <w:color w:val="auto"/>
              </w:rPr>
            </w:pPr>
          </w:p>
        </w:tc>
      </w:tr>
      <w:tr>
        <w:trPr>
          <w:trHeight w:val="108"/>
        </w:trPr>
        <w:tc>
          <w:tcPr>
            <w:tcW w:w="540" w:type="dxa"/>
            <w:vAlign w:val="bottom"/>
            <w:tcBorders>
              <w:top w:val="single" w:sz="8" w:color="0000EE"/>
              <w:bottom w:val="single" w:sz="8" w:color="005C7D"/>
            </w:tcBorders>
          </w:tcPr>
          <w:p>
            <w:pPr>
              <w:spacing w:after="0"/>
              <w:rPr>
                <w:sz w:val="9"/>
                <w:szCs w:val="9"/>
                <w:color w:val="auto"/>
              </w:rPr>
            </w:pPr>
          </w:p>
        </w:tc>
        <w:tc>
          <w:tcPr>
            <w:tcW w:w="1000" w:type="dxa"/>
            <w:vAlign w:val="bottom"/>
            <w:tcBorders>
              <w:top w:val="single" w:sz="8" w:color="0000EE"/>
              <w:bottom w:val="single" w:sz="8" w:color="005C7D"/>
            </w:tcBorders>
          </w:tcPr>
          <w:p>
            <w:pPr>
              <w:spacing w:after="0"/>
              <w:rPr>
                <w:sz w:val="9"/>
                <w:szCs w:val="9"/>
                <w:color w:val="auto"/>
              </w:rPr>
            </w:pPr>
          </w:p>
        </w:tc>
        <w:tc>
          <w:tcPr>
            <w:tcW w:w="380" w:type="dxa"/>
            <w:vAlign w:val="bottom"/>
            <w:tcBorders>
              <w:top w:val="single" w:sz="8" w:color="0000EE"/>
              <w:bottom w:val="single" w:sz="8" w:color="005C7D"/>
            </w:tcBorders>
          </w:tcPr>
          <w:p>
            <w:pPr>
              <w:spacing w:after="0"/>
              <w:rPr>
                <w:sz w:val="9"/>
                <w:szCs w:val="9"/>
                <w:color w:val="auto"/>
              </w:rPr>
            </w:pPr>
          </w:p>
        </w:tc>
        <w:tc>
          <w:tcPr>
            <w:tcW w:w="120" w:type="dxa"/>
            <w:vAlign w:val="bottom"/>
            <w:tcBorders>
              <w:top w:val="single" w:sz="8" w:color="0000EE"/>
              <w:bottom w:val="single" w:sz="8" w:color="005C7D"/>
            </w:tcBorders>
          </w:tcPr>
          <w:p>
            <w:pPr>
              <w:spacing w:after="0"/>
              <w:rPr>
                <w:sz w:val="9"/>
                <w:szCs w:val="9"/>
                <w:color w:val="auto"/>
              </w:rPr>
            </w:pPr>
          </w:p>
        </w:tc>
        <w:tc>
          <w:tcPr>
            <w:tcW w:w="480" w:type="dxa"/>
            <w:vAlign w:val="bottom"/>
            <w:tcBorders>
              <w:top w:val="single" w:sz="8" w:color="0000EE"/>
              <w:bottom w:val="single" w:sz="8" w:color="005C7D"/>
            </w:tcBorders>
          </w:tcPr>
          <w:p>
            <w:pPr>
              <w:spacing w:after="0"/>
              <w:rPr>
                <w:sz w:val="9"/>
                <w:szCs w:val="9"/>
                <w:color w:val="auto"/>
              </w:rPr>
            </w:pPr>
          </w:p>
        </w:tc>
        <w:tc>
          <w:tcPr>
            <w:tcW w:w="320" w:type="dxa"/>
            <w:vAlign w:val="bottom"/>
            <w:tcBorders>
              <w:bottom w:val="single" w:sz="8" w:color="005C7D"/>
            </w:tcBorders>
          </w:tcPr>
          <w:p>
            <w:pPr>
              <w:spacing w:after="0"/>
              <w:rPr>
                <w:sz w:val="9"/>
                <w:szCs w:val="9"/>
                <w:color w:val="auto"/>
              </w:rPr>
            </w:pPr>
          </w:p>
        </w:tc>
        <w:tc>
          <w:tcPr>
            <w:tcW w:w="40" w:type="dxa"/>
            <w:vAlign w:val="bottom"/>
            <w:tcBorders>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c>
          <w:tcPr>
            <w:tcW w:w="10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620" w:type="dxa"/>
            <w:vAlign w:val="bottom"/>
            <w:tcBorders>
              <w:bottom w:val="single" w:sz="8" w:color="005C7D"/>
            </w:tcBorders>
          </w:tcPr>
          <w:p>
            <w:pPr>
              <w:spacing w:after="0"/>
              <w:rPr>
                <w:sz w:val="9"/>
                <w:szCs w:val="9"/>
                <w:color w:val="auto"/>
              </w:rPr>
            </w:pPr>
          </w:p>
        </w:tc>
        <w:tc>
          <w:tcPr>
            <w:tcW w:w="40" w:type="dxa"/>
            <w:vAlign w:val="bottom"/>
            <w:tcBorders>
              <w:bottom w:val="single" w:sz="8" w:color="005C7D"/>
            </w:tcBorders>
          </w:tcPr>
          <w:p>
            <w:pPr>
              <w:spacing w:after="0"/>
              <w:rPr>
                <w:sz w:val="9"/>
                <w:szCs w:val="9"/>
                <w:color w:val="auto"/>
              </w:rPr>
            </w:pPr>
          </w:p>
        </w:tc>
        <w:tc>
          <w:tcPr>
            <w:tcW w:w="520" w:type="dxa"/>
            <w:vAlign w:val="bottom"/>
            <w:tcBorders>
              <w:bottom w:val="single" w:sz="8" w:color="005C7D"/>
            </w:tcBorders>
          </w:tcPr>
          <w:p>
            <w:pPr>
              <w:spacing w:after="0"/>
              <w:rPr>
                <w:sz w:val="9"/>
                <w:szCs w:val="9"/>
                <w:color w:val="auto"/>
              </w:rPr>
            </w:pPr>
          </w:p>
        </w:tc>
        <w:tc>
          <w:tcPr>
            <w:tcW w:w="20" w:type="dxa"/>
            <w:vAlign w:val="bottom"/>
            <w:tcBorders>
              <w:bottom w:val="single" w:sz="8" w:color="005C7D"/>
            </w:tcBorders>
          </w:tcPr>
          <w:p>
            <w:pPr>
              <w:spacing w:after="0"/>
              <w:rPr>
                <w:sz w:val="9"/>
                <w:szCs w:val="9"/>
                <w:color w:val="auto"/>
              </w:rPr>
            </w:pPr>
          </w:p>
        </w:tc>
        <w:tc>
          <w:tcPr>
            <w:tcW w:w="16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120" w:type="dxa"/>
            <w:vAlign w:val="bottom"/>
            <w:tcBorders>
              <w:bottom w:val="single" w:sz="8" w:color="005C7D"/>
            </w:tcBorders>
          </w:tcPr>
          <w:p>
            <w:pPr>
              <w:spacing w:after="0"/>
              <w:rPr>
                <w:sz w:val="9"/>
                <w:szCs w:val="9"/>
                <w:color w:val="auto"/>
              </w:rPr>
            </w:pPr>
          </w:p>
        </w:tc>
        <w:tc>
          <w:tcPr>
            <w:tcW w:w="320" w:type="dxa"/>
            <w:vAlign w:val="bottom"/>
            <w:tcBorders>
              <w:bottom w:val="single" w:sz="8" w:color="005C7D"/>
            </w:tcBorders>
          </w:tcPr>
          <w:p>
            <w:pPr>
              <w:spacing w:after="0"/>
              <w:rPr>
                <w:sz w:val="9"/>
                <w:szCs w:val="9"/>
                <w:color w:val="auto"/>
              </w:rPr>
            </w:pPr>
          </w:p>
        </w:tc>
        <w:tc>
          <w:tcPr>
            <w:tcW w:w="440" w:type="dxa"/>
            <w:vAlign w:val="bottom"/>
            <w:tcBorders>
              <w:bottom w:val="single" w:sz="8" w:color="005C7D"/>
            </w:tcBorders>
          </w:tcPr>
          <w:p>
            <w:pPr>
              <w:spacing w:after="0"/>
              <w:rPr>
                <w:sz w:val="9"/>
                <w:szCs w:val="9"/>
                <w:color w:val="auto"/>
              </w:rPr>
            </w:pPr>
          </w:p>
        </w:tc>
        <w:tc>
          <w:tcPr>
            <w:tcW w:w="600" w:type="dxa"/>
            <w:vAlign w:val="bottom"/>
            <w:tcBorders>
              <w:bottom w:val="single" w:sz="8" w:color="005C7D"/>
            </w:tcBorders>
          </w:tcPr>
          <w:p>
            <w:pPr>
              <w:spacing w:after="0"/>
              <w:rPr>
                <w:sz w:val="9"/>
                <w:szCs w:val="9"/>
                <w:color w:val="auto"/>
              </w:rPr>
            </w:pPr>
          </w:p>
        </w:tc>
        <w:tc>
          <w:tcPr>
            <w:tcW w:w="1520" w:type="dxa"/>
            <w:vAlign w:val="bottom"/>
            <w:tcBorders>
              <w:bottom w:val="single" w:sz="8" w:color="005C7D"/>
            </w:tcBorders>
          </w:tcPr>
          <w:p>
            <w:pPr>
              <w:spacing w:after="0"/>
              <w:rPr>
                <w:sz w:val="9"/>
                <w:szCs w:val="9"/>
                <w:color w:val="auto"/>
              </w:rPr>
            </w:pPr>
          </w:p>
        </w:tc>
        <w:tc>
          <w:tcPr>
            <w:tcW w:w="140" w:type="dxa"/>
            <w:vAlign w:val="bottom"/>
            <w:tcBorders>
              <w:bottom w:val="single" w:sz="8" w:color="005C7D"/>
            </w:tcBorders>
          </w:tcPr>
          <w:p>
            <w:pPr>
              <w:spacing w:after="0"/>
              <w:rPr>
                <w:sz w:val="9"/>
                <w:szCs w:val="9"/>
                <w:color w:val="auto"/>
              </w:rPr>
            </w:pPr>
          </w:p>
        </w:tc>
        <w:tc>
          <w:tcPr>
            <w:tcW w:w="46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260" w:type="dxa"/>
            <w:vAlign w:val="bottom"/>
            <w:tcBorders>
              <w:bottom w:val="single" w:sz="8" w:color="005C7D"/>
            </w:tcBorders>
          </w:tcPr>
          <w:p>
            <w:pPr>
              <w:spacing w:after="0"/>
              <w:rPr>
                <w:sz w:val="9"/>
                <w:szCs w:val="9"/>
                <w:color w:val="auto"/>
              </w:rPr>
            </w:pPr>
          </w:p>
        </w:tc>
        <w:tc>
          <w:tcPr>
            <w:tcW w:w="20" w:type="dxa"/>
            <w:vAlign w:val="bottom"/>
            <w:tcBorders>
              <w:bottom w:val="single" w:sz="8" w:color="005C7D"/>
            </w:tcBorders>
          </w:tcPr>
          <w:p>
            <w:pPr>
              <w:spacing w:after="0"/>
              <w:rPr>
                <w:sz w:val="9"/>
                <w:szCs w:val="9"/>
                <w:color w:val="auto"/>
              </w:rPr>
            </w:pPr>
          </w:p>
        </w:tc>
        <w:tc>
          <w:tcPr>
            <w:tcW w:w="80" w:type="dxa"/>
            <w:vAlign w:val="bottom"/>
            <w:tcBorders>
              <w:bottom w:val="single" w:sz="8" w:color="005C7D"/>
            </w:tcBorders>
          </w:tcPr>
          <w:p>
            <w:pPr>
              <w:spacing w:after="0"/>
              <w:rPr>
                <w:sz w:val="9"/>
                <w:szCs w:val="9"/>
                <w:color w:val="auto"/>
              </w:rPr>
            </w:pPr>
          </w:p>
        </w:tc>
        <w:tc>
          <w:tcPr>
            <w:tcW w:w="180" w:type="dxa"/>
            <w:vAlign w:val="bottom"/>
            <w:tcBorders>
              <w:top w:val="single" w:sz="8" w:color="0000EE"/>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r>
      <w:tr>
        <w:trPr>
          <w:trHeight w:val="271"/>
        </w:trPr>
        <w:tc>
          <w:tcPr>
            <w:tcW w:w="8960" w:type="dxa"/>
            <w:vAlign w:val="bottom"/>
            <w:gridSpan w:val="25"/>
          </w:tcPr>
          <w:p>
            <w:pPr>
              <w:spacing w:after="0"/>
              <w:rPr>
                <w:rFonts w:ascii="Arial" w:cs="Arial" w:eastAsia="Arial" w:hAnsi="Arial"/>
                <w:sz w:val="18"/>
                <w:szCs w:val="18"/>
                <w:b w:val="1"/>
                <w:bCs w:val="1"/>
                <w:color w:val="0000EE"/>
              </w:rPr>
            </w:pPr>
            <w:hyperlink w:anchor="page95">
              <w:r>
                <w:rPr>
                  <w:rFonts w:ascii="Arial" w:cs="Arial" w:eastAsia="Arial" w:hAnsi="Arial"/>
                  <w:sz w:val="18"/>
                  <w:szCs w:val="18"/>
                  <w:b w:val="1"/>
                  <w:bCs w:val="1"/>
                  <w:color w:val="0000EE"/>
                </w:rPr>
                <w:t>GENERAL AND OTHER MATTERS</w:t>
              </w:r>
            </w:hyperlink>
          </w:p>
        </w:tc>
        <w:tc>
          <w:tcPr>
            <w:tcW w:w="540" w:type="dxa"/>
            <w:vAlign w:val="bottom"/>
            <w:gridSpan w:val="4"/>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89</w:t>
              </w:r>
            </w:hyperlink>
          </w:p>
        </w:tc>
        <w:tc>
          <w:tcPr>
            <w:tcW w:w="60" w:type="dxa"/>
            <w:vAlign w:val="bottom"/>
          </w:tcPr>
          <w:p>
            <w:pPr>
              <w:spacing w:after="0"/>
              <w:rPr>
                <w:sz w:val="23"/>
                <w:szCs w:val="23"/>
                <w:color w:val="auto"/>
              </w:rPr>
            </w:pPr>
          </w:p>
        </w:tc>
      </w:tr>
      <w:tr>
        <w:trPr>
          <w:trHeight w:val="108"/>
        </w:trPr>
        <w:tc>
          <w:tcPr>
            <w:tcW w:w="540" w:type="dxa"/>
            <w:vAlign w:val="bottom"/>
            <w:tcBorders>
              <w:top w:val="single" w:sz="8" w:color="0000EE"/>
              <w:bottom w:val="single" w:sz="8" w:color="005C7D"/>
            </w:tcBorders>
          </w:tcPr>
          <w:p>
            <w:pPr>
              <w:spacing w:after="0"/>
              <w:rPr>
                <w:sz w:val="9"/>
                <w:szCs w:val="9"/>
                <w:color w:val="auto"/>
              </w:rPr>
            </w:pPr>
          </w:p>
        </w:tc>
        <w:tc>
          <w:tcPr>
            <w:tcW w:w="1000" w:type="dxa"/>
            <w:vAlign w:val="bottom"/>
            <w:tcBorders>
              <w:top w:val="single" w:sz="8" w:color="0000EE"/>
              <w:bottom w:val="single" w:sz="8" w:color="005C7D"/>
            </w:tcBorders>
          </w:tcPr>
          <w:p>
            <w:pPr>
              <w:spacing w:after="0"/>
              <w:rPr>
                <w:sz w:val="9"/>
                <w:szCs w:val="9"/>
                <w:color w:val="auto"/>
              </w:rPr>
            </w:pPr>
          </w:p>
        </w:tc>
        <w:tc>
          <w:tcPr>
            <w:tcW w:w="380" w:type="dxa"/>
            <w:vAlign w:val="bottom"/>
            <w:tcBorders>
              <w:top w:val="single" w:sz="8" w:color="0000EE"/>
              <w:bottom w:val="single" w:sz="8" w:color="005C7D"/>
            </w:tcBorders>
          </w:tcPr>
          <w:p>
            <w:pPr>
              <w:spacing w:after="0"/>
              <w:rPr>
                <w:sz w:val="9"/>
                <w:szCs w:val="9"/>
                <w:color w:val="auto"/>
              </w:rPr>
            </w:pPr>
          </w:p>
        </w:tc>
        <w:tc>
          <w:tcPr>
            <w:tcW w:w="120" w:type="dxa"/>
            <w:vAlign w:val="bottom"/>
            <w:tcBorders>
              <w:top w:val="single" w:sz="8" w:color="0000EE"/>
              <w:bottom w:val="single" w:sz="8" w:color="005C7D"/>
            </w:tcBorders>
          </w:tcPr>
          <w:p>
            <w:pPr>
              <w:spacing w:after="0"/>
              <w:rPr>
                <w:sz w:val="9"/>
                <w:szCs w:val="9"/>
                <w:color w:val="auto"/>
              </w:rPr>
            </w:pPr>
          </w:p>
        </w:tc>
        <w:tc>
          <w:tcPr>
            <w:tcW w:w="480" w:type="dxa"/>
            <w:vAlign w:val="bottom"/>
            <w:tcBorders>
              <w:top w:val="single" w:sz="8" w:color="0000EE"/>
              <w:bottom w:val="single" w:sz="8" w:color="005C7D"/>
            </w:tcBorders>
          </w:tcPr>
          <w:p>
            <w:pPr>
              <w:spacing w:after="0"/>
              <w:rPr>
                <w:sz w:val="9"/>
                <w:szCs w:val="9"/>
                <w:color w:val="auto"/>
              </w:rPr>
            </w:pPr>
          </w:p>
        </w:tc>
        <w:tc>
          <w:tcPr>
            <w:tcW w:w="32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60" w:type="dxa"/>
            <w:vAlign w:val="bottom"/>
            <w:tcBorders>
              <w:top w:val="single" w:sz="8" w:color="0000EE"/>
              <w:bottom w:val="single" w:sz="8" w:color="005C7D"/>
            </w:tcBorders>
          </w:tcPr>
          <w:p>
            <w:pPr>
              <w:spacing w:after="0"/>
              <w:rPr>
                <w:sz w:val="9"/>
                <w:szCs w:val="9"/>
                <w:color w:val="auto"/>
              </w:rPr>
            </w:pPr>
          </w:p>
        </w:tc>
        <w:tc>
          <w:tcPr>
            <w:tcW w:w="10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620" w:type="dxa"/>
            <w:vAlign w:val="bottom"/>
            <w:tcBorders>
              <w:bottom w:val="single" w:sz="8" w:color="005C7D"/>
            </w:tcBorders>
          </w:tcPr>
          <w:p>
            <w:pPr>
              <w:spacing w:after="0"/>
              <w:rPr>
                <w:sz w:val="9"/>
                <w:szCs w:val="9"/>
                <w:color w:val="auto"/>
              </w:rPr>
            </w:pPr>
          </w:p>
        </w:tc>
        <w:tc>
          <w:tcPr>
            <w:tcW w:w="40" w:type="dxa"/>
            <w:vAlign w:val="bottom"/>
            <w:tcBorders>
              <w:bottom w:val="single" w:sz="8" w:color="005C7D"/>
            </w:tcBorders>
          </w:tcPr>
          <w:p>
            <w:pPr>
              <w:spacing w:after="0"/>
              <w:rPr>
                <w:sz w:val="9"/>
                <w:szCs w:val="9"/>
                <w:color w:val="auto"/>
              </w:rPr>
            </w:pPr>
          </w:p>
        </w:tc>
        <w:tc>
          <w:tcPr>
            <w:tcW w:w="520" w:type="dxa"/>
            <w:vAlign w:val="bottom"/>
            <w:tcBorders>
              <w:bottom w:val="single" w:sz="8" w:color="005C7D"/>
            </w:tcBorders>
          </w:tcPr>
          <w:p>
            <w:pPr>
              <w:spacing w:after="0"/>
              <w:rPr>
                <w:sz w:val="9"/>
                <w:szCs w:val="9"/>
                <w:color w:val="auto"/>
              </w:rPr>
            </w:pPr>
          </w:p>
        </w:tc>
        <w:tc>
          <w:tcPr>
            <w:tcW w:w="20" w:type="dxa"/>
            <w:vAlign w:val="bottom"/>
            <w:tcBorders>
              <w:bottom w:val="single" w:sz="8" w:color="005C7D"/>
            </w:tcBorders>
          </w:tcPr>
          <w:p>
            <w:pPr>
              <w:spacing w:after="0"/>
              <w:rPr>
                <w:sz w:val="9"/>
                <w:szCs w:val="9"/>
                <w:color w:val="auto"/>
              </w:rPr>
            </w:pPr>
          </w:p>
        </w:tc>
        <w:tc>
          <w:tcPr>
            <w:tcW w:w="16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120" w:type="dxa"/>
            <w:vAlign w:val="bottom"/>
            <w:tcBorders>
              <w:bottom w:val="single" w:sz="8" w:color="005C7D"/>
            </w:tcBorders>
          </w:tcPr>
          <w:p>
            <w:pPr>
              <w:spacing w:after="0"/>
              <w:rPr>
                <w:sz w:val="9"/>
                <w:szCs w:val="9"/>
                <w:color w:val="auto"/>
              </w:rPr>
            </w:pPr>
          </w:p>
        </w:tc>
        <w:tc>
          <w:tcPr>
            <w:tcW w:w="320" w:type="dxa"/>
            <w:vAlign w:val="bottom"/>
            <w:tcBorders>
              <w:bottom w:val="single" w:sz="8" w:color="005C7D"/>
            </w:tcBorders>
          </w:tcPr>
          <w:p>
            <w:pPr>
              <w:spacing w:after="0"/>
              <w:rPr>
                <w:sz w:val="9"/>
                <w:szCs w:val="9"/>
                <w:color w:val="auto"/>
              </w:rPr>
            </w:pPr>
          </w:p>
        </w:tc>
        <w:tc>
          <w:tcPr>
            <w:tcW w:w="440" w:type="dxa"/>
            <w:vAlign w:val="bottom"/>
            <w:tcBorders>
              <w:bottom w:val="single" w:sz="8" w:color="005C7D"/>
            </w:tcBorders>
          </w:tcPr>
          <w:p>
            <w:pPr>
              <w:spacing w:after="0"/>
              <w:rPr>
                <w:sz w:val="9"/>
                <w:szCs w:val="9"/>
                <w:color w:val="auto"/>
              </w:rPr>
            </w:pPr>
          </w:p>
        </w:tc>
        <w:tc>
          <w:tcPr>
            <w:tcW w:w="600" w:type="dxa"/>
            <w:vAlign w:val="bottom"/>
            <w:tcBorders>
              <w:bottom w:val="single" w:sz="8" w:color="005C7D"/>
            </w:tcBorders>
          </w:tcPr>
          <w:p>
            <w:pPr>
              <w:spacing w:after="0"/>
              <w:rPr>
                <w:sz w:val="9"/>
                <w:szCs w:val="9"/>
                <w:color w:val="auto"/>
              </w:rPr>
            </w:pPr>
          </w:p>
        </w:tc>
        <w:tc>
          <w:tcPr>
            <w:tcW w:w="1520" w:type="dxa"/>
            <w:vAlign w:val="bottom"/>
            <w:tcBorders>
              <w:bottom w:val="single" w:sz="8" w:color="005C7D"/>
            </w:tcBorders>
          </w:tcPr>
          <w:p>
            <w:pPr>
              <w:spacing w:after="0"/>
              <w:rPr>
                <w:sz w:val="9"/>
                <w:szCs w:val="9"/>
                <w:color w:val="auto"/>
              </w:rPr>
            </w:pPr>
          </w:p>
        </w:tc>
        <w:tc>
          <w:tcPr>
            <w:tcW w:w="140" w:type="dxa"/>
            <w:vAlign w:val="bottom"/>
            <w:tcBorders>
              <w:bottom w:val="single" w:sz="8" w:color="005C7D"/>
            </w:tcBorders>
          </w:tcPr>
          <w:p>
            <w:pPr>
              <w:spacing w:after="0"/>
              <w:rPr>
                <w:sz w:val="9"/>
                <w:szCs w:val="9"/>
                <w:color w:val="auto"/>
              </w:rPr>
            </w:pPr>
          </w:p>
        </w:tc>
        <w:tc>
          <w:tcPr>
            <w:tcW w:w="46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260" w:type="dxa"/>
            <w:vAlign w:val="bottom"/>
            <w:tcBorders>
              <w:bottom w:val="single" w:sz="8" w:color="005C7D"/>
            </w:tcBorders>
          </w:tcPr>
          <w:p>
            <w:pPr>
              <w:spacing w:after="0"/>
              <w:rPr>
                <w:sz w:val="9"/>
                <w:szCs w:val="9"/>
                <w:color w:val="auto"/>
              </w:rPr>
            </w:pPr>
          </w:p>
        </w:tc>
        <w:tc>
          <w:tcPr>
            <w:tcW w:w="20" w:type="dxa"/>
            <w:vAlign w:val="bottom"/>
            <w:tcBorders>
              <w:bottom w:val="single" w:sz="8" w:color="005C7D"/>
            </w:tcBorders>
          </w:tcPr>
          <w:p>
            <w:pPr>
              <w:spacing w:after="0"/>
              <w:rPr>
                <w:sz w:val="9"/>
                <w:szCs w:val="9"/>
                <w:color w:val="auto"/>
              </w:rPr>
            </w:pPr>
          </w:p>
        </w:tc>
        <w:tc>
          <w:tcPr>
            <w:tcW w:w="80" w:type="dxa"/>
            <w:vAlign w:val="bottom"/>
            <w:tcBorders>
              <w:bottom w:val="single" w:sz="8" w:color="005C7D"/>
            </w:tcBorders>
          </w:tcPr>
          <w:p>
            <w:pPr>
              <w:spacing w:after="0"/>
              <w:rPr>
                <w:sz w:val="9"/>
                <w:szCs w:val="9"/>
                <w:color w:val="auto"/>
              </w:rPr>
            </w:pPr>
          </w:p>
        </w:tc>
        <w:tc>
          <w:tcPr>
            <w:tcW w:w="180" w:type="dxa"/>
            <w:vAlign w:val="bottom"/>
            <w:tcBorders>
              <w:top w:val="single" w:sz="8" w:color="0000EE"/>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r>
      <w:tr>
        <w:trPr>
          <w:trHeight w:val="264"/>
        </w:trPr>
        <w:tc>
          <w:tcPr>
            <w:tcW w:w="8720" w:type="dxa"/>
            <w:vAlign w:val="bottom"/>
            <w:tcBorders>
              <w:bottom w:val="single" w:sz="8" w:color="0000EE"/>
            </w:tcBorders>
            <w:gridSpan w:val="24"/>
          </w:tcPr>
          <w:p>
            <w:pPr>
              <w:spacing w:after="0"/>
              <w:rPr>
                <w:rFonts w:ascii="Arial" w:cs="Arial" w:eastAsia="Arial" w:hAnsi="Arial"/>
                <w:sz w:val="18"/>
                <w:szCs w:val="18"/>
                <w:b w:val="1"/>
                <w:bCs w:val="1"/>
                <w:color w:val="0000EE"/>
              </w:rPr>
            </w:pPr>
            <w:hyperlink w:anchor="page96">
              <w:r>
                <w:rPr>
                  <w:rFonts w:ascii="Arial" w:cs="Arial" w:eastAsia="Arial" w:hAnsi="Arial"/>
                  <w:sz w:val="18"/>
                  <w:szCs w:val="18"/>
                  <w:b w:val="1"/>
                  <w:bCs w:val="1"/>
                  <w:color w:val="0000EE"/>
                </w:rPr>
                <w:t>ANNEX A—AMENDMENT TO L3 TECHNOLOGIES, INC. AMENDED AND RESTATED CERTIFICATE OF</w:t>
              </w:r>
            </w:hyperlink>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03"/>
        </w:trPr>
        <w:tc>
          <w:tcPr>
            <w:tcW w:w="8960" w:type="dxa"/>
            <w:vAlign w:val="bottom"/>
            <w:gridSpan w:val="25"/>
          </w:tcPr>
          <w:p>
            <w:pPr>
              <w:spacing w:after="0" w:line="182" w:lineRule="exact"/>
              <w:rPr>
                <w:rFonts w:ascii="Arial" w:cs="Arial" w:eastAsia="Arial" w:hAnsi="Arial"/>
                <w:sz w:val="18"/>
                <w:szCs w:val="18"/>
                <w:b w:val="1"/>
                <w:bCs w:val="1"/>
                <w:color w:val="0000EE"/>
              </w:rPr>
            </w:pPr>
            <w:hyperlink w:anchor="page96">
              <w:r>
                <w:rPr>
                  <w:rFonts w:ascii="Arial" w:cs="Arial" w:eastAsia="Arial" w:hAnsi="Arial"/>
                  <w:sz w:val="18"/>
                  <w:szCs w:val="18"/>
                  <w:b w:val="1"/>
                  <w:bCs w:val="1"/>
                  <w:color w:val="0000EE"/>
                </w:rPr>
                <w:t>INCORPORATION</w:t>
              </w:r>
            </w:hyperlink>
          </w:p>
        </w:tc>
        <w:tc>
          <w:tcPr>
            <w:tcW w:w="600" w:type="dxa"/>
            <w:vAlign w:val="bottom"/>
            <w:gridSpan w:val="5"/>
          </w:tcPr>
          <w:p>
            <w:pPr>
              <w:jc w:val="right"/>
              <w:ind w:right="60"/>
              <w:spacing w:after="0" w:line="182" w:lineRule="exact"/>
              <w:rPr>
                <w:rFonts w:ascii="Arial" w:cs="Arial" w:eastAsia="Arial" w:hAnsi="Arial"/>
                <w:sz w:val="18"/>
                <w:szCs w:val="18"/>
                <w:color w:val="0000EE"/>
              </w:rPr>
            </w:pPr>
            <w:hyperlink w:anchor="page96">
              <w:r>
                <w:rPr>
                  <w:rFonts w:ascii="Arial" w:cs="Arial" w:eastAsia="Arial" w:hAnsi="Arial"/>
                  <w:sz w:val="18"/>
                  <w:szCs w:val="18"/>
                  <w:color w:val="0000EE"/>
                </w:rPr>
                <w:t>A-1</w:t>
              </w:r>
            </w:hyperlink>
          </w:p>
        </w:tc>
      </w:tr>
      <w:tr>
        <w:trPr>
          <w:trHeight w:val="108"/>
        </w:trPr>
        <w:tc>
          <w:tcPr>
            <w:tcW w:w="540" w:type="dxa"/>
            <w:vAlign w:val="bottom"/>
            <w:tcBorders>
              <w:top w:val="single" w:sz="8" w:color="0000EE"/>
              <w:bottom w:val="single" w:sz="8" w:color="005C7D"/>
            </w:tcBorders>
          </w:tcPr>
          <w:p>
            <w:pPr>
              <w:spacing w:after="0"/>
              <w:rPr>
                <w:sz w:val="9"/>
                <w:szCs w:val="9"/>
                <w:color w:val="auto"/>
              </w:rPr>
            </w:pPr>
          </w:p>
        </w:tc>
        <w:tc>
          <w:tcPr>
            <w:tcW w:w="1000" w:type="dxa"/>
            <w:vAlign w:val="bottom"/>
            <w:tcBorders>
              <w:top w:val="single" w:sz="8" w:color="0000EE"/>
              <w:bottom w:val="single" w:sz="8" w:color="005C7D"/>
            </w:tcBorders>
          </w:tcPr>
          <w:p>
            <w:pPr>
              <w:spacing w:after="0"/>
              <w:rPr>
                <w:sz w:val="9"/>
                <w:szCs w:val="9"/>
                <w:color w:val="auto"/>
              </w:rPr>
            </w:pPr>
          </w:p>
        </w:tc>
        <w:tc>
          <w:tcPr>
            <w:tcW w:w="380" w:type="dxa"/>
            <w:vAlign w:val="bottom"/>
            <w:tcBorders>
              <w:bottom w:val="single" w:sz="8" w:color="005C7D"/>
            </w:tcBorders>
          </w:tcPr>
          <w:p>
            <w:pPr>
              <w:spacing w:after="0"/>
              <w:rPr>
                <w:sz w:val="9"/>
                <w:szCs w:val="9"/>
                <w:color w:val="auto"/>
              </w:rPr>
            </w:pPr>
          </w:p>
        </w:tc>
        <w:tc>
          <w:tcPr>
            <w:tcW w:w="120" w:type="dxa"/>
            <w:vAlign w:val="bottom"/>
            <w:tcBorders>
              <w:bottom w:val="single" w:sz="8" w:color="005C7D"/>
            </w:tcBorders>
          </w:tcPr>
          <w:p>
            <w:pPr>
              <w:spacing w:after="0"/>
              <w:rPr>
                <w:sz w:val="9"/>
                <w:szCs w:val="9"/>
                <w:color w:val="auto"/>
              </w:rPr>
            </w:pPr>
          </w:p>
        </w:tc>
        <w:tc>
          <w:tcPr>
            <w:tcW w:w="480" w:type="dxa"/>
            <w:vAlign w:val="bottom"/>
            <w:tcBorders>
              <w:bottom w:val="single" w:sz="8" w:color="005C7D"/>
            </w:tcBorders>
          </w:tcPr>
          <w:p>
            <w:pPr>
              <w:spacing w:after="0"/>
              <w:rPr>
                <w:sz w:val="9"/>
                <w:szCs w:val="9"/>
                <w:color w:val="auto"/>
              </w:rPr>
            </w:pPr>
          </w:p>
        </w:tc>
        <w:tc>
          <w:tcPr>
            <w:tcW w:w="320" w:type="dxa"/>
            <w:vAlign w:val="bottom"/>
            <w:tcBorders>
              <w:bottom w:val="single" w:sz="8" w:color="005C7D"/>
            </w:tcBorders>
          </w:tcPr>
          <w:p>
            <w:pPr>
              <w:spacing w:after="0"/>
              <w:rPr>
                <w:sz w:val="9"/>
                <w:szCs w:val="9"/>
                <w:color w:val="auto"/>
              </w:rPr>
            </w:pPr>
          </w:p>
        </w:tc>
        <w:tc>
          <w:tcPr>
            <w:tcW w:w="40" w:type="dxa"/>
            <w:vAlign w:val="bottom"/>
            <w:tcBorders>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c>
          <w:tcPr>
            <w:tcW w:w="10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620" w:type="dxa"/>
            <w:vAlign w:val="bottom"/>
            <w:tcBorders>
              <w:bottom w:val="single" w:sz="8" w:color="005C7D"/>
            </w:tcBorders>
          </w:tcPr>
          <w:p>
            <w:pPr>
              <w:spacing w:after="0"/>
              <w:rPr>
                <w:sz w:val="9"/>
                <w:szCs w:val="9"/>
                <w:color w:val="auto"/>
              </w:rPr>
            </w:pPr>
          </w:p>
        </w:tc>
        <w:tc>
          <w:tcPr>
            <w:tcW w:w="40" w:type="dxa"/>
            <w:vAlign w:val="bottom"/>
            <w:tcBorders>
              <w:bottom w:val="single" w:sz="8" w:color="005C7D"/>
            </w:tcBorders>
          </w:tcPr>
          <w:p>
            <w:pPr>
              <w:spacing w:after="0"/>
              <w:rPr>
                <w:sz w:val="9"/>
                <w:szCs w:val="9"/>
                <w:color w:val="auto"/>
              </w:rPr>
            </w:pPr>
          </w:p>
        </w:tc>
        <w:tc>
          <w:tcPr>
            <w:tcW w:w="520" w:type="dxa"/>
            <w:vAlign w:val="bottom"/>
            <w:tcBorders>
              <w:bottom w:val="single" w:sz="8" w:color="005C7D"/>
            </w:tcBorders>
          </w:tcPr>
          <w:p>
            <w:pPr>
              <w:spacing w:after="0"/>
              <w:rPr>
                <w:sz w:val="9"/>
                <w:szCs w:val="9"/>
                <w:color w:val="auto"/>
              </w:rPr>
            </w:pPr>
          </w:p>
        </w:tc>
        <w:tc>
          <w:tcPr>
            <w:tcW w:w="20" w:type="dxa"/>
            <w:vAlign w:val="bottom"/>
            <w:tcBorders>
              <w:bottom w:val="single" w:sz="8" w:color="005C7D"/>
            </w:tcBorders>
          </w:tcPr>
          <w:p>
            <w:pPr>
              <w:spacing w:after="0"/>
              <w:rPr>
                <w:sz w:val="9"/>
                <w:szCs w:val="9"/>
                <w:color w:val="auto"/>
              </w:rPr>
            </w:pPr>
          </w:p>
        </w:tc>
        <w:tc>
          <w:tcPr>
            <w:tcW w:w="16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120" w:type="dxa"/>
            <w:vAlign w:val="bottom"/>
            <w:tcBorders>
              <w:bottom w:val="single" w:sz="8" w:color="005C7D"/>
            </w:tcBorders>
          </w:tcPr>
          <w:p>
            <w:pPr>
              <w:spacing w:after="0"/>
              <w:rPr>
                <w:sz w:val="9"/>
                <w:szCs w:val="9"/>
                <w:color w:val="auto"/>
              </w:rPr>
            </w:pPr>
          </w:p>
        </w:tc>
        <w:tc>
          <w:tcPr>
            <w:tcW w:w="320" w:type="dxa"/>
            <w:vAlign w:val="bottom"/>
            <w:tcBorders>
              <w:bottom w:val="single" w:sz="8" w:color="005C7D"/>
            </w:tcBorders>
          </w:tcPr>
          <w:p>
            <w:pPr>
              <w:spacing w:after="0"/>
              <w:rPr>
                <w:sz w:val="9"/>
                <w:szCs w:val="9"/>
                <w:color w:val="auto"/>
              </w:rPr>
            </w:pPr>
          </w:p>
        </w:tc>
        <w:tc>
          <w:tcPr>
            <w:tcW w:w="440" w:type="dxa"/>
            <w:vAlign w:val="bottom"/>
            <w:tcBorders>
              <w:bottom w:val="single" w:sz="8" w:color="005C7D"/>
            </w:tcBorders>
          </w:tcPr>
          <w:p>
            <w:pPr>
              <w:spacing w:after="0"/>
              <w:rPr>
                <w:sz w:val="9"/>
                <w:szCs w:val="9"/>
                <w:color w:val="auto"/>
              </w:rPr>
            </w:pPr>
          </w:p>
        </w:tc>
        <w:tc>
          <w:tcPr>
            <w:tcW w:w="600" w:type="dxa"/>
            <w:vAlign w:val="bottom"/>
            <w:tcBorders>
              <w:bottom w:val="single" w:sz="8" w:color="005C7D"/>
            </w:tcBorders>
          </w:tcPr>
          <w:p>
            <w:pPr>
              <w:spacing w:after="0"/>
              <w:rPr>
                <w:sz w:val="9"/>
                <w:szCs w:val="9"/>
                <w:color w:val="auto"/>
              </w:rPr>
            </w:pPr>
          </w:p>
        </w:tc>
        <w:tc>
          <w:tcPr>
            <w:tcW w:w="1520" w:type="dxa"/>
            <w:vAlign w:val="bottom"/>
            <w:tcBorders>
              <w:bottom w:val="single" w:sz="8" w:color="005C7D"/>
            </w:tcBorders>
          </w:tcPr>
          <w:p>
            <w:pPr>
              <w:spacing w:after="0"/>
              <w:rPr>
                <w:sz w:val="9"/>
                <w:szCs w:val="9"/>
                <w:color w:val="auto"/>
              </w:rPr>
            </w:pPr>
          </w:p>
        </w:tc>
        <w:tc>
          <w:tcPr>
            <w:tcW w:w="140" w:type="dxa"/>
            <w:vAlign w:val="bottom"/>
            <w:tcBorders>
              <w:bottom w:val="single" w:sz="8" w:color="005C7D"/>
            </w:tcBorders>
          </w:tcPr>
          <w:p>
            <w:pPr>
              <w:spacing w:after="0"/>
              <w:rPr>
                <w:sz w:val="9"/>
                <w:szCs w:val="9"/>
                <w:color w:val="auto"/>
              </w:rPr>
            </w:pPr>
          </w:p>
        </w:tc>
        <w:tc>
          <w:tcPr>
            <w:tcW w:w="46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260" w:type="dxa"/>
            <w:vAlign w:val="bottom"/>
            <w:tcBorders>
              <w:bottom w:val="single" w:sz="8" w:color="005C7D"/>
            </w:tcBorders>
          </w:tcPr>
          <w:p>
            <w:pPr>
              <w:spacing w:after="0"/>
              <w:rPr>
                <w:sz w:val="9"/>
                <w:szCs w:val="9"/>
                <w:color w:val="auto"/>
              </w:rPr>
            </w:pPr>
          </w:p>
        </w:tc>
        <w:tc>
          <w:tcPr>
            <w:tcW w:w="20" w:type="dxa"/>
            <w:vAlign w:val="bottom"/>
            <w:tcBorders>
              <w:top w:val="single" w:sz="8" w:color="0000EE"/>
              <w:bottom w:val="single" w:sz="8" w:color="005C7D"/>
            </w:tcBorders>
          </w:tcPr>
          <w:p>
            <w:pPr>
              <w:spacing w:after="0"/>
              <w:rPr>
                <w:sz w:val="9"/>
                <w:szCs w:val="9"/>
                <w:color w:val="auto"/>
              </w:rPr>
            </w:pPr>
          </w:p>
        </w:tc>
        <w:tc>
          <w:tcPr>
            <w:tcW w:w="80" w:type="dxa"/>
            <w:vAlign w:val="bottom"/>
            <w:tcBorders>
              <w:top w:val="single" w:sz="8" w:color="0000EE"/>
              <w:bottom w:val="single" w:sz="8" w:color="005C7D"/>
            </w:tcBorders>
          </w:tcPr>
          <w:p>
            <w:pPr>
              <w:spacing w:after="0"/>
              <w:rPr>
                <w:sz w:val="9"/>
                <w:szCs w:val="9"/>
                <w:color w:val="auto"/>
              </w:rPr>
            </w:pPr>
          </w:p>
        </w:tc>
        <w:tc>
          <w:tcPr>
            <w:tcW w:w="180" w:type="dxa"/>
            <w:vAlign w:val="bottom"/>
            <w:tcBorders>
              <w:top w:val="single" w:sz="8" w:color="0000EE"/>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r>
      <w:tr>
        <w:trPr>
          <w:trHeight w:val="271"/>
        </w:trPr>
        <w:tc>
          <w:tcPr>
            <w:tcW w:w="8960" w:type="dxa"/>
            <w:vAlign w:val="bottom"/>
            <w:gridSpan w:val="25"/>
          </w:tcPr>
          <w:p>
            <w:pPr>
              <w:spacing w:after="0"/>
              <w:rPr>
                <w:rFonts w:ascii="Arial" w:cs="Arial" w:eastAsia="Arial" w:hAnsi="Arial"/>
                <w:sz w:val="18"/>
                <w:szCs w:val="18"/>
                <w:b w:val="1"/>
                <w:bCs w:val="1"/>
                <w:color w:val="0000EE"/>
              </w:rPr>
            </w:pPr>
            <w:hyperlink w:anchor="page97">
              <w:r>
                <w:rPr>
                  <w:rFonts w:ascii="Arial" w:cs="Arial" w:eastAsia="Arial" w:hAnsi="Arial"/>
                  <w:sz w:val="18"/>
                  <w:szCs w:val="18"/>
                  <w:b w:val="1"/>
                  <w:bCs w:val="1"/>
                  <w:color w:val="0000EE"/>
                </w:rPr>
                <w:t>ANNEX B—L3 TECHNOLOGIES, INC. AMENDED AND RESTATED 2012 CASH INCENTIVE PLAN</w:t>
              </w:r>
            </w:hyperlink>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gridSpan w:val="3"/>
          </w:tcPr>
          <w:p>
            <w:pPr>
              <w:jc w:val="right"/>
              <w:ind w:right="60"/>
              <w:spacing w:after="0"/>
              <w:rPr>
                <w:rFonts w:ascii="Arial" w:cs="Arial" w:eastAsia="Arial" w:hAnsi="Arial"/>
                <w:sz w:val="18"/>
                <w:szCs w:val="18"/>
                <w:color w:val="0000EE"/>
                <w:w w:val="85"/>
              </w:rPr>
            </w:pPr>
            <w:hyperlink w:anchor="page97">
              <w:r>
                <w:rPr>
                  <w:rFonts w:ascii="Arial" w:cs="Arial" w:eastAsia="Arial" w:hAnsi="Arial"/>
                  <w:sz w:val="18"/>
                  <w:szCs w:val="18"/>
                  <w:color w:val="0000EE"/>
                  <w:w w:val="85"/>
                </w:rPr>
                <w:t>B-1</w:t>
              </w:r>
            </w:hyperlink>
          </w:p>
        </w:tc>
      </w:tr>
      <w:tr>
        <w:trPr>
          <w:trHeight w:val="108"/>
        </w:trPr>
        <w:tc>
          <w:tcPr>
            <w:tcW w:w="540" w:type="dxa"/>
            <w:vAlign w:val="bottom"/>
            <w:tcBorders>
              <w:top w:val="single" w:sz="8" w:color="0000EE"/>
              <w:bottom w:val="single" w:sz="8" w:color="005C7D"/>
            </w:tcBorders>
          </w:tcPr>
          <w:p>
            <w:pPr>
              <w:spacing w:after="0"/>
              <w:rPr>
                <w:sz w:val="9"/>
                <w:szCs w:val="9"/>
                <w:color w:val="auto"/>
              </w:rPr>
            </w:pPr>
          </w:p>
        </w:tc>
        <w:tc>
          <w:tcPr>
            <w:tcW w:w="1000" w:type="dxa"/>
            <w:vAlign w:val="bottom"/>
            <w:tcBorders>
              <w:top w:val="single" w:sz="8" w:color="0000EE"/>
              <w:bottom w:val="single" w:sz="8" w:color="005C7D"/>
            </w:tcBorders>
          </w:tcPr>
          <w:p>
            <w:pPr>
              <w:spacing w:after="0"/>
              <w:rPr>
                <w:sz w:val="9"/>
                <w:szCs w:val="9"/>
                <w:color w:val="auto"/>
              </w:rPr>
            </w:pPr>
          </w:p>
        </w:tc>
        <w:tc>
          <w:tcPr>
            <w:tcW w:w="380" w:type="dxa"/>
            <w:vAlign w:val="bottom"/>
            <w:tcBorders>
              <w:top w:val="single" w:sz="8" w:color="0000EE"/>
              <w:bottom w:val="single" w:sz="8" w:color="005C7D"/>
            </w:tcBorders>
          </w:tcPr>
          <w:p>
            <w:pPr>
              <w:spacing w:after="0"/>
              <w:rPr>
                <w:sz w:val="9"/>
                <w:szCs w:val="9"/>
                <w:color w:val="auto"/>
              </w:rPr>
            </w:pPr>
          </w:p>
        </w:tc>
        <w:tc>
          <w:tcPr>
            <w:tcW w:w="120" w:type="dxa"/>
            <w:vAlign w:val="bottom"/>
            <w:tcBorders>
              <w:top w:val="single" w:sz="8" w:color="0000EE"/>
              <w:bottom w:val="single" w:sz="8" w:color="005C7D"/>
            </w:tcBorders>
          </w:tcPr>
          <w:p>
            <w:pPr>
              <w:spacing w:after="0"/>
              <w:rPr>
                <w:sz w:val="9"/>
                <w:szCs w:val="9"/>
                <w:color w:val="auto"/>
              </w:rPr>
            </w:pPr>
          </w:p>
        </w:tc>
        <w:tc>
          <w:tcPr>
            <w:tcW w:w="480" w:type="dxa"/>
            <w:vAlign w:val="bottom"/>
            <w:tcBorders>
              <w:top w:val="single" w:sz="8" w:color="0000EE"/>
              <w:bottom w:val="single" w:sz="8" w:color="005C7D"/>
            </w:tcBorders>
          </w:tcPr>
          <w:p>
            <w:pPr>
              <w:spacing w:after="0"/>
              <w:rPr>
                <w:sz w:val="9"/>
                <w:szCs w:val="9"/>
                <w:color w:val="auto"/>
              </w:rPr>
            </w:pPr>
          </w:p>
        </w:tc>
        <w:tc>
          <w:tcPr>
            <w:tcW w:w="32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60" w:type="dxa"/>
            <w:vAlign w:val="bottom"/>
            <w:tcBorders>
              <w:top w:val="single" w:sz="8" w:color="0000EE"/>
              <w:bottom w:val="single" w:sz="8" w:color="005C7D"/>
            </w:tcBorders>
          </w:tcPr>
          <w:p>
            <w:pPr>
              <w:spacing w:after="0"/>
              <w:rPr>
                <w:sz w:val="9"/>
                <w:szCs w:val="9"/>
                <w:color w:val="auto"/>
              </w:rPr>
            </w:pPr>
          </w:p>
        </w:tc>
        <w:tc>
          <w:tcPr>
            <w:tcW w:w="100" w:type="dxa"/>
            <w:vAlign w:val="bottom"/>
            <w:tcBorders>
              <w:top w:val="single" w:sz="8" w:color="0000EE"/>
              <w:bottom w:val="single" w:sz="8" w:color="005C7D"/>
            </w:tcBorders>
          </w:tcPr>
          <w:p>
            <w:pPr>
              <w:spacing w:after="0"/>
              <w:rPr>
                <w:sz w:val="9"/>
                <w:szCs w:val="9"/>
                <w:color w:val="auto"/>
              </w:rPr>
            </w:pPr>
          </w:p>
        </w:tc>
        <w:tc>
          <w:tcPr>
            <w:tcW w:w="240" w:type="dxa"/>
            <w:vAlign w:val="bottom"/>
            <w:tcBorders>
              <w:top w:val="single" w:sz="8" w:color="0000EE"/>
              <w:bottom w:val="single" w:sz="8" w:color="005C7D"/>
            </w:tcBorders>
          </w:tcPr>
          <w:p>
            <w:pPr>
              <w:spacing w:after="0"/>
              <w:rPr>
                <w:sz w:val="9"/>
                <w:szCs w:val="9"/>
                <w:color w:val="auto"/>
              </w:rPr>
            </w:pPr>
          </w:p>
        </w:tc>
        <w:tc>
          <w:tcPr>
            <w:tcW w:w="240" w:type="dxa"/>
            <w:vAlign w:val="bottom"/>
            <w:tcBorders>
              <w:top w:val="single" w:sz="8" w:color="0000EE"/>
              <w:bottom w:val="single" w:sz="8" w:color="005C7D"/>
            </w:tcBorders>
          </w:tcPr>
          <w:p>
            <w:pPr>
              <w:spacing w:after="0"/>
              <w:rPr>
                <w:sz w:val="9"/>
                <w:szCs w:val="9"/>
                <w:color w:val="auto"/>
              </w:rPr>
            </w:pPr>
          </w:p>
        </w:tc>
        <w:tc>
          <w:tcPr>
            <w:tcW w:w="620" w:type="dxa"/>
            <w:vAlign w:val="bottom"/>
            <w:tcBorders>
              <w:top w:val="single" w:sz="8" w:color="0000EE"/>
              <w:bottom w:val="single" w:sz="8" w:color="005C7D"/>
            </w:tcBorders>
          </w:tcPr>
          <w:p>
            <w:pPr>
              <w:spacing w:after="0"/>
              <w:rPr>
                <w:sz w:val="9"/>
                <w:szCs w:val="9"/>
                <w:color w:val="auto"/>
              </w:rPr>
            </w:pPr>
          </w:p>
        </w:tc>
        <w:tc>
          <w:tcPr>
            <w:tcW w:w="40" w:type="dxa"/>
            <w:vAlign w:val="bottom"/>
            <w:tcBorders>
              <w:top w:val="single" w:sz="8" w:color="0000EE"/>
              <w:bottom w:val="single" w:sz="8" w:color="005C7D"/>
            </w:tcBorders>
          </w:tcPr>
          <w:p>
            <w:pPr>
              <w:spacing w:after="0"/>
              <w:rPr>
                <w:sz w:val="9"/>
                <w:szCs w:val="9"/>
                <w:color w:val="auto"/>
              </w:rPr>
            </w:pPr>
          </w:p>
        </w:tc>
        <w:tc>
          <w:tcPr>
            <w:tcW w:w="520" w:type="dxa"/>
            <w:vAlign w:val="bottom"/>
            <w:tcBorders>
              <w:top w:val="single" w:sz="8" w:color="0000EE"/>
              <w:bottom w:val="single" w:sz="8" w:color="005C7D"/>
            </w:tcBorders>
          </w:tcPr>
          <w:p>
            <w:pPr>
              <w:spacing w:after="0"/>
              <w:rPr>
                <w:sz w:val="9"/>
                <w:szCs w:val="9"/>
                <w:color w:val="auto"/>
              </w:rPr>
            </w:pPr>
          </w:p>
        </w:tc>
        <w:tc>
          <w:tcPr>
            <w:tcW w:w="20" w:type="dxa"/>
            <w:vAlign w:val="bottom"/>
            <w:tcBorders>
              <w:top w:val="single" w:sz="8" w:color="0000EE"/>
              <w:bottom w:val="single" w:sz="8" w:color="005C7D"/>
            </w:tcBorders>
          </w:tcPr>
          <w:p>
            <w:pPr>
              <w:spacing w:after="0"/>
              <w:rPr>
                <w:sz w:val="9"/>
                <w:szCs w:val="9"/>
                <w:color w:val="auto"/>
              </w:rPr>
            </w:pPr>
          </w:p>
        </w:tc>
        <w:tc>
          <w:tcPr>
            <w:tcW w:w="160" w:type="dxa"/>
            <w:vAlign w:val="bottom"/>
            <w:tcBorders>
              <w:top w:val="single" w:sz="8" w:color="0000EE"/>
              <w:bottom w:val="single" w:sz="8" w:color="005C7D"/>
            </w:tcBorders>
          </w:tcPr>
          <w:p>
            <w:pPr>
              <w:spacing w:after="0"/>
              <w:rPr>
                <w:sz w:val="9"/>
                <w:szCs w:val="9"/>
                <w:color w:val="auto"/>
              </w:rPr>
            </w:pPr>
          </w:p>
        </w:tc>
        <w:tc>
          <w:tcPr>
            <w:tcW w:w="240" w:type="dxa"/>
            <w:vAlign w:val="bottom"/>
            <w:tcBorders>
              <w:top w:val="single" w:sz="8" w:color="0000EE"/>
              <w:bottom w:val="single" w:sz="8" w:color="005C7D"/>
            </w:tcBorders>
          </w:tcPr>
          <w:p>
            <w:pPr>
              <w:spacing w:after="0"/>
              <w:rPr>
                <w:sz w:val="9"/>
                <w:szCs w:val="9"/>
                <w:color w:val="auto"/>
              </w:rPr>
            </w:pPr>
          </w:p>
        </w:tc>
        <w:tc>
          <w:tcPr>
            <w:tcW w:w="120" w:type="dxa"/>
            <w:vAlign w:val="bottom"/>
            <w:tcBorders>
              <w:top w:val="single" w:sz="8" w:color="0000EE"/>
              <w:bottom w:val="single" w:sz="8" w:color="005C7D"/>
            </w:tcBorders>
          </w:tcPr>
          <w:p>
            <w:pPr>
              <w:spacing w:after="0"/>
              <w:rPr>
                <w:sz w:val="9"/>
                <w:szCs w:val="9"/>
                <w:color w:val="auto"/>
              </w:rPr>
            </w:pPr>
          </w:p>
        </w:tc>
        <w:tc>
          <w:tcPr>
            <w:tcW w:w="320" w:type="dxa"/>
            <w:vAlign w:val="bottom"/>
            <w:tcBorders>
              <w:top w:val="single" w:sz="8" w:color="0000EE"/>
              <w:bottom w:val="single" w:sz="8" w:color="005C7D"/>
            </w:tcBorders>
          </w:tcPr>
          <w:p>
            <w:pPr>
              <w:spacing w:after="0"/>
              <w:rPr>
                <w:sz w:val="9"/>
                <w:szCs w:val="9"/>
                <w:color w:val="auto"/>
              </w:rPr>
            </w:pPr>
          </w:p>
        </w:tc>
        <w:tc>
          <w:tcPr>
            <w:tcW w:w="440" w:type="dxa"/>
            <w:vAlign w:val="bottom"/>
            <w:tcBorders>
              <w:top w:val="single" w:sz="8" w:color="0000EE"/>
              <w:bottom w:val="single" w:sz="8" w:color="005C7D"/>
            </w:tcBorders>
          </w:tcPr>
          <w:p>
            <w:pPr>
              <w:spacing w:after="0"/>
              <w:rPr>
                <w:sz w:val="9"/>
                <w:szCs w:val="9"/>
                <w:color w:val="auto"/>
              </w:rPr>
            </w:pPr>
          </w:p>
        </w:tc>
        <w:tc>
          <w:tcPr>
            <w:tcW w:w="600" w:type="dxa"/>
            <w:vAlign w:val="bottom"/>
            <w:tcBorders>
              <w:top w:val="single" w:sz="8" w:color="0000EE"/>
              <w:bottom w:val="single" w:sz="8" w:color="005C7D"/>
            </w:tcBorders>
          </w:tcPr>
          <w:p>
            <w:pPr>
              <w:spacing w:after="0"/>
              <w:rPr>
                <w:sz w:val="9"/>
                <w:szCs w:val="9"/>
                <w:color w:val="auto"/>
              </w:rPr>
            </w:pPr>
          </w:p>
        </w:tc>
        <w:tc>
          <w:tcPr>
            <w:tcW w:w="1520" w:type="dxa"/>
            <w:vAlign w:val="bottom"/>
            <w:tcBorders>
              <w:top w:val="single" w:sz="8" w:color="0000EE"/>
              <w:bottom w:val="single" w:sz="8" w:color="005C7D"/>
            </w:tcBorders>
          </w:tcPr>
          <w:p>
            <w:pPr>
              <w:spacing w:after="0"/>
              <w:rPr>
                <w:sz w:val="9"/>
                <w:szCs w:val="9"/>
                <w:color w:val="auto"/>
              </w:rPr>
            </w:pPr>
          </w:p>
        </w:tc>
        <w:tc>
          <w:tcPr>
            <w:tcW w:w="140" w:type="dxa"/>
            <w:vAlign w:val="bottom"/>
            <w:tcBorders>
              <w:bottom w:val="single" w:sz="8" w:color="005C7D"/>
            </w:tcBorders>
          </w:tcPr>
          <w:p>
            <w:pPr>
              <w:spacing w:after="0"/>
              <w:rPr>
                <w:sz w:val="9"/>
                <w:szCs w:val="9"/>
                <w:color w:val="auto"/>
              </w:rPr>
            </w:pPr>
          </w:p>
        </w:tc>
        <w:tc>
          <w:tcPr>
            <w:tcW w:w="460" w:type="dxa"/>
            <w:vAlign w:val="bottom"/>
            <w:tcBorders>
              <w:bottom w:val="single" w:sz="8" w:color="005C7D"/>
            </w:tcBorders>
          </w:tcPr>
          <w:p>
            <w:pPr>
              <w:spacing w:after="0"/>
              <w:rPr>
                <w:sz w:val="9"/>
                <w:szCs w:val="9"/>
                <w:color w:val="auto"/>
              </w:rPr>
            </w:pPr>
          </w:p>
        </w:tc>
        <w:tc>
          <w:tcPr>
            <w:tcW w:w="240" w:type="dxa"/>
            <w:vAlign w:val="bottom"/>
            <w:tcBorders>
              <w:bottom w:val="single" w:sz="8" w:color="005C7D"/>
            </w:tcBorders>
          </w:tcPr>
          <w:p>
            <w:pPr>
              <w:spacing w:after="0"/>
              <w:rPr>
                <w:sz w:val="9"/>
                <w:szCs w:val="9"/>
                <w:color w:val="auto"/>
              </w:rPr>
            </w:pPr>
          </w:p>
        </w:tc>
        <w:tc>
          <w:tcPr>
            <w:tcW w:w="260" w:type="dxa"/>
            <w:vAlign w:val="bottom"/>
            <w:tcBorders>
              <w:bottom w:val="single" w:sz="8" w:color="005C7D"/>
            </w:tcBorders>
          </w:tcPr>
          <w:p>
            <w:pPr>
              <w:spacing w:after="0"/>
              <w:rPr>
                <w:sz w:val="9"/>
                <w:szCs w:val="9"/>
                <w:color w:val="auto"/>
              </w:rPr>
            </w:pPr>
          </w:p>
        </w:tc>
        <w:tc>
          <w:tcPr>
            <w:tcW w:w="20" w:type="dxa"/>
            <w:vAlign w:val="bottom"/>
            <w:tcBorders>
              <w:bottom w:val="single" w:sz="8" w:color="005C7D"/>
            </w:tcBorders>
          </w:tcPr>
          <w:p>
            <w:pPr>
              <w:spacing w:after="0"/>
              <w:rPr>
                <w:sz w:val="9"/>
                <w:szCs w:val="9"/>
                <w:color w:val="auto"/>
              </w:rPr>
            </w:pPr>
          </w:p>
        </w:tc>
        <w:tc>
          <w:tcPr>
            <w:tcW w:w="80" w:type="dxa"/>
            <w:vAlign w:val="bottom"/>
            <w:tcBorders>
              <w:top w:val="single" w:sz="8" w:color="0000EE"/>
              <w:bottom w:val="single" w:sz="8" w:color="005C7D"/>
            </w:tcBorders>
          </w:tcPr>
          <w:p>
            <w:pPr>
              <w:spacing w:after="0"/>
              <w:rPr>
                <w:sz w:val="9"/>
                <w:szCs w:val="9"/>
                <w:color w:val="auto"/>
              </w:rPr>
            </w:pPr>
          </w:p>
        </w:tc>
        <w:tc>
          <w:tcPr>
            <w:tcW w:w="180" w:type="dxa"/>
            <w:vAlign w:val="bottom"/>
            <w:tcBorders>
              <w:top w:val="single" w:sz="8" w:color="0000EE"/>
              <w:bottom w:val="single" w:sz="8" w:color="005C7D"/>
            </w:tcBorders>
          </w:tcPr>
          <w:p>
            <w:pPr>
              <w:spacing w:after="0"/>
              <w:rPr>
                <w:sz w:val="9"/>
                <w:szCs w:val="9"/>
                <w:color w:val="auto"/>
              </w:rPr>
            </w:pPr>
          </w:p>
        </w:tc>
        <w:tc>
          <w:tcPr>
            <w:tcW w:w="60" w:type="dxa"/>
            <w:vAlign w:val="bottom"/>
            <w:tcBorders>
              <w:bottom w:val="single" w:sz="8" w:color="005C7D"/>
            </w:tcBorders>
          </w:tcPr>
          <w:p>
            <w:pPr>
              <w:spacing w:after="0"/>
              <w:rPr>
                <w:sz w:val="9"/>
                <w:szCs w:val="9"/>
                <w:color w:val="auto"/>
              </w:rPr>
            </w:pPr>
          </w:p>
        </w:tc>
      </w:tr>
      <w:tr>
        <w:trPr>
          <w:trHeight w:val="535"/>
        </w:trPr>
        <w:tc>
          <w:tcPr>
            <w:tcW w:w="540" w:type="dxa"/>
            <w:vAlign w:val="bottom"/>
          </w:tcPr>
          <w:p>
            <w:pPr>
              <w:ind w:left="40"/>
              <w:spacing w:after="0"/>
              <w:rPr>
                <w:sz w:val="20"/>
                <w:szCs w:val="20"/>
                <w:color w:val="auto"/>
              </w:rPr>
            </w:pPr>
            <w:r>
              <w:rPr>
                <w:rFonts w:ascii="Arial" w:cs="Arial" w:eastAsia="Arial" w:hAnsi="Arial"/>
                <w:sz w:val="18"/>
                <w:szCs w:val="18"/>
                <w:color w:val="005C7D"/>
              </w:rPr>
              <w:t>ii</w:t>
            </w:r>
          </w:p>
        </w:tc>
        <w:tc>
          <w:tcPr>
            <w:tcW w:w="8420" w:type="dxa"/>
            <w:vAlign w:val="bottom"/>
            <w:gridSpan w:val="24"/>
          </w:tcPr>
          <w:p>
            <w:pPr>
              <w:ind w:left="140"/>
              <w:spacing w:after="0"/>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52"/>
        </w:trPr>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8"/>
        </w:trPr>
        <w:tc>
          <w:tcPr>
            <w:tcW w:w="54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5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-539750</wp:posOffset>
            </wp:positionV>
            <wp:extent cx="15430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05" cy="163195"/>
                    </a:xfrm>
                    <a:prstGeom prst="rect">
                      <a:avLst/>
                    </a:prstGeom>
                    <a:noFill/>
                  </pic:spPr>
                </pic:pic>
              </a:graphicData>
            </a:graphic>
          </wp:anchor>
        </w:drawing>
      </w:r>
    </w:p>
    <w:p>
      <w:pPr>
        <w:sectPr>
          <w:pgSz w:w="11900" w:h="16838" w:orient="portrait"/>
          <w:cols w:equalWidth="0" w:num="1">
            <w:col w:w="9560"/>
          </w:cols>
          <w:pgMar w:left="1180" w:top="276" w:right="115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75680" cy="5321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75680" cy="5321300"/>
                    </a:xfrm>
                    <a:prstGeom prst="rect">
                      <a:avLst/>
                    </a:prstGeom>
                    <a:noFill/>
                  </pic:spPr>
                </pic:pic>
              </a:graphicData>
            </a:graphic>
          </wp:anchor>
        </w:drawing>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005C7D"/>
        </w:rPr>
        <w:t>PROXY STATEMENT SUMMARY</w:t>
      </w:r>
    </w:p>
    <w:p>
      <w:pPr>
        <w:spacing w:after="0" w:line="206" w:lineRule="exact"/>
        <w:rPr>
          <w:sz w:val="20"/>
          <w:szCs w:val="20"/>
          <w:color w:val="auto"/>
        </w:rPr>
      </w:pPr>
    </w:p>
    <w:p>
      <w:pPr>
        <w:ind w:left="240" w:right="460"/>
        <w:spacing w:after="0" w:line="257" w:lineRule="auto"/>
        <w:rPr>
          <w:sz w:val="20"/>
          <w:szCs w:val="20"/>
          <w:color w:val="auto"/>
        </w:rPr>
      </w:pPr>
      <w:r>
        <w:rPr>
          <w:rFonts w:ascii="Arial" w:cs="Arial" w:eastAsia="Arial" w:hAnsi="Arial"/>
          <w:sz w:val="18"/>
          <w:szCs w:val="18"/>
          <w:color w:val="auto"/>
        </w:rPr>
        <w:t>This summary highlights information about L3 Technologies, Inc. (the “Company,” “L3,” “we,” “our” or “us”) and certain information contained elsewhere in this Proxy Statement for L3’s 2017 Annual Meeting of Shareholders (the “Annual Meeting” or the “meeting”). This summary does not contain all of the information that you should consider in voting your shares of L3 common stock, par value $0.01 per share (the “Common Stock”). You should read the entire Proxy Statement carefully before voting.</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VOTING MATTERS AND BOARD RECOMMENDATIONS</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62"/>
        </w:trPr>
        <w:tc>
          <w:tcPr>
            <w:tcW w:w="4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Proposal</w:t>
            </w:r>
          </w:p>
        </w:tc>
        <w:tc>
          <w:tcPr>
            <w:tcW w:w="2560" w:type="dxa"/>
            <w:vAlign w:val="bottom"/>
          </w:tcPr>
          <w:p>
            <w:pPr>
              <w:jc w:val="center"/>
              <w:ind w:left="1014"/>
              <w:spacing w:after="0"/>
              <w:rPr>
                <w:sz w:val="20"/>
                <w:szCs w:val="20"/>
                <w:color w:val="auto"/>
              </w:rPr>
            </w:pPr>
            <w:r>
              <w:rPr>
                <w:rFonts w:ascii="Arial" w:cs="Arial" w:eastAsia="Arial" w:hAnsi="Arial"/>
                <w:sz w:val="14"/>
                <w:szCs w:val="14"/>
                <w:b w:val="1"/>
                <w:bCs w:val="1"/>
                <w:color w:val="auto"/>
                <w:w w:val="93"/>
              </w:rPr>
              <w:t>Board Vote</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85"/>
        </w:trPr>
        <w:tc>
          <w:tcPr>
            <w:tcW w:w="4500" w:type="dxa"/>
            <w:vAlign w:val="bottom"/>
            <w:tcBorders>
              <w:bottom w:val="single" w:sz="8" w:color="005C7D"/>
            </w:tcBorders>
            <w:vMerge w:val="continue"/>
          </w:tcPr>
          <w:p>
            <w:pPr>
              <w:spacing w:after="0"/>
              <w:rPr>
                <w:sz w:val="16"/>
                <w:szCs w:val="16"/>
                <w:color w:val="auto"/>
              </w:rPr>
            </w:pPr>
          </w:p>
        </w:tc>
        <w:tc>
          <w:tcPr>
            <w:tcW w:w="2560" w:type="dxa"/>
            <w:vAlign w:val="bottom"/>
            <w:tcBorders>
              <w:bottom w:val="single" w:sz="8" w:color="005C7D"/>
            </w:tcBorders>
          </w:tcPr>
          <w:p>
            <w:pPr>
              <w:jc w:val="center"/>
              <w:ind w:left="994"/>
              <w:spacing w:after="0"/>
              <w:rPr>
                <w:sz w:val="20"/>
                <w:szCs w:val="20"/>
                <w:color w:val="auto"/>
              </w:rPr>
            </w:pPr>
            <w:r>
              <w:rPr>
                <w:rFonts w:ascii="Arial" w:cs="Arial" w:eastAsia="Arial" w:hAnsi="Arial"/>
                <w:sz w:val="14"/>
                <w:szCs w:val="14"/>
                <w:b w:val="1"/>
                <w:bCs w:val="1"/>
                <w:color w:val="auto"/>
                <w:w w:val="91"/>
              </w:rPr>
              <w:t>Recommendation</w:t>
            </w:r>
          </w:p>
        </w:tc>
        <w:tc>
          <w:tcPr>
            <w:tcW w:w="1120" w:type="dxa"/>
            <w:vAlign w:val="bottom"/>
            <w:tcBorders>
              <w:bottom w:val="single" w:sz="8" w:color="005C7D"/>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Reference</w:t>
            </w:r>
          </w:p>
        </w:tc>
        <w:tc>
          <w:tcPr>
            <w:tcW w:w="0" w:type="dxa"/>
            <w:vAlign w:val="bottom"/>
          </w:tcPr>
          <w:p>
            <w:pPr>
              <w:spacing w:after="0"/>
              <w:rPr>
                <w:sz w:val="1"/>
                <w:szCs w:val="1"/>
                <w:color w:val="auto"/>
              </w:rPr>
            </w:pPr>
          </w:p>
        </w:tc>
      </w:tr>
      <w:tr>
        <w:trPr>
          <w:trHeight w:val="183"/>
        </w:trPr>
        <w:tc>
          <w:tcPr>
            <w:tcW w:w="4500" w:type="dxa"/>
            <w:vAlign w:val="bottom"/>
            <w:shd w:val="clear" w:color="auto" w:fill="CDDAE6"/>
          </w:tcPr>
          <w:p>
            <w:pPr>
              <w:ind w:left="40"/>
              <w:spacing w:after="0" w:line="182" w:lineRule="exact"/>
              <w:rPr>
                <w:sz w:val="20"/>
                <w:szCs w:val="20"/>
                <w:color w:val="auto"/>
              </w:rPr>
            </w:pPr>
            <w:r>
              <w:rPr>
                <w:rFonts w:ascii="Arial" w:cs="Arial" w:eastAsia="Arial" w:hAnsi="Arial"/>
                <w:sz w:val="18"/>
                <w:szCs w:val="18"/>
                <w:color w:val="auto"/>
              </w:rPr>
              <w:t>Proposal 1 –  Election of Directors</w:t>
            </w:r>
          </w:p>
        </w:tc>
        <w:tc>
          <w:tcPr>
            <w:tcW w:w="2560" w:type="dxa"/>
            <w:vAlign w:val="bottom"/>
            <w:shd w:val="clear" w:color="auto" w:fill="CDDAE6"/>
          </w:tcPr>
          <w:p>
            <w:pPr>
              <w:jc w:val="center"/>
              <w:ind w:left="1014"/>
              <w:spacing w:after="0" w:line="182" w:lineRule="exact"/>
              <w:rPr>
                <w:sz w:val="20"/>
                <w:szCs w:val="20"/>
                <w:color w:val="auto"/>
              </w:rPr>
            </w:pPr>
            <w:r>
              <w:rPr>
                <w:rFonts w:ascii="Arial" w:cs="Arial" w:eastAsia="Arial" w:hAnsi="Arial"/>
                <w:sz w:val="18"/>
                <w:szCs w:val="18"/>
                <w:color w:val="auto"/>
                <w:w w:val="89"/>
              </w:rPr>
              <w:t>FOR</w:t>
            </w:r>
          </w:p>
        </w:tc>
        <w:tc>
          <w:tcPr>
            <w:tcW w:w="1060" w:type="dxa"/>
            <w:vAlign w:val="bottom"/>
            <w:gridSpan w:val="2"/>
            <w:shd w:val="clear" w:color="auto" w:fill="CDDAE6"/>
          </w:tcPr>
          <w:p>
            <w:pPr>
              <w:jc w:val="right"/>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10</w:t>
              </w:r>
            </w:hyperlink>
          </w:p>
        </w:tc>
        <w:tc>
          <w:tcPr>
            <w:tcW w:w="60" w:type="dxa"/>
            <w:vAlign w:val="bottom"/>
            <w:shd w:val="clear" w:color="auto" w:fill="CDDAE6"/>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500" w:type="dxa"/>
            <w:vAlign w:val="bottom"/>
            <w:tcBorders>
              <w:top w:val="single" w:sz="8" w:color="CDDAE6"/>
            </w:tcBorders>
            <w:shd w:val="clear" w:color="auto" w:fill="CDDAE6"/>
          </w:tcPr>
          <w:p>
            <w:pPr>
              <w:spacing w:after="0"/>
              <w:rPr>
                <w:sz w:val="2"/>
                <w:szCs w:val="2"/>
                <w:color w:val="auto"/>
              </w:rPr>
            </w:pPr>
          </w:p>
        </w:tc>
        <w:tc>
          <w:tcPr>
            <w:tcW w:w="2560" w:type="dxa"/>
            <w:vAlign w:val="bottom"/>
            <w:tcBorders>
              <w:top w:val="single" w:sz="8" w:color="CDDAE6"/>
            </w:tcBorders>
            <w:shd w:val="clear" w:color="auto" w:fill="CDDAE6"/>
          </w:tcPr>
          <w:p>
            <w:pPr>
              <w:spacing w:after="0"/>
              <w:rPr>
                <w:sz w:val="2"/>
                <w:szCs w:val="2"/>
                <w:color w:val="auto"/>
              </w:rPr>
            </w:pPr>
          </w:p>
        </w:tc>
        <w:tc>
          <w:tcPr>
            <w:tcW w:w="880" w:type="dxa"/>
            <w:vAlign w:val="bottom"/>
            <w:tcBorders>
              <w:top w:val="single" w:sz="8" w:color="CDDAE6"/>
            </w:tcBorders>
            <w:shd w:val="clear" w:color="auto" w:fill="CDDAE6"/>
          </w:tcPr>
          <w:p>
            <w:pPr>
              <w:spacing w:after="0"/>
              <w:rPr>
                <w:sz w:val="2"/>
                <w:szCs w:val="2"/>
                <w:color w:val="auto"/>
              </w:rPr>
            </w:pPr>
          </w:p>
        </w:tc>
        <w:tc>
          <w:tcPr>
            <w:tcW w:w="180" w:type="dxa"/>
            <w:vAlign w:val="bottom"/>
            <w:tcBorders>
              <w:top w:val="single" w:sz="8" w:color="0000EE"/>
            </w:tcBorders>
            <w:shd w:val="clear" w:color="auto" w:fill="CDDAE6"/>
          </w:tcPr>
          <w:p>
            <w:pPr>
              <w:spacing w:after="0"/>
              <w:rPr>
                <w:sz w:val="2"/>
                <w:szCs w:val="2"/>
                <w:color w:val="auto"/>
              </w:rPr>
            </w:pPr>
          </w:p>
        </w:tc>
        <w:tc>
          <w:tcPr>
            <w:tcW w:w="60" w:type="dxa"/>
            <w:vAlign w:val="bottom"/>
            <w:tcBorders>
              <w:top w:val="single" w:sz="8" w:color="CDDAE6"/>
            </w:tcBorders>
            <w:shd w:val="clear" w:color="auto" w:fill="CDDAE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500" w:type="dxa"/>
            <w:vAlign w:val="bottom"/>
          </w:tcPr>
          <w:p>
            <w:pPr>
              <w:ind w:left="40"/>
              <w:spacing w:after="0" w:line="189" w:lineRule="exact"/>
              <w:rPr>
                <w:sz w:val="20"/>
                <w:szCs w:val="20"/>
                <w:color w:val="auto"/>
              </w:rPr>
            </w:pPr>
            <w:r>
              <w:rPr>
                <w:rFonts w:ascii="Arial" w:cs="Arial" w:eastAsia="Arial" w:hAnsi="Arial"/>
                <w:sz w:val="18"/>
                <w:szCs w:val="18"/>
                <w:color w:val="auto"/>
              </w:rPr>
              <w:t>Proposal 2 –  Auditor Ratification Proposal</w:t>
            </w:r>
          </w:p>
        </w:tc>
        <w:tc>
          <w:tcPr>
            <w:tcW w:w="2560" w:type="dxa"/>
            <w:vAlign w:val="bottom"/>
          </w:tcPr>
          <w:p>
            <w:pPr>
              <w:jc w:val="center"/>
              <w:ind w:left="1014"/>
              <w:spacing w:after="0" w:line="189" w:lineRule="exact"/>
              <w:rPr>
                <w:sz w:val="20"/>
                <w:szCs w:val="20"/>
                <w:color w:val="auto"/>
              </w:rPr>
            </w:pPr>
            <w:r>
              <w:rPr>
                <w:rFonts w:ascii="Arial" w:cs="Arial" w:eastAsia="Arial" w:hAnsi="Arial"/>
                <w:sz w:val="18"/>
                <w:szCs w:val="18"/>
                <w:color w:val="auto"/>
                <w:w w:val="89"/>
              </w:rPr>
              <w:t>FOR</w:t>
            </w:r>
          </w:p>
        </w:tc>
        <w:tc>
          <w:tcPr>
            <w:tcW w:w="1060" w:type="dxa"/>
            <w:vAlign w:val="bottom"/>
            <w:gridSpan w:val="2"/>
          </w:tcPr>
          <w:p>
            <w:pPr>
              <w:jc w:val="right"/>
              <w:spacing w:after="0" w:line="189" w:lineRule="exact"/>
              <w:rPr>
                <w:rFonts w:ascii="Arial" w:cs="Arial" w:eastAsia="Arial" w:hAnsi="Arial"/>
                <w:sz w:val="18"/>
                <w:szCs w:val="18"/>
                <w:color w:val="0000EE"/>
              </w:rPr>
            </w:pPr>
            <w:hyperlink w:anchor="page22">
              <w:r>
                <w:rPr>
                  <w:rFonts w:ascii="Arial" w:cs="Arial" w:eastAsia="Arial" w:hAnsi="Arial"/>
                  <w:sz w:val="18"/>
                  <w:szCs w:val="18"/>
                  <w:color w:val="0000EE"/>
                </w:rPr>
                <w:t>16</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5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500" w:type="dxa"/>
            <w:vAlign w:val="bottom"/>
            <w:shd w:val="clear" w:color="auto" w:fill="CDDAE6"/>
          </w:tcPr>
          <w:p>
            <w:pPr>
              <w:ind w:left="40"/>
              <w:spacing w:after="0" w:line="189" w:lineRule="exact"/>
              <w:rPr>
                <w:sz w:val="20"/>
                <w:szCs w:val="20"/>
                <w:color w:val="auto"/>
              </w:rPr>
            </w:pPr>
            <w:r>
              <w:rPr>
                <w:rFonts w:ascii="Arial" w:cs="Arial" w:eastAsia="Arial" w:hAnsi="Arial"/>
                <w:sz w:val="18"/>
                <w:szCs w:val="18"/>
                <w:color w:val="auto"/>
              </w:rPr>
              <w:t>Proposal 3 –  Supermajority Proposal</w:t>
            </w:r>
          </w:p>
        </w:tc>
        <w:tc>
          <w:tcPr>
            <w:tcW w:w="2560" w:type="dxa"/>
            <w:vAlign w:val="bottom"/>
            <w:shd w:val="clear" w:color="auto" w:fill="CDDAE6"/>
          </w:tcPr>
          <w:p>
            <w:pPr>
              <w:jc w:val="center"/>
              <w:ind w:left="1014"/>
              <w:spacing w:after="0" w:line="189" w:lineRule="exact"/>
              <w:rPr>
                <w:sz w:val="20"/>
                <w:szCs w:val="20"/>
                <w:color w:val="auto"/>
              </w:rPr>
            </w:pPr>
            <w:r>
              <w:rPr>
                <w:rFonts w:ascii="Arial" w:cs="Arial" w:eastAsia="Arial" w:hAnsi="Arial"/>
                <w:sz w:val="18"/>
                <w:szCs w:val="18"/>
                <w:color w:val="auto"/>
                <w:w w:val="89"/>
              </w:rPr>
              <w:t>FOR</w:t>
            </w:r>
          </w:p>
        </w:tc>
        <w:tc>
          <w:tcPr>
            <w:tcW w:w="1060" w:type="dxa"/>
            <w:vAlign w:val="bottom"/>
            <w:gridSpan w:val="2"/>
            <w:shd w:val="clear" w:color="auto" w:fill="CDDAE6"/>
          </w:tcPr>
          <w:p>
            <w:pPr>
              <w:jc w:val="right"/>
              <w:spacing w:after="0" w:line="189" w:lineRule="exact"/>
              <w:rPr>
                <w:rFonts w:ascii="Arial" w:cs="Arial" w:eastAsia="Arial" w:hAnsi="Arial"/>
                <w:sz w:val="18"/>
                <w:szCs w:val="18"/>
                <w:color w:val="0000EE"/>
              </w:rPr>
            </w:pPr>
            <w:hyperlink w:anchor="page23">
              <w:r>
                <w:rPr>
                  <w:rFonts w:ascii="Arial" w:cs="Arial" w:eastAsia="Arial" w:hAnsi="Arial"/>
                  <w:sz w:val="18"/>
                  <w:szCs w:val="18"/>
                  <w:color w:val="0000EE"/>
                </w:rPr>
                <w:t>17</w:t>
              </w:r>
            </w:hyperlink>
          </w:p>
        </w:tc>
        <w:tc>
          <w:tcPr>
            <w:tcW w:w="60" w:type="dxa"/>
            <w:vAlign w:val="bottom"/>
            <w:shd w:val="clear" w:color="auto" w:fill="CDDAE6"/>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500" w:type="dxa"/>
            <w:vAlign w:val="bottom"/>
            <w:tcBorders>
              <w:top w:val="single" w:sz="8" w:color="CDDAE6"/>
            </w:tcBorders>
            <w:shd w:val="clear" w:color="auto" w:fill="CDDAE6"/>
          </w:tcPr>
          <w:p>
            <w:pPr>
              <w:spacing w:after="0"/>
              <w:rPr>
                <w:sz w:val="2"/>
                <w:szCs w:val="2"/>
                <w:color w:val="auto"/>
              </w:rPr>
            </w:pPr>
          </w:p>
        </w:tc>
        <w:tc>
          <w:tcPr>
            <w:tcW w:w="2560" w:type="dxa"/>
            <w:vAlign w:val="bottom"/>
            <w:tcBorders>
              <w:top w:val="single" w:sz="8" w:color="CDDAE6"/>
            </w:tcBorders>
            <w:shd w:val="clear" w:color="auto" w:fill="CDDAE6"/>
          </w:tcPr>
          <w:p>
            <w:pPr>
              <w:spacing w:after="0"/>
              <w:rPr>
                <w:sz w:val="2"/>
                <w:szCs w:val="2"/>
                <w:color w:val="auto"/>
              </w:rPr>
            </w:pPr>
          </w:p>
        </w:tc>
        <w:tc>
          <w:tcPr>
            <w:tcW w:w="880" w:type="dxa"/>
            <w:vAlign w:val="bottom"/>
            <w:tcBorders>
              <w:top w:val="single" w:sz="8" w:color="CDDAE6"/>
            </w:tcBorders>
            <w:shd w:val="clear" w:color="auto" w:fill="CDDAE6"/>
          </w:tcPr>
          <w:p>
            <w:pPr>
              <w:spacing w:after="0"/>
              <w:rPr>
                <w:sz w:val="2"/>
                <w:szCs w:val="2"/>
                <w:color w:val="auto"/>
              </w:rPr>
            </w:pPr>
          </w:p>
        </w:tc>
        <w:tc>
          <w:tcPr>
            <w:tcW w:w="180" w:type="dxa"/>
            <w:vAlign w:val="bottom"/>
            <w:tcBorders>
              <w:top w:val="single" w:sz="8" w:color="0000EE"/>
            </w:tcBorders>
            <w:shd w:val="clear" w:color="auto" w:fill="CDDAE6"/>
          </w:tcPr>
          <w:p>
            <w:pPr>
              <w:spacing w:after="0"/>
              <w:rPr>
                <w:sz w:val="2"/>
                <w:szCs w:val="2"/>
                <w:color w:val="auto"/>
              </w:rPr>
            </w:pPr>
          </w:p>
        </w:tc>
        <w:tc>
          <w:tcPr>
            <w:tcW w:w="60" w:type="dxa"/>
            <w:vAlign w:val="bottom"/>
            <w:tcBorders>
              <w:top w:val="single" w:sz="8" w:color="CDDAE6"/>
            </w:tcBorders>
            <w:shd w:val="clear" w:color="auto" w:fill="CDDAE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500" w:type="dxa"/>
            <w:vAlign w:val="bottom"/>
          </w:tcPr>
          <w:p>
            <w:pPr>
              <w:ind w:left="40"/>
              <w:spacing w:after="0" w:line="189" w:lineRule="exact"/>
              <w:rPr>
                <w:sz w:val="20"/>
                <w:szCs w:val="20"/>
                <w:color w:val="auto"/>
              </w:rPr>
            </w:pPr>
            <w:r>
              <w:rPr>
                <w:rFonts w:ascii="Arial" w:cs="Arial" w:eastAsia="Arial" w:hAnsi="Arial"/>
                <w:sz w:val="18"/>
                <w:szCs w:val="18"/>
                <w:color w:val="auto"/>
              </w:rPr>
              <w:t>Proposal 4 –  Cash Incentive Plan Proposal</w:t>
            </w:r>
          </w:p>
        </w:tc>
        <w:tc>
          <w:tcPr>
            <w:tcW w:w="2560" w:type="dxa"/>
            <w:vAlign w:val="bottom"/>
          </w:tcPr>
          <w:p>
            <w:pPr>
              <w:jc w:val="center"/>
              <w:ind w:left="1014"/>
              <w:spacing w:after="0" w:line="189" w:lineRule="exact"/>
              <w:rPr>
                <w:sz w:val="20"/>
                <w:szCs w:val="20"/>
                <w:color w:val="auto"/>
              </w:rPr>
            </w:pPr>
            <w:r>
              <w:rPr>
                <w:rFonts w:ascii="Arial" w:cs="Arial" w:eastAsia="Arial" w:hAnsi="Arial"/>
                <w:sz w:val="18"/>
                <w:szCs w:val="18"/>
                <w:color w:val="auto"/>
                <w:w w:val="89"/>
              </w:rPr>
              <w:t>FOR</w:t>
            </w:r>
          </w:p>
        </w:tc>
        <w:tc>
          <w:tcPr>
            <w:tcW w:w="1060" w:type="dxa"/>
            <w:vAlign w:val="bottom"/>
            <w:gridSpan w:val="2"/>
          </w:tcPr>
          <w:p>
            <w:pPr>
              <w:jc w:val="right"/>
              <w:spacing w:after="0" w:line="189" w:lineRule="exact"/>
              <w:rPr>
                <w:rFonts w:ascii="Arial" w:cs="Arial" w:eastAsia="Arial" w:hAnsi="Arial"/>
                <w:sz w:val="18"/>
                <w:szCs w:val="18"/>
                <w:color w:val="0000EE"/>
              </w:rPr>
            </w:pPr>
            <w:hyperlink w:anchor="page24">
              <w:r>
                <w:rPr>
                  <w:rFonts w:ascii="Arial" w:cs="Arial" w:eastAsia="Arial" w:hAnsi="Arial"/>
                  <w:sz w:val="18"/>
                  <w:szCs w:val="18"/>
                  <w:color w:val="0000EE"/>
                </w:rPr>
                <w:t>18</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5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500" w:type="dxa"/>
            <w:vAlign w:val="bottom"/>
            <w:shd w:val="clear" w:color="auto" w:fill="CDDAE6"/>
          </w:tcPr>
          <w:p>
            <w:pPr>
              <w:ind w:left="40"/>
              <w:spacing w:after="0" w:line="189" w:lineRule="exact"/>
              <w:rPr>
                <w:sz w:val="20"/>
                <w:szCs w:val="20"/>
                <w:color w:val="auto"/>
              </w:rPr>
            </w:pPr>
            <w:r>
              <w:rPr>
                <w:rFonts w:ascii="Arial" w:cs="Arial" w:eastAsia="Arial" w:hAnsi="Arial"/>
                <w:sz w:val="18"/>
                <w:szCs w:val="18"/>
                <w:color w:val="auto"/>
              </w:rPr>
              <w:t>Proposal 5 –  Say-on-Pay Proposal</w:t>
            </w:r>
          </w:p>
        </w:tc>
        <w:tc>
          <w:tcPr>
            <w:tcW w:w="2560" w:type="dxa"/>
            <w:vAlign w:val="bottom"/>
            <w:shd w:val="clear" w:color="auto" w:fill="CDDAE6"/>
          </w:tcPr>
          <w:p>
            <w:pPr>
              <w:jc w:val="center"/>
              <w:ind w:left="1014"/>
              <w:spacing w:after="0" w:line="189" w:lineRule="exact"/>
              <w:rPr>
                <w:sz w:val="20"/>
                <w:szCs w:val="20"/>
                <w:color w:val="auto"/>
              </w:rPr>
            </w:pPr>
            <w:r>
              <w:rPr>
                <w:rFonts w:ascii="Arial" w:cs="Arial" w:eastAsia="Arial" w:hAnsi="Arial"/>
                <w:sz w:val="18"/>
                <w:szCs w:val="18"/>
                <w:color w:val="auto"/>
                <w:w w:val="89"/>
              </w:rPr>
              <w:t>FOR</w:t>
            </w:r>
          </w:p>
        </w:tc>
        <w:tc>
          <w:tcPr>
            <w:tcW w:w="1060" w:type="dxa"/>
            <w:vAlign w:val="bottom"/>
            <w:gridSpan w:val="2"/>
            <w:shd w:val="clear" w:color="auto" w:fill="CDDAE6"/>
          </w:tcPr>
          <w:p>
            <w:pPr>
              <w:jc w:val="right"/>
              <w:spacing w:after="0" w:line="189" w:lineRule="exact"/>
              <w:rPr>
                <w:rFonts w:ascii="Arial" w:cs="Arial" w:eastAsia="Arial" w:hAnsi="Arial"/>
                <w:sz w:val="18"/>
                <w:szCs w:val="18"/>
                <w:color w:val="0000EE"/>
              </w:rPr>
            </w:pPr>
            <w:hyperlink w:anchor="page27">
              <w:r>
                <w:rPr>
                  <w:rFonts w:ascii="Arial" w:cs="Arial" w:eastAsia="Arial" w:hAnsi="Arial"/>
                  <w:sz w:val="18"/>
                  <w:szCs w:val="18"/>
                  <w:color w:val="0000EE"/>
                </w:rPr>
                <w:t>21</w:t>
              </w:r>
            </w:hyperlink>
          </w:p>
        </w:tc>
        <w:tc>
          <w:tcPr>
            <w:tcW w:w="60" w:type="dxa"/>
            <w:vAlign w:val="bottom"/>
            <w:shd w:val="clear" w:color="auto" w:fill="CDDAE6"/>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500" w:type="dxa"/>
            <w:vAlign w:val="bottom"/>
            <w:tcBorders>
              <w:top w:val="single" w:sz="8" w:color="CDDAE6"/>
            </w:tcBorders>
            <w:shd w:val="clear" w:color="auto" w:fill="CDDAE6"/>
          </w:tcPr>
          <w:p>
            <w:pPr>
              <w:spacing w:after="0"/>
              <w:rPr>
                <w:sz w:val="2"/>
                <w:szCs w:val="2"/>
                <w:color w:val="auto"/>
              </w:rPr>
            </w:pPr>
          </w:p>
        </w:tc>
        <w:tc>
          <w:tcPr>
            <w:tcW w:w="2560" w:type="dxa"/>
            <w:vAlign w:val="bottom"/>
            <w:tcBorders>
              <w:top w:val="single" w:sz="8" w:color="CDDAE6"/>
            </w:tcBorders>
            <w:shd w:val="clear" w:color="auto" w:fill="CDDAE6"/>
          </w:tcPr>
          <w:p>
            <w:pPr>
              <w:spacing w:after="0"/>
              <w:rPr>
                <w:sz w:val="2"/>
                <w:szCs w:val="2"/>
                <w:color w:val="auto"/>
              </w:rPr>
            </w:pPr>
          </w:p>
        </w:tc>
        <w:tc>
          <w:tcPr>
            <w:tcW w:w="880" w:type="dxa"/>
            <w:vAlign w:val="bottom"/>
            <w:tcBorders>
              <w:top w:val="single" w:sz="8" w:color="CDDAE6"/>
            </w:tcBorders>
            <w:shd w:val="clear" w:color="auto" w:fill="CDDAE6"/>
          </w:tcPr>
          <w:p>
            <w:pPr>
              <w:spacing w:after="0"/>
              <w:rPr>
                <w:sz w:val="2"/>
                <w:szCs w:val="2"/>
                <w:color w:val="auto"/>
              </w:rPr>
            </w:pPr>
          </w:p>
        </w:tc>
        <w:tc>
          <w:tcPr>
            <w:tcW w:w="180" w:type="dxa"/>
            <w:vAlign w:val="bottom"/>
            <w:tcBorders>
              <w:top w:val="single" w:sz="8" w:color="0000EE"/>
            </w:tcBorders>
            <w:shd w:val="clear" w:color="auto" w:fill="CDDAE6"/>
          </w:tcPr>
          <w:p>
            <w:pPr>
              <w:spacing w:after="0"/>
              <w:rPr>
                <w:sz w:val="2"/>
                <w:szCs w:val="2"/>
                <w:color w:val="auto"/>
              </w:rPr>
            </w:pPr>
          </w:p>
        </w:tc>
        <w:tc>
          <w:tcPr>
            <w:tcW w:w="60" w:type="dxa"/>
            <w:vAlign w:val="bottom"/>
            <w:tcBorders>
              <w:top w:val="single" w:sz="8" w:color="CDDAE6"/>
            </w:tcBorders>
            <w:shd w:val="clear" w:color="auto" w:fill="CDDAE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500" w:type="dxa"/>
            <w:vAlign w:val="bottom"/>
          </w:tcPr>
          <w:p>
            <w:pPr>
              <w:ind w:left="40"/>
              <w:spacing w:after="0" w:line="189" w:lineRule="exact"/>
              <w:rPr>
                <w:sz w:val="20"/>
                <w:szCs w:val="20"/>
                <w:color w:val="auto"/>
              </w:rPr>
            </w:pPr>
            <w:r>
              <w:rPr>
                <w:rFonts w:ascii="Arial" w:cs="Arial" w:eastAsia="Arial" w:hAnsi="Arial"/>
                <w:sz w:val="18"/>
                <w:szCs w:val="18"/>
                <w:color w:val="auto"/>
              </w:rPr>
              <w:t>Proposal 6 –  Say-on-Frequency Proposal</w:t>
            </w:r>
          </w:p>
        </w:tc>
        <w:tc>
          <w:tcPr>
            <w:tcW w:w="2560" w:type="dxa"/>
            <w:vAlign w:val="bottom"/>
          </w:tcPr>
          <w:p>
            <w:pPr>
              <w:jc w:val="center"/>
              <w:ind w:left="1014"/>
              <w:spacing w:after="0" w:line="189" w:lineRule="exact"/>
              <w:rPr>
                <w:sz w:val="20"/>
                <w:szCs w:val="20"/>
                <w:color w:val="auto"/>
              </w:rPr>
            </w:pPr>
            <w:r>
              <w:rPr>
                <w:rFonts w:ascii="Arial" w:cs="Arial" w:eastAsia="Arial" w:hAnsi="Arial"/>
                <w:sz w:val="18"/>
                <w:szCs w:val="18"/>
                <w:color w:val="auto"/>
                <w:w w:val="96"/>
              </w:rPr>
              <w:t>ONE YEAR</w:t>
            </w:r>
          </w:p>
        </w:tc>
        <w:tc>
          <w:tcPr>
            <w:tcW w:w="1060" w:type="dxa"/>
            <w:vAlign w:val="bottom"/>
            <w:gridSpan w:val="2"/>
          </w:tcPr>
          <w:p>
            <w:pPr>
              <w:jc w:val="right"/>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23</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500" w:type="dxa"/>
            <w:vAlign w:val="bottom"/>
            <w:tcBorders>
              <w:bottom w:val="single" w:sz="8" w:color="005C7D"/>
            </w:tcBorders>
          </w:tcPr>
          <w:p>
            <w:pPr>
              <w:spacing w:after="0"/>
              <w:rPr>
                <w:sz w:val="2"/>
                <w:szCs w:val="2"/>
                <w:color w:val="auto"/>
              </w:rPr>
            </w:pPr>
          </w:p>
        </w:tc>
        <w:tc>
          <w:tcPr>
            <w:tcW w:w="2560" w:type="dxa"/>
            <w:vAlign w:val="bottom"/>
            <w:tcBorders>
              <w:bottom w:val="single" w:sz="8" w:color="005C7D"/>
            </w:tcBorders>
          </w:tcPr>
          <w:p>
            <w:pPr>
              <w:spacing w:after="0"/>
              <w:rPr>
                <w:sz w:val="2"/>
                <w:szCs w:val="2"/>
                <w:color w:val="auto"/>
              </w:rPr>
            </w:pPr>
          </w:p>
        </w:tc>
        <w:tc>
          <w:tcPr>
            <w:tcW w:w="880" w:type="dxa"/>
            <w:vAlign w:val="bottom"/>
            <w:tcBorders>
              <w:bottom w:val="single" w:sz="8" w:color="005C7D"/>
            </w:tcBorders>
          </w:tcPr>
          <w:p>
            <w:pPr>
              <w:spacing w:after="0"/>
              <w:rPr>
                <w:sz w:val="2"/>
                <w:szCs w:val="2"/>
                <w:color w:val="auto"/>
              </w:rPr>
            </w:pPr>
          </w:p>
        </w:tc>
        <w:tc>
          <w:tcPr>
            <w:tcW w:w="180" w:type="dxa"/>
            <w:vAlign w:val="bottom"/>
            <w:tcBorders>
              <w:top w:val="single" w:sz="8" w:color="0000EE"/>
              <w:bottom w:val="single" w:sz="8" w:color="005C7D"/>
            </w:tcBorders>
          </w:tcPr>
          <w:p>
            <w:pPr>
              <w:spacing w:after="0"/>
              <w:rPr>
                <w:sz w:val="2"/>
                <w:szCs w:val="2"/>
                <w:color w:val="auto"/>
              </w:rPr>
            </w:pPr>
          </w:p>
        </w:tc>
        <w:tc>
          <w:tcPr>
            <w:tcW w:w="60" w:type="dxa"/>
            <w:vAlign w:val="bottom"/>
            <w:tcBorders>
              <w:bottom w:val="single" w:sz="8" w:color="005C7D"/>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CASTING YOUR VOTE</w:t>
      </w:r>
    </w:p>
    <w:p>
      <w:pPr>
        <w:spacing w:after="0" w:line="99" w:lineRule="exact"/>
        <w:rPr>
          <w:sz w:val="20"/>
          <w:szCs w:val="20"/>
          <w:color w:val="auto"/>
        </w:rPr>
      </w:pPr>
    </w:p>
    <w:tbl>
      <w:tblPr>
        <w:tblLayout w:type="fixed"/>
        <w:tblInd w:w="1640"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140" w:type="dxa"/>
            <w:vAlign w:val="bottom"/>
          </w:tcPr>
          <w:p>
            <w:pPr>
              <w:jc w:val="center"/>
              <w:ind w:left="148"/>
              <w:spacing w:after="0"/>
              <w:rPr>
                <w:sz w:val="20"/>
                <w:szCs w:val="20"/>
                <w:color w:val="auto"/>
              </w:rPr>
            </w:pPr>
            <w:r>
              <w:rPr>
                <w:rFonts w:ascii="Arial" w:cs="Arial" w:eastAsia="Arial" w:hAnsi="Arial"/>
                <w:sz w:val="14"/>
                <w:szCs w:val="14"/>
                <w:b w:val="1"/>
                <w:bCs w:val="1"/>
                <w:color w:val="auto"/>
                <w:w w:val="92"/>
              </w:rPr>
              <w:t>Street Name Holders</w:t>
            </w: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3440" w:type="dxa"/>
            <w:vAlign w:val="bottom"/>
          </w:tcPr>
          <w:p>
            <w:pPr>
              <w:jc w:val="center"/>
              <w:ind w:left="608"/>
              <w:spacing w:after="0"/>
              <w:rPr>
                <w:sz w:val="20"/>
                <w:szCs w:val="20"/>
                <w:color w:val="auto"/>
              </w:rPr>
            </w:pPr>
            <w:r>
              <w:rPr>
                <w:rFonts w:ascii="Arial" w:cs="Arial" w:eastAsia="Arial" w:hAnsi="Arial"/>
                <w:sz w:val="14"/>
                <w:szCs w:val="14"/>
                <w:b w:val="1"/>
                <w:bCs w:val="1"/>
                <w:color w:val="auto"/>
                <w:w w:val="90"/>
              </w:rPr>
              <w:t>Shareholders of Record</w:t>
            </w:r>
          </w:p>
        </w:tc>
        <w:tc>
          <w:tcPr>
            <w:tcW w:w="2140" w:type="dxa"/>
            <w:vAlign w:val="bottom"/>
          </w:tcPr>
          <w:p>
            <w:pPr>
              <w:jc w:val="center"/>
              <w:ind w:left="168"/>
              <w:spacing w:after="0"/>
              <w:rPr>
                <w:sz w:val="20"/>
                <w:szCs w:val="20"/>
                <w:color w:val="auto"/>
              </w:rPr>
            </w:pPr>
            <w:r>
              <w:rPr>
                <w:rFonts w:ascii="Arial" w:cs="Arial" w:eastAsia="Arial" w:hAnsi="Arial"/>
                <w:sz w:val="14"/>
                <w:szCs w:val="14"/>
                <w:b w:val="1"/>
                <w:bCs w:val="1"/>
                <w:color w:val="auto"/>
                <w:w w:val="92"/>
              </w:rPr>
              <w:t>(Shares held through a Broker,</w:t>
            </w:r>
          </w:p>
        </w:tc>
        <w:tc>
          <w:tcPr>
            <w:tcW w:w="0" w:type="dxa"/>
            <w:vAlign w:val="bottom"/>
          </w:tcPr>
          <w:p>
            <w:pPr>
              <w:spacing w:after="0"/>
              <w:rPr>
                <w:sz w:val="1"/>
                <w:szCs w:val="1"/>
                <w:color w:val="auto"/>
              </w:rPr>
            </w:pPr>
          </w:p>
        </w:tc>
      </w:tr>
      <w:tr>
        <w:trPr>
          <w:trHeight w:val="162"/>
        </w:trPr>
        <w:tc>
          <w:tcPr>
            <w:tcW w:w="1760" w:type="dxa"/>
            <w:vAlign w:val="bottom"/>
            <w:vMerge w:val="restart"/>
          </w:tcPr>
          <w:p>
            <w:pPr>
              <w:spacing w:after="0"/>
              <w:rPr>
                <w:sz w:val="20"/>
                <w:szCs w:val="20"/>
                <w:color w:val="auto"/>
              </w:rPr>
            </w:pPr>
            <w:r>
              <w:rPr>
                <w:rFonts w:ascii="Arial" w:cs="Arial" w:eastAsia="Arial" w:hAnsi="Arial"/>
                <w:sz w:val="16"/>
                <w:szCs w:val="16"/>
                <w:b w:val="1"/>
                <w:bCs w:val="1"/>
                <w:color w:val="auto"/>
              </w:rPr>
              <w:t>How to Vote</w:t>
            </w:r>
          </w:p>
        </w:tc>
        <w:tc>
          <w:tcPr>
            <w:tcW w:w="3440" w:type="dxa"/>
            <w:vAlign w:val="bottom"/>
          </w:tcPr>
          <w:p>
            <w:pPr>
              <w:jc w:val="center"/>
              <w:ind w:left="608"/>
              <w:spacing w:after="0"/>
              <w:rPr>
                <w:sz w:val="20"/>
                <w:szCs w:val="20"/>
                <w:color w:val="auto"/>
              </w:rPr>
            </w:pPr>
            <w:r>
              <w:rPr>
                <w:rFonts w:ascii="Arial" w:cs="Arial" w:eastAsia="Arial" w:hAnsi="Arial"/>
                <w:sz w:val="14"/>
                <w:szCs w:val="14"/>
                <w:b w:val="1"/>
                <w:bCs w:val="1"/>
                <w:color w:val="auto"/>
                <w:w w:val="92"/>
              </w:rPr>
              <w:t>(Shares registered in your name with</w:t>
            </w:r>
          </w:p>
        </w:tc>
        <w:tc>
          <w:tcPr>
            <w:tcW w:w="2140" w:type="dxa"/>
            <w:vAlign w:val="bottom"/>
          </w:tcPr>
          <w:p>
            <w:pPr>
              <w:jc w:val="center"/>
              <w:ind w:left="148"/>
              <w:spacing w:after="0"/>
              <w:rPr>
                <w:sz w:val="20"/>
                <w:szCs w:val="20"/>
                <w:color w:val="auto"/>
              </w:rPr>
            </w:pPr>
            <w:r>
              <w:rPr>
                <w:rFonts w:ascii="Arial" w:cs="Arial" w:eastAsia="Arial" w:hAnsi="Arial"/>
                <w:sz w:val="14"/>
                <w:szCs w:val="14"/>
                <w:b w:val="1"/>
                <w:bCs w:val="1"/>
                <w:color w:val="auto"/>
                <w:w w:val="94"/>
              </w:rPr>
              <w:t>Bank or Other Nominee)</w:t>
            </w:r>
          </w:p>
        </w:tc>
        <w:tc>
          <w:tcPr>
            <w:tcW w:w="0" w:type="dxa"/>
            <w:vAlign w:val="bottom"/>
          </w:tcPr>
          <w:p>
            <w:pPr>
              <w:spacing w:after="0"/>
              <w:rPr>
                <w:sz w:val="1"/>
                <w:szCs w:val="1"/>
                <w:color w:val="auto"/>
              </w:rPr>
            </w:pPr>
          </w:p>
        </w:tc>
      </w:tr>
      <w:tr>
        <w:trPr>
          <w:trHeight w:val="186"/>
        </w:trPr>
        <w:tc>
          <w:tcPr>
            <w:tcW w:w="1760" w:type="dxa"/>
            <w:vAlign w:val="bottom"/>
            <w:vMerge w:val="continue"/>
          </w:tcPr>
          <w:p>
            <w:pPr>
              <w:spacing w:after="0"/>
              <w:rPr>
                <w:sz w:val="16"/>
                <w:szCs w:val="16"/>
                <w:color w:val="auto"/>
              </w:rPr>
            </w:pPr>
          </w:p>
        </w:tc>
        <w:tc>
          <w:tcPr>
            <w:tcW w:w="3440" w:type="dxa"/>
            <w:vAlign w:val="bottom"/>
          </w:tcPr>
          <w:p>
            <w:pPr>
              <w:jc w:val="center"/>
              <w:ind w:left="608"/>
              <w:spacing w:after="0"/>
              <w:rPr>
                <w:sz w:val="20"/>
                <w:szCs w:val="20"/>
                <w:color w:val="auto"/>
              </w:rPr>
            </w:pPr>
            <w:r>
              <w:rPr>
                <w:rFonts w:ascii="Arial" w:cs="Arial" w:eastAsia="Arial" w:hAnsi="Arial"/>
                <w:sz w:val="14"/>
                <w:szCs w:val="14"/>
                <w:b w:val="1"/>
                <w:bCs w:val="1"/>
                <w:color w:val="auto"/>
                <w:w w:val="92"/>
              </w:rPr>
              <w:t>L3’s transfer agent, Computershare)</w:t>
            </w:r>
          </w:p>
        </w:tc>
        <w:tc>
          <w:tcPr>
            <w:tcW w:w="2140" w:type="dxa"/>
            <w:vAlign w:val="bottom"/>
          </w:tcPr>
          <w:p>
            <w:pPr>
              <w:jc w:val="center"/>
              <w:ind w:left="148"/>
              <w:spacing w:after="0"/>
              <w:rPr>
                <w:sz w:val="20"/>
                <w:szCs w:val="20"/>
                <w:color w:val="auto"/>
              </w:rPr>
            </w:pPr>
            <w:r>
              <w:rPr>
                <w:rFonts w:ascii="Arial" w:cs="Arial" w:eastAsia="Arial" w:hAnsi="Arial"/>
                <w:sz w:val="14"/>
                <w:szCs w:val="14"/>
                <w:b w:val="1"/>
                <w:bCs w:val="1"/>
                <w:color w:val="auto"/>
                <w:w w:val="93"/>
              </w:rPr>
              <w:t>and 401(k) Participants</w:t>
            </w: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1">
            <w:col w:w="9520"/>
          </w:cols>
          <w:pgMar w:left="1180" w:top="279" w:right="1199" w:bottom="1440" w:gutter="0" w:footer="0" w:header="0"/>
        </w:sectPr>
      </w:pPr>
    </w:p>
    <w:p>
      <w:pPr>
        <w:spacing w:after="0" w:line="32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Mobile Device</w:t>
      </w:r>
    </w:p>
    <w:p>
      <w:pPr>
        <w:spacing w:after="0" w:line="31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Internet</w:t>
      </w:r>
    </w:p>
    <w:p>
      <w:pPr>
        <w:spacing w:after="0" w:line="20" w:lineRule="exact"/>
        <w:rPr>
          <w:sz w:val="20"/>
          <w:szCs w:val="20"/>
          <w:color w:val="auto"/>
        </w:rPr>
      </w:pPr>
      <w:r>
        <w:rPr>
          <w:sz w:val="20"/>
          <w:szCs w:val="20"/>
          <w:color w:val="auto"/>
        </w:rPr>
        <w:br w:type="column"/>
      </w:r>
    </w:p>
    <w:p>
      <w:pPr>
        <w:spacing w:after="0"/>
        <w:tabs>
          <w:tab w:leader="none" w:pos="5820" w:val="left"/>
        </w:tabs>
        <w:rPr>
          <w:sz w:val="20"/>
          <w:szCs w:val="20"/>
          <w:color w:val="auto"/>
        </w:rPr>
      </w:pPr>
      <w:r>
        <w:rPr>
          <w:rFonts w:ascii="Arial" w:cs="Arial" w:eastAsia="Arial" w:hAnsi="Arial"/>
          <w:sz w:val="18"/>
          <w:szCs w:val="18"/>
          <w:color w:val="auto"/>
        </w:rPr>
        <w:t>Scan the QR Code to vote using</w:t>
      </w:r>
      <w:r>
        <w:rPr>
          <w:sz w:val="20"/>
          <w:szCs w:val="20"/>
          <w:color w:val="auto"/>
        </w:rPr>
        <w:tab/>
      </w:r>
      <w:r>
        <w:rPr>
          <w:rFonts w:ascii="Arial" w:cs="Arial" w:eastAsia="Arial" w:hAnsi="Arial"/>
          <w:sz w:val="16"/>
          <w:szCs w:val="16"/>
          <w:color w:val="auto"/>
        </w:rPr>
        <w:t>Refer to voting</w:t>
      </w:r>
    </w:p>
    <w:p>
      <w:pPr>
        <w:spacing w:after="0" w:line="23"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your mobile device:</w:t>
      </w:r>
      <w:r>
        <w:rPr>
          <w:sz w:val="20"/>
          <w:szCs w:val="20"/>
          <w:color w:val="auto"/>
        </w:rPr>
        <w:tab/>
      </w:r>
      <w:r>
        <w:rPr>
          <w:rFonts w:ascii="Arial" w:cs="Arial" w:eastAsia="Arial" w:hAnsi="Arial"/>
          <w:sz w:val="16"/>
          <w:szCs w:val="16"/>
          <w:color w:val="auto"/>
        </w:rPr>
        <w:t>instruction form.</w:t>
      </w:r>
    </w:p>
    <w:p>
      <w:pPr>
        <w:spacing w:after="0" w:line="130" w:lineRule="exact"/>
        <w:rPr>
          <w:sz w:val="20"/>
          <w:szCs w:val="20"/>
          <w:color w:val="auto"/>
        </w:rPr>
      </w:pPr>
    </w:p>
    <w:p>
      <w:pPr>
        <w:spacing w:after="0"/>
        <w:tabs>
          <w:tab w:leader="none" w:pos="3040" w:val="left"/>
          <w:tab w:leader="none" w:pos="5620" w:val="left"/>
        </w:tabs>
        <w:rPr>
          <w:sz w:val="20"/>
          <w:szCs w:val="20"/>
          <w:color w:val="auto"/>
        </w:rPr>
      </w:pPr>
      <w:r>
        <w:rPr>
          <w:rFonts w:ascii="Arial" w:cs="Arial" w:eastAsia="Arial" w:hAnsi="Arial"/>
          <w:sz w:val="18"/>
          <w:szCs w:val="18"/>
          <w:color w:val="auto"/>
        </w:rPr>
        <w:t>Visit the applicable voting</w:t>
      </w:r>
      <w:r>
        <w:rPr>
          <w:sz w:val="20"/>
          <w:szCs w:val="20"/>
          <w:color w:val="auto"/>
        </w:rPr>
        <w:tab/>
      </w:r>
      <w:r>
        <w:rPr>
          <w:rFonts w:ascii="Arial" w:cs="Arial" w:eastAsia="Arial" w:hAnsi="Arial"/>
          <w:sz w:val="18"/>
          <w:szCs w:val="18"/>
          <w:color w:val="auto"/>
        </w:rPr>
        <w:t>www.proxyvote.com</w:t>
      </w:r>
      <w:r>
        <w:rPr>
          <w:sz w:val="20"/>
          <w:szCs w:val="20"/>
          <w:color w:val="auto"/>
        </w:rPr>
        <w:tab/>
      </w:r>
      <w:r>
        <w:rPr>
          <w:rFonts w:ascii="Arial" w:cs="Arial" w:eastAsia="Arial" w:hAnsi="Arial"/>
          <w:sz w:val="16"/>
          <w:szCs w:val="16"/>
          <w:color w:val="auto"/>
        </w:rPr>
        <w:t>www.proxyvote.com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website:</w:t>
      </w:r>
    </w:p>
    <w:p>
      <w:pPr>
        <w:spacing w:after="0" w:line="69" w:lineRule="exact"/>
        <w:rPr>
          <w:sz w:val="20"/>
          <w:szCs w:val="20"/>
          <w:color w:val="auto"/>
        </w:rPr>
      </w:pPr>
    </w:p>
    <w:p>
      <w:pPr>
        <w:sectPr>
          <w:pgSz w:w="11900" w:h="16838" w:orient="portrait"/>
          <w:cols w:equalWidth="0" w:num="2">
            <w:col w:w="1460" w:space="180"/>
            <w:col w:w="7880"/>
          </w:cols>
          <w:pgMar w:left="1180" w:top="279" w:right="1199" w:bottom="1440" w:gutter="0" w:footer="0" w:header="0"/>
          <w:type w:val="continuous"/>
        </w:sectPr>
      </w:pPr>
    </w:p>
    <w:tbl>
      <w:tblPr>
        <w:tblLayout w:type="fixed"/>
        <w:tblInd w:w="220" w:type="dxa"/>
        <w:tblCellMar>
          <w:top w:w="0" w:type="dxa"/>
          <w:left w:w="0" w:type="dxa"/>
          <w:bottom w:w="0" w:type="dxa"/>
          <w:right w:w="0" w:type="dxa"/>
        </w:tblCellMar>
      </w:tblPr>
      <w:tr>
        <w:trPr>
          <w:trHeight w:val="209"/>
        </w:trPr>
        <w:tc>
          <w:tcPr>
            <w:tcW w:w="1240" w:type="dxa"/>
            <w:vAlign w:val="bottom"/>
            <w:shd w:val="clear" w:color="auto" w:fill="CDDAE6"/>
          </w:tcPr>
          <w:p>
            <w:pPr>
              <w:spacing w:after="0"/>
              <w:rPr>
                <w:sz w:val="18"/>
                <w:szCs w:val="18"/>
                <w:color w:val="auto"/>
              </w:rPr>
            </w:pPr>
          </w:p>
        </w:tc>
        <w:tc>
          <w:tcPr>
            <w:tcW w:w="2960" w:type="dxa"/>
            <w:vAlign w:val="bottom"/>
            <w:shd w:val="clear" w:color="auto" w:fill="CDDAE6"/>
          </w:tcPr>
          <w:p>
            <w:pPr>
              <w:ind w:left="180"/>
              <w:spacing w:after="0"/>
              <w:rPr>
                <w:sz w:val="20"/>
                <w:szCs w:val="20"/>
                <w:color w:val="auto"/>
              </w:rPr>
            </w:pPr>
            <w:r>
              <w:rPr>
                <w:rFonts w:ascii="Arial" w:cs="Arial" w:eastAsia="Arial" w:hAnsi="Arial"/>
                <w:sz w:val="18"/>
                <w:szCs w:val="18"/>
                <w:color w:val="auto"/>
              </w:rPr>
              <w:t>Within the United States, U.S.</w:t>
            </w:r>
          </w:p>
        </w:tc>
        <w:tc>
          <w:tcPr>
            <w:tcW w:w="2320" w:type="dxa"/>
            <w:vAlign w:val="bottom"/>
            <w:shd w:val="clear" w:color="auto" w:fill="CDDAE6"/>
          </w:tcPr>
          <w:p>
            <w:pPr>
              <w:jc w:val="right"/>
              <w:ind w:right="610"/>
              <w:spacing w:after="0"/>
              <w:rPr>
                <w:sz w:val="20"/>
                <w:szCs w:val="20"/>
                <w:color w:val="auto"/>
              </w:rPr>
            </w:pPr>
            <w:r>
              <w:rPr>
                <w:rFonts w:ascii="Arial" w:cs="Arial" w:eastAsia="Arial" w:hAnsi="Arial"/>
                <w:sz w:val="18"/>
                <w:szCs w:val="18"/>
                <w:color w:val="auto"/>
              </w:rPr>
              <w:t>1-800-690-6903</w:t>
            </w:r>
          </w:p>
        </w:tc>
        <w:tc>
          <w:tcPr>
            <w:tcW w:w="2560" w:type="dxa"/>
            <w:vAlign w:val="bottom"/>
            <w:shd w:val="clear" w:color="auto" w:fill="CDDAE6"/>
          </w:tcPr>
          <w:p>
            <w:pPr>
              <w:jc w:val="center"/>
              <w:spacing w:after="0"/>
              <w:rPr>
                <w:sz w:val="20"/>
                <w:szCs w:val="20"/>
                <w:color w:val="auto"/>
              </w:rPr>
            </w:pPr>
            <w:r>
              <w:rPr>
                <w:rFonts w:ascii="Arial" w:cs="Arial" w:eastAsia="Arial" w:hAnsi="Arial"/>
                <w:sz w:val="18"/>
                <w:szCs w:val="18"/>
                <w:color w:val="auto"/>
                <w:w w:val="92"/>
              </w:rPr>
              <w:t>Refer to voting</w:t>
            </w:r>
          </w:p>
        </w:tc>
      </w:tr>
      <w:tr>
        <w:trPr>
          <w:trHeight w:val="230"/>
        </w:trPr>
        <w:tc>
          <w:tcPr>
            <w:tcW w:w="1240" w:type="dxa"/>
            <w:vAlign w:val="bottom"/>
            <w:shd w:val="clear" w:color="auto" w:fill="CDDAE6"/>
          </w:tcPr>
          <w:p>
            <w:pPr>
              <w:jc w:val="center"/>
              <w:ind w:left="50"/>
              <w:spacing w:after="0"/>
              <w:rPr>
                <w:sz w:val="20"/>
                <w:szCs w:val="20"/>
                <w:color w:val="auto"/>
              </w:rPr>
            </w:pPr>
            <w:r>
              <w:rPr>
                <w:rFonts w:ascii="Arial" w:cs="Arial" w:eastAsia="Arial" w:hAnsi="Arial"/>
                <w:sz w:val="18"/>
                <w:szCs w:val="18"/>
                <w:b w:val="1"/>
                <w:bCs w:val="1"/>
                <w:color w:val="auto"/>
                <w:w w:val="86"/>
              </w:rPr>
              <w:t>Telephone</w:t>
            </w:r>
          </w:p>
        </w:tc>
        <w:tc>
          <w:tcPr>
            <w:tcW w:w="2960" w:type="dxa"/>
            <w:vAlign w:val="bottom"/>
            <w:shd w:val="clear" w:color="auto" w:fill="CDDAE6"/>
          </w:tcPr>
          <w:p>
            <w:pPr>
              <w:ind w:left="180"/>
              <w:spacing w:after="0"/>
              <w:rPr>
                <w:sz w:val="20"/>
                <w:szCs w:val="20"/>
                <w:color w:val="auto"/>
              </w:rPr>
            </w:pPr>
            <w:r>
              <w:rPr>
                <w:rFonts w:ascii="Arial" w:cs="Arial" w:eastAsia="Arial" w:hAnsi="Arial"/>
                <w:sz w:val="18"/>
                <w:szCs w:val="18"/>
                <w:color w:val="auto"/>
              </w:rPr>
              <w:t>Territories and Canada, call toll-</w:t>
            </w:r>
          </w:p>
        </w:tc>
        <w:tc>
          <w:tcPr>
            <w:tcW w:w="2320" w:type="dxa"/>
            <w:vAlign w:val="bottom"/>
            <w:shd w:val="clear" w:color="auto" w:fill="CDDAE6"/>
          </w:tcPr>
          <w:p>
            <w:pPr>
              <w:spacing w:after="0"/>
              <w:rPr>
                <w:sz w:val="20"/>
                <w:szCs w:val="20"/>
                <w:color w:val="auto"/>
              </w:rPr>
            </w:pPr>
          </w:p>
        </w:tc>
        <w:tc>
          <w:tcPr>
            <w:tcW w:w="2560" w:type="dxa"/>
            <w:vAlign w:val="bottom"/>
            <w:shd w:val="clear" w:color="auto" w:fill="CDDAE6"/>
          </w:tcPr>
          <w:p>
            <w:pPr>
              <w:jc w:val="center"/>
              <w:spacing w:after="0"/>
              <w:rPr>
                <w:sz w:val="20"/>
                <w:szCs w:val="20"/>
                <w:color w:val="auto"/>
              </w:rPr>
            </w:pPr>
            <w:r>
              <w:rPr>
                <w:rFonts w:ascii="Arial" w:cs="Arial" w:eastAsia="Arial" w:hAnsi="Arial"/>
                <w:sz w:val="18"/>
                <w:szCs w:val="18"/>
                <w:color w:val="auto"/>
                <w:w w:val="93"/>
              </w:rPr>
              <w:t>instruction form.</w:t>
            </w:r>
          </w:p>
        </w:tc>
      </w:tr>
      <w:tr>
        <w:trPr>
          <w:trHeight w:val="230"/>
        </w:trPr>
        <w:tc>
          <w:tcPr>
            <w:tcW w:w="1240" w:type="dxa"/>
            <w:vAlign w:val="bottom"/>
            <w:shd w:val="clear" w:color="auto" w:fill="CDDAE6"/>
          </w:tcPr>
          <w:p>
            <w:pPr>
              <w:spacing w:after="0"/>
              <w:rPr>
                <w:sz w:val="19"/>
                <w:szCs w:val="19"/>
                <w:color w:val="auto"/>
              </w:rPr>
            </w:pPr>
          </w:p>
        </w:tc>
        <w:tc>
          <w:tcPr>
            <w:tcW w:w="2960" w:type="dxa"/>
            <w:vAlign w:val="bottom"/>
            <w:shd w:val="clear" w:color="auto" w:fill="CDDAE6"/>
          </w:tcPr>
          <w:p>
            <w:pPr>
              <w:ind w:left="180"/>
              <w:spacing w:after="0"/>
              <w:rPr>
                <w:sz w:val="20"/>
                <w:szCs w:val="20"/>
                <w:color w:val="auto"/>
              </w:rPr>
            </w:pPr>
            <w:r>
              <w:rPr>
                <w:rFonts w:ascii="Arial" w:cs="Arial" w:eastAsia="Arial" w:hAnsi="Arial"/>
                <w:sz w:val="18"/>
                <w:szCs w:val="18"/>
                <w:color w:val="auto"/>
              </w:rPr>
              <w:t>free:</w:t>
            </w:r>
          </w:p>
        </w:tc>
        <w:tc>
          <w:tcPr>
            <w:tcW w:w="2320" w:type="dxa"/>
            <w:vAlign w:val="bottom"/>
            <w:shd w:val="clear" w:color="auto" w:fill="CDDAE6"/>
          </w:tcPr>
          <w:p>
            <w:pPr>
              <w:spacing w:after="0"/>
              <w:rPr>
                <w:sz w:val="19"/>
                <w:szCs w:val="19"/>
                <w:color w:val="auto"/>
              </w:rPr>
            </w:pPr>
          </w:p>
        </w:tc>
        <w:tc>
          <w:tcPr>
            <w:tcW w:w="2560" w:type="dxa"/>
            <w:vAlign w:val="bottom"/>
            <w:shd w:val="clear" w:color="auto" w:fill="CDDAE6"/>
          </w:tcPr>
          <w:p>
            <w:pPr>
              <w:spacing w:after="0"/>
              <w:rPr>
                <w:sz w:val="19"/>
                <w:szCs w:val="19"/>
                <w:color w:val="auto"/>
              </w:rPr>
            </w:pPr>
          </w:p>
        </w:tc>
      </w:tr>
      <w:tr>
        <w:trPr>
          <w:trHeight w:val="215"/>
        </w:trPr>
        <w:tc>
          <w:tcPr>
            <w:tcW w:w="1240" w:type="dxa"/>
            <w:vAlign w:val="bottom"/>
          </w:tcPr>
          <w:p>
            <w:pPr>
              <w:spacing w:after="0"/>
              <w:rPr>
                <w:sz w:val="18"/>
                <w:szCs w:val="18"/>
                <w:color w:val="auto"/>
              </w:rPr>
            </w:pPr>
          </w:p>
        </w:tc>
        <w:tc>
          <w:tcPr>
            <w:tcW w:w="7840" w:type="dxa"/>
            <w:vAlign w:val="bottom"/>
            <w:gridSpan w:val="3"/>
          </w:tcPr>
          <w:p>
            <w:pPr>
              <w:ind w:left="180"/>
              <w:spacing w:after="0"/>
              <w:rPr>
                <w:sz w:val="20"/>
                <w:szCs w:val="20"/>
                <w:color w:val="auto"/>
              </w:rPr>
            </w:pPr>
            <w:r>
              <w:rPr>
                <w:rFonts w:ascii="Arial" w:cs="Arial" w:eastAsia="Arial" w:hAnsi="Arial"/>
                <w:sz w:val="18"/>
                <w:szCs w:val="18"/>
                <w:color w:val="auto"/>
                <w:w w:val="98"/>
              </w:rPr>
              <w:t>Complete, sign and mail your proxy card or voting instruction form in the self-addressed envelope</w:t>
            </w:r>
          </w:p>
        </w:tc>
      </w:tr>
      <w:tr>
        <w:trPr>
          <w:trHeight w:val="271"/>
        </w:trPr>
        <w:tc>
          <w:tcPr>
            <w:tcW w:w="1240" w:type="dxa"/>
            <w:vAlign w:val="bottom"/>
          </w:tcPr>
          <w:p>
            <w:pPr>
              <w:jc w:val="center"/>
              <w:ind w:left="30"/>
              <w:spacing w:after="0"/>
              <w:rPr>
                <w:sz w:val="20"/>
                <w:szCs w:val="20"/>
                <w:color w:val="auto"/>
              </w:rPr>
            </w:pPr>
            <w:r>
              <w:rPr>
                <w:rFonts w:ascii="Arial" w:cs="Arial" w:eastAsia="Arial" w:hAnsi="Arial"/>
                <w:sz w:val="18"/>
                <w:szCs w:val="18"/>
                <w:b w:val="1"/>
                <w:bCs w:val="1"/>
                <w:color w:val="auto"/>
              </w:rPr>
              <w:t>Mail</w:t>
            </w:r>
          </w:p>
        </w:tc>
        <w:tc>
          <w:tcPr>
            <w:tcW w:w="5280" w:type="dxa"/>
            <w:vAlign w:val="bottom"/>
            <w:gridSpan w:val="2"/>
          </w:tcPr>
          <w:p>
            <w:pPr>
              <w:ind w:left="180"/>
              <w:spacing w:after="0"/>
              <w:rPr>
                <w:sz w:val="20"/>
                <w:szCs w:val="20"/>
                <w:color w:val="auto"/>
              </w:rPr>
            </w:pPr>
            <w:r>
              <w:rPr>
                <w:rFonts w:ascii="Arial" w:cs="Arial" w:eastAsia="Arial" w:hAnsi="Arial"/>
                <w:sz w:val="18"/>
                <w:szCs w:val="18"/>
                <w:color w:val="auto"/>
              </w:rPr>
              <w:t>provided to you, following your request, if any.</w:t>
            </w:r>
          </w:p>
        </w:tc>
        <w:tc>
          <w:tcPr>
            <w:tcW w:w="2560" w:type="dxa"/>
            <w:vAlign w:val="bottom"/>
          </w:tcPr>
          <w:p>
            <w:pPr>
              <w:spacing w:after="0"/>
              <w:rPr>
                <w:sz w:val="23"/>
                <w:szCs w:val="23"/>
                <w:color w:val="auto"/>
              </w:rPr>
            </w:pPr>
          </w:p>
        </w:tc>
      </w:tr>
    </w:tbl>
    <w:p>
      <w:pPr>
        <w:spacing w:after="0" w:line="157" w:lineRule="exact"/>
        <w:rPr>
          <w:sz w:val="20"/>
          <w:szCs w:val="20"/>
          <w:color w:val="auto"/>
        </w:rPr>
      </w:pPr>
    </w:p>
    <w:p>
      <w:pPr>
        <w:ind w:left="1640"/>
        <w:spacing w:after="0"/>
        <w:rPr>
          <w:rFonts w:ascii="Arial" w:cs="Arial" w:eastAsia="Arial" w:hAnsi="Arial"/>
          <w:sz w:val="17"/>
          <w:szCs w:val="17"/>
          <w:color w:val="auto"/>
        </w:rPr>
      </w:pPr>
      <w:r>
        <w:rPr>
          <w:rFonts w:ascii="Arial" w:cs="Arial" w:eastAsia="Arial" w:hAnsi="Arial"/>
          <w:sz w:val="17"/>
          <w:szCs w:val="17"/>
          <w:color w:val="auto"/>
        </w:rPr>
        <w:t xml:space="preserve">For instructions on attending the 2017 Annual Meeting in person, please see Question 13 on page </w:t>
      </w:r>
      <w:hyperlink w:anchor="page15">
        <w:r>
          <w:rPr>
            <w:rFonts w:ascii="Arial" w:cs="Arial" w:eastAsia="Arial" w:hAnsi="Arial"/>
            <w:sz w:val="17"/>
            <w:szCs w:val="17"/>
            <w:u w:val="single" w:color="auto"/>
            <w:color w:val="0000EE"/>
          </w:rPr>
          <w:t>9</w:t>
        </w:r>
      </w:hyperlink>
      <w:r>
        <w:rPr>
          <w:rFonts w:ascii="Arial" w:cs="Arial" w:eastAsia="Arial" w:hAnsi="Arial"/>
          <w:sz w:val="17"/>
          <w:szCs w:val="17"/>
          <w:color w:val="auto"/>
        </w:rPr>
        <w:t>.</w:t>
      </w:r>
    </w:p>
    <w:p>
      <w:pPr>
        <w:ind w:left="540"/>
        <w:spacing w:after="0"/>
        <w:rPr>
          <w:sz w:val="20"/>
          <w:szCs w:val="20"/>
          <w:color w:val="auto"/>
        </w:rPr>
      </w:pPr>
      <w:r>
        <w:rPr>
          <w:rFonts w:ascii="Arial" w:cs="Arial" w:eastAsia="Arial" w:hAnsi="Arial"/>
          <w:sz w:val="18"/>
          <w:szCs w:val="18"/>
          <w:b w:val="1"/>
          <w:bCs w:val="1"/>
          <w:color w:val="auto"/>
        </w:rPr>
        <w:t>In Person</w:t>
      </w:r>
    </w:p>
    <w:p>
      <w:pPr>
        <w:spacing w:after="0" w:line="200" w:lineRule="exact"/>
        <w:rPr>
          <w:sz w:val="20"/>
          <w:szCs w:val="20"/>
          <w:color w:val="auto"/>
        </w:rPr>
      </w:pPr>
    </w:p>
    <w:p>
      <w:pPr>
        <w:spacing w:after="0" w:line="387"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7"/>
          <w:szCs w:val="17"/>
          <w:color w:val="005C7D"/>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607187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-114300</wp:posOffset>
            </wp:positionV>
            <wp:extent cx="16319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type w:val="continuous"/>
        </w:sectPr>
      </w:pPr>
    </w:p>
    <w:bookmarkStart w:id="7" w:name="page8"/>
    <w:bookmarkEnd w:id="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75680" cy="67106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75680" cy="6710680"/>
                    </a:xfrm>
                    <a:prstGeom prst="rect">
                      <a:avLst/>
                    </a:prstGeom>
                    <a:noFill/>
                  </pic:spPr>
                </pic:pic>
              </a:graphicData>
            </a:graphic>
          </wp:anchor>
        </w:drawing>
      </w:r>
    </w:p>
    <w:p>
      <w:pPr>
        <w:spacing w:after="0" w:line="242" w:lineRule="exact"/>
        <w:rPr>
          <w:sz w:val="20"/>
          <w:szCs w:val="20"/>
          <w:color w:val="auto"/>
        </w:rPr>
      </w:pPr>
    </w:p>
    <w:p>
      <w:pPr>
        <w:ind w:left="240"/>
        <w:spacing w:after="0"/>
        <w:rPr>
          <w:sz w:val="20"/>
          <w:szCs w:val="20"/>
          <w:color w:val="auto"/>
        </w:rPr>
      </w:pPr>
      <w:r>
        <w:rPr>
          <w:rFonts w:ascii="Arial" w:cs="Arial" w:eastAsia="Arial" w:hAnsi="Arial"/>
          <w:sz w:val="14"/>
          <w:szCs w:val="14"/>
          <w:color w:val="005C7D"/>
        </w:rPr>
        <w:t>PROXY STATEMENT SUMMARY</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BOARD NOMINEES</w:t>
      </w:r>
    </w:p>
    <w:p>
      <w:pPr>
        <w:spacing w:after="0" w:line="175" w:lineRule="exact"/>
        <w:rPr>
          <w:sz w:val="20"/>
          <w:szCs w:val="20"/>
          <w:color w:val="auto"/>
        </w:rPr>
      </w:pPr>
    </w:p>
    <w:p>
      <w:pPr>
        <w:jc w:val="both"/>
        <w:ind w:left="240" w:right="40"/>
        <w:spacing w:after="0" w:line="264" w:lineRule="auto"/>
        <w:rPr>
          <w:rFonts w:ascii="Arial" w:cs="Arial" w:eastAsia="Arial" w:hAnsi="Arial"/>
          <w:sz w:val="18"/>
          <w:szCs w:val="18"/>
          <w:color w:val="0000EE"/>
        </w:rPr>
      </w:pPr>
      <w:r>
        <w:rPr>
          <w:rFonts w:ascii="Arial" w:cs="Arial" w:eastAsia="Arial" w:hAnsi="Arial"/>
          <w:sz w:val="18"/>
          <w:szCs w:val="18"/>
          <w:color w:val="auto"/>
        </w:rPr>
        <w:t xml:space="preserve">You are being asked to vote on the following ten nominees for director. All directors are elected annually by a majority of the votes cast. Information about each director’s experiences, qualifications, attributes and skills can be found beginning on page </w:t>
      </w:r>
      <w:hyperlink w:anchor="page16">
        <w:r>
          <w:rPr>
            <w:rFonts w:ascii="Arial" w:cs="Arial" w:eastAsia="Arial" w:hAnsi="Arial"/>
            <w:sz w:val="18"/>
            <w:szCs w:val="18"/>
            <w:u w:val="single" w:color="auto"/>
            <w:color w:val="0000EE"/>
          </w:rPr>
          <w:t>10</w:t>
        </w:r>
      </w:hyperlink>
      <w:r>
        <w:rPr>
          <w:rFonts w:ascii="Arial" w:cs="Arial" w:eastAsia="Arial" w:hAnsi="Arial"/>
          <w:sz w:val="18"/>
          <w:szCs w:val="18"/>
          <w:color w:val="000000"/>
        </w:rPr>
        <w:t>.</w:t>
      </w:r>
    </w:p>
    <w:p>
      <w:pPr>
        <w:spacing w:after="0" w:line="14"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360" w:type="dxa"/>
            <w:vAlign w:val="bottom"/>
            <w:tcBorders>
              <w:top w:val="single" w:sz="8" w:color="005C7D"/>
            </w:tcBorders>
          </w:tcPr>
          <w:p>
            <w:pPr>
              <w:spacing w:after="0"/>
              <w:rPr>
                <w:sz w:val="18"/>
                <w:szCs w:val="18"/>
                <w:color w:val="auto"/>
              </w:rPr>
            </w:pPr>
          </w:p>
        </w:tc>
        <w:tc>
          <w:tcPr>
            <w:tcW w:w="1220" w:type="dxa"/>
            <w:vAlign w:val="bottom"/>
            <w:tcBorders>
              <w:top w:val="single" w:sz="8" w:color="005C7D"/>
            </w:tcBorders>
          </w:tcPr>
          <w:p>
            <w:pPr>
              <w:spacing w:after="0"/>
              <w:rPr>
                <w:sz w:val="18"/>
                <w:szCs w:val="18"/>
                <w:color w:val="auto"/>
              </w:rPr>
            </w:pPr>
          </w:p>
        </w:tc>
        <w:tc>
          <w:tcPr>
            <w:tcW w:w="580" w:type="dxa"/>
            <w:vAlign w:val="bottom"/>
            <w:tcBorders>
              <w:top w:val="single" w:sz="8" w:color="005C7D"/>
            </w:tcBorders>
          </w:tcPr>
          <w:p>
            <w:pPr>
              <w:spacing w:after="0"/>
              <w:rPr>
                <w:sz w:val="18"/>
                <w:szCs w:val="18"/>
                <w:color w:val="auto"/>
              </w:rPr>
            </w:pPr>
          </w:p>
        </w:tc>
        <w:tc>
          <w:tcPr>
            <w:tcW w:w="700" w:type="dxa"/>
            <w:vAlign w:val="bottom"/>
            <w:tcBorders>
              <w:top w:val="single" w:sz="8" w:color="005C7D"/>
            </w:tcBorders>
          </w:tcPr>
          <w:p>
            <w:pPr>
              <w:spacing w:after="0"/>
              <w:rPr>
                <w:sz w:val="18"/>
                <w:szCs w:val="18"/>
                <w:color w:val="auto"/>
              </w:rPr>
            </w:pPr>
          </w:p>
        </w:tc>
        <w:tc>
          <w:tcPr>
            <w:tcW w:w="3760" w:type="dxa"/>
            <w:vAlign w:val="bottom"/>
            <w:tcBorders>
              <w:top w:val="single" w:sz="8" w:color="005C7D"/>
            </w:tcBorders>
          </w:tcPr>
          <w:p>
            <w:pPr>
              <w:spacing w:after="0"/>
              <w:rPr>
                <w:sz w:val="18"/>
                <w:szCs w:val="18"/>
                <w:color w:val="auto"/>
              </w:rPr>
            </w:pPr>
          </w:p>
        </w:tc>
        <w:tc>
          <w:tcPr>
            <w:tcW w:w="1220" w:type="dxa"/>
            <w:vAlign w:val="bottom"/>
            <w:tcBorders>
              <w:top w:val="single" w:sz="8" w:color="005C7D"/>
            </w:tcBorders>
          </w:tcPr>
          <w:p>
            <w:pPr>
              <w:spacing w:after="0"/>
              <w:rPr>
                <w:sz w:val="18"/>
                <w:szCs w:val="18"/>
                <w:color w:val="auto"/>
              </w:rPr>
            </w:pPr>
          </w:p>
        </w:tc>
        <w:tc>
          <w:tcPr>
            <w:tcW w:w="1240" w:type="dxa"/>
            <w:vAlign w:val="bottom"/>
            <w:tcBorders>
              <w:top w:val="single" w:sz="8" w:color="005C7D"/>
            </w:tcBorders>
          </w:tcPr>
          <w:p>
            <w:pPr>
              <w:jc w:val="center"/>
              <w:spacing w:after="0"/>
              <w:rPr>
                <w:sz w:val="20"/>
                <w:szCs w:val="20"/>
                <w:color w:val="auto"/>
              </w:rPr>
            </w:pPr>
            <w:r>
              <w:rPr>
                <w:rFonts w:ascii="Arial" w:cs="Arial" w:eastAsia="Arial" w:hAnsi="Arial"/>
                <w:sz w:val="16"/>
                <w:szCs w:val="16"/>
                <w:b w:val="1"/>
                <w:bCs w:val="1"/>
                <w:color w:val="auto"/>
                <w:w w:val="90"/>
              </w:rPr>
              <w:t>Board</w:t>
            </w:r>
          </w:p>
        </w:tc>
      </w:tr>
      <w:tr>
        <w:trPr>
          <w:trHeight w:val="203"/>
        </w:trPr>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60" w:type="dxa"/>
            <w:vAlign w:val="bottom"/>
            <w:gridSpan w:val="2"/>
          </w:tcPr>
          <w:p>
            <w:pPr>
              <w:jc w:val="center"/>
              <w:ind w:right="3440"/>
              <w:spacing w:after="0"/>
              <w:rPr>
                <w:sz w:val="20"/>
                <w:szCs w:val="20"/>
                <w:color w:val="auto"/>
              </w:rPr>
            </w:pPr>
            <w:r>
              <w:rPr>
                <w:rFonts w:ascii="Arial" w:cs="Arial" w:eastAsia="Arial" w:hAnsi="Arial"/>
                <w:sz w:val="16"/>
                <w:szCs w:val="16"/>
                <w:b w:val="1"/>
                <w:bCs w:val="1"/>
                <w:color w:val="auto"/>
                <w:w w:val="94"/>
              </w:rPr>
              <w:t>Director</w:t>
            </w:r>
          </w:p>
        </w:tc>
        <w:tc>
          <w:tcPr>
            <w:tcW w:w="12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Committee</w:t>
            </w:r>
          </w:p>
        </w:tc>
      </w:tr>
      <w:tr>
        <w:trPr>
          <w:trHeight w:val="223"/>
        </w:trPr>
        <w:tc>
          <w:tcPr>
            <w:tcW w:w="1580" w:type="dxa"/>
            <w:vAlign w:val="bottom"/>
            <w:tcBorders>
              <w:bottom w:val="single" w:sz="8" w:color="005C7D"/>
            </w:tcBorders>
            <w:gridSpan w:val="2"/>
          </w:tcPr>
          <w:p>
            <w:pPr>
              <w:ind w:left="60"/>
              <w:spacing w:after="0"/>
              <w:rPr>
                <w:sz w:val="20"/>
                <w:szCs w:val="20"/>
                <w:color w:val="auto"/>
              </w:rPr>
            </w:pPr>
            <w:r>
              <w:rPr>
                <w:rFonts w:ascii="Arial" w:cs="Arial" w:eastAsia="Arial" w:hAnsi="Arial"/>
                <w:sz w:val="16"/>
                <w:szCs w:val="16"/>
                <w:b w:val="1"/>
                <w:bCs w:val="1"/>
                <w:color w:val="auto"/>
              </w:rPr>
              <w:t>Name</w:t>
            </w:r>
          </w:p>
        </w:tc>
        <w:tc>
          <w:tcPr>
            <w:tcW w:w="580" w:type="dxa"/>
            <w:vAlign w:val="bottom"/>
            <w:tcBorders>
              <w:bottom w:val="single" w:sz="8" w:color="005C7D"/>
            </w:tcBorders>
          </w:tcPr>
          <w:p>
            <w:pPr>
              <w:jc w:val="center"/>
              <w:spacing w:after="0"/>
              <w:rPr>
                <w:sz w:val="20"/>
                <w:szCs w:val="20"/>
                <w:color w:val="auto"/>
              </w:rPr>
            </w:pPr>
            <w:r>
              <w:rPr>
                <w:rFonts w:ascii="Arial" w:cs="Arial" w:eastAsia="Arial" w:hAnsi="Arial"/>
                <w:sz w:val="16"/>
                <w:szCs w:val="16"/>
                <w:b w:val="1"/>
                <w:bCs w:val="1"/>
                <w:color w:val="auto"/>
                <w:w w:val="92"/>
              </w:rPr>
              <w:t>Age</w:t>
            </w:r>
          </w:p>
        </w:tc>
        <w:tc>
          <w:tcPr>
            <w:tcW w:w="700" w:type="dxa"/>
            <w:vAlign w:val="bottom"/>
            <w:tcBorders>
              <w:bottom w:val="single" w:sz="8" w:color="005C7D"/>
            </w:tcBorders>
          </w:tcPr>
          <w:p>
            <w:pPr>
              <w:jc w:val="center"/>
              <w:ind w:left="160"/>
              <w:spacing w:after="0"/>
              <w:rPr>
                <w:sz w:val="20"/>
                <w:szCs w:val="20"/>
                <w:color w:val="auto"/>
              </w:rPr>
            </w:pPr>
            <w:r>
              <w:rPr>
                <w:rFonts w:ascii="Arial" w:cs="Arial" w:eastAsia="Arial" w:hAnsi="Arial"/>
                <w:sz w:val="16"/>
                <w:szCs w:val="16"/>
                <w:b w:val="1"/>
                <w:bCs w:val="1"/>
                <w:color w:val="auto"/>
                <w:w w:val="88"/>
              </w:rPr>
              <w:t>Since</w:t>
            </w:r>
          </w:p>
        </w:tc>
        <w:tc>
          <w:tcPr>
            <w:tcW w:w="3760" w:type="dxa"/>
            <w:vAlign w:val="bottom"/>
            <w:tcBorders>
              <w:bottom w:val="single" w:sz="8" w:color="005C7D"/>
            </w:tcBorders>
          </w:tcPr>
          <w:p>
            <w:pPr>
              <w:ind w:left="1260"/>
              <w:spacing w:after="0"/>
              <w:rPr>
                <w:sz w:val="20"/>
                <w:szCs w:val="20"/>
                <w:color w:val="auto"/>
              </w:rPr>
            </w:pPr>
            <w:r>
              <w:rPr>
                <w:rFonts w:ascii="Arial" w:cs="Arial" w:eastAsia="Arial" w:hAnsi="Arial"/>
                <w:sz w:val="16"/>
                <w:szCs w:val="16"/>
                <w:b w:val="1"/>
                <w:bCs w:val="1"/>
                <w:color w:val="auto"/>
              </w:rPr>
              <w:t>Principal Occupation</w:t>
            </w:r>
          </w:p>
        </w:tc>
        <w:tc>
          <w:tcPr>
            <w:tcW w:w="1220" w:type="dxa"/>
            <w:vAlign w:val="bottom"/>
            <w:tcBorders>
              <w:bottom w:val="single" w:sz="8" w:color="005C7D"/>
            </w:tcBorders>
          </w:tcPr>
          <w:p>
            <w:pPr>
              <w:jc w:val="center"/>
              <w:spacing w:after="0"/>
              <w:rPr>
                <w:sz w:val="20"/>
                <w:szCs w:val="20"/>
                <w:color w:val="auto"/>
              </w:rPr>
            </w:pPr>
            <w:r>
              <w:rPr>
                <w:rFonts w:ascii="Arial" w:cs="Arial" w:eastAsia="Arial" w:hAnsi="Arial"/>
                <w:sz w:val="16"/>
                <w:szCs w:val="16"/>
                <w:b w:val="1"/>
                <w:bCs w:val="1"/>
                <w:color w:val="auto"/>
                <w:w w:val="92"/>
              </w:rPr>
              <w:t>Independent</w:t>
            </w:r>
          </w:p>
        </w:tc>
        <w:tc>
          <w:tcPr>
            <w:tcW w:w="1240" w:type="dxa"/>
            <w:vAlign w:val="bottom"/>
            <w:tcBorders>
              <w:bottom w:val="single" w:sz="8" w:color="005C7D"/>
            </w:tcBorders>
          </w:tcPr>
          <w:p>
            <w:pPr>
              <w:jc w:val="center"/>
              <w:spacing w:after="0"/>
              <w:rPr>
                <w:sz w:val="20"/>
                <w:szCs w:val="20"/>
                <w:color w:val="auto"/>
              </w:rPr>
            </w:pPr>
            <w:r>
              <w:rPr>
                <w:rFonts w:ascii="Arial" w:cs="Arial" w:eastAsia="Arial" w:hAnsi="Arial"/>
                <w:sz w:val="16"/>
                <w:szCs w:val="16"/>
                <w:b w:val="1"/>
                <w:bCs w:val="1"/>
                <w:color w:val="auto"/>
                <w:w w:val="95"/>
              </w:rPr>
              <w:t>Membership*</w:t>
            </w:r>
          </w:p>
        </w:tc>
      </w:tr>
      <w:tr>
        <w:trPr>
          <w:trHeight w:val="206"/>
        </w:trPr>
        <w:tc>
          <w:tcPr>
            <w:tcW w:w="1580" w:type="dxa"/>
            <w:vAlign w:val="bottom"/>
            <w:gridSpan w:val="2"/>
            <w:shd w:val="clear" w:color="auto" w:fill="CDDAE6"/>
          </w:tcPr>
          <w:p>
            <w:pPr>
              <w:ind w:left="60"/>
              <w:spacing w:after="0"/>
              <w:rPr>
                <w:sz w:val="20"/>
                <w:szCs w:val="20"/>
                <w:color w:val="auto"/>
              </w:rPr>
            </w:pPr>
            <w:r>
              <w:rPr>
                <w:rFonts w:ascii="Arial" w:cs="Arial" w:eastAsia="Arial" w:hAnsi="Arial"/>
                <w:sz w:val="16"/>
                <w:szCs w:val="16"/>
                <w:color w:val="auto"/>
              </w:rPr>
              <w:t>Claude R. Canizares</w:t>
            </w:r>
          </w:p>
        </w:tc>
        <w:tc>
          <w:tcPr>
            <w:tcW w:w="580" w:type="dxa"/>
            <w:vAlign w:val="bottom"/>
            <w:shd w:val="clear" w:color="auto" w:fill="CDDAE6"/>
          </w:tcPr>
          <w:p>
            <w:pPr>
              <w:jc w:val="center"/>
              <w:spacing w:after="0"/>
              <w:rPr>
                <w:sz w:val="20"/>
                <w:szCs w:val="20"/>
                <w:color w:val="auto"/>
              </w:rPr>
            </w:pPr>
            <w:r>
              <w:rPr>
                <w:rFonts w:ascii="Arial" w:cs="Arial" w:eastAsia="Arial" w:hAnsi="Arial"/>
                <w:sz w:val="16"/>
                <w:szCs w:val="16"/>
                <w:color w:val="auto"/>
                <w:w w:val="89"/>
              </w:rPr>
              <w:t>71</w:t>
            </w:r>
          </w:p>
        </w:tc>
        <w:tc>
          <w:tcPr>
            <w:tcW w:w="700" w:type="dxa"/>
            <w:vAlign w:val="bottom"/>
            <w:shd w:val="clear" w:color="auto" w:fill="CDDAE6"/>
          </w:tcPr>
          <w:p>
            <w:pPr>
              <w:jc w:val="center"/>
              <w:ind w:left="160"/>
              <w:spacing w:after="0"/>
              <w:rPr>
                <w:sz w:val="20"/>
                <w:szCs w:val="20"/>
                <w:color w:val="auto"/>
              </w:rPr>
            </w:pPr>
            <w:r>
              <w:rPr>
                <w:rFonts w:ascii="Arial" w:cs="Arial" w:eastAsia="Arial" w:hAnsi="Arial"/>
                <w:sz w:val="16"/>
                <w:szCs w:val="16"/>
                <w:color w:val="auto"/>
                <w:w w:val="95"/>
              </w:rPr>
              <w:t>2003</w:t>
            </w:r>
          </w:p>
        </w:tc>
        <w:tc>
          <w:tcPr>
            <w:tcW w:w="3760" w:type="dxa"/>
            <w:vAlign w:val="bottom"/>
            <w:shd w:val="clear" w:color="auto" w:fill="CDDAE6"/>
          </w:tcPr>
          <w:p>
            <w:pPr>
              <w:ind w:left="360"/>
              <w:spacing w:after="0"/>
              <w:rPr>
                <w:sz w:val="20"/>
                <w:szCs w:val="20"/>
                <w:color w:val="auto"/>
              </w:rPr>
            </w:pPr>
            <w:r>
              <w:rPr>
                <w:rFonts w:ascii="Arial" w:cs="Arial" w:eastAsia="Arial" w:hAnsi="Arial"/>
                <w:sz w:val="16"/>
                <w:szCs w:val="16"/>
                <w:color w:val="auto"/>
                <w:w w:val="95"/>
              </w:rPr>
              <w:t>Bruno Rossi Professor of Physics, Massachusetts</w:t>
            </w:r>
          </w:p>
        </w:tc>
        <w:tc>
          <w:tcPr>
            <w:tcW w:w="1220" w:type="dxa"/>
            <w:vAlign w:val="bottom"/>
            <w:shd w:val="clear" w:color="auto" w:fill="CDDAE6"/>
          </w:tcPr>
          <w:p>
            <w:pPr>
              <w:jc w:val="center"/>
              <w:spacing w:after="0"/>
              <w:rPr>
                <w:sz w:val="20"/>
                <w:szCs w:val="20"/>
                <w:color w:val="auto"/>
              </w:rPr>
            </w:pPr>
            <w:r>
              <w:rPr>
                <w:rFonts w:ascii="Arial" w:cs="Arial" w:eastAsia="Arial" w:hAnsi="Arial"/>
                <w:sz w:val="16"/>
                <w:szCs w:val="16"/>
                <w:color w:val="auto"/>
                <w:w w:val="86"/>
              </w:rPr>
              <w:t>Yes</w:t>
            </w:r>
          </w:p>
        </w:tc>
        <w:tc>
          <w:tcPr>
            <w:tcW w:w="1240" w:type="dxa"/>
            <w:vAlign w:val="bottom"/>
            <w:shd w:val="clear" w:color="auto" w:fill="CDDAE6"/>
          </w:tcPr>
          <w:p>
            <w:pPr>
              <w:jc w:val="center"/>
              <w:spacing w:after="0"/>
              <w:rPr>
                <w:sz w:val="20"/>
                <w:szCs w:val="20"/>
                <w:color w:val="auto"/>
              </w:rPr>
            </w:pPr>
            <w:r>
              <w:rPr>
                <w:rFonts w:ascii="Arial" w:cs="Arial" w:eastAsia="Arial" w:hAnsi="Arial"/>
                <w:sz w:val="16"/>
                <w:szCs w:val="16"/>
                <w:color w:val="auto"/>
                <w:w w:val="98"/>
              </w:rPr>
              <w:t>AC</w:t>
            </w:r>
          </w:p>
        </w:tc>
      </w:tr>
      <w:tr>
        <w:trPr>
          <w:trHeight w:val="226"/>
        </w:trPr>
        <w:tc>
          <w:tcPr>
            <w:tcW w:w="360" w:type="dxa"/>
            <w:vAlign w:val="bottom"/>
            <w:shd w:val="clear" w:color="auto" w:fill="CDDAE6"/>
          </w:tcPr>
          <w:p>
            <w:pPr>
              <w:spacing w:after="0"/>
              <w:rPr>
                <w:sz w:val="19"/>
                <w:szCs w:val="19"/>
                <w:color w:val="auto"/>
              </w:rPr>
            </w:pPr>
          </w:p>
        </w:tc>
        <w:tc>
          <w:tcPr>
            <w:tcW w:w="1220" w:type="dxa"/>
            <w:vAlign w:val="bottom"/>
            <w:shd w:val="clear" w:color="auto" w:fill="CDDAE6"/>
          </w:tcPr>
          <w:p>
            <w:pPr>
              <w:spacing w:after="0"/>
              <w:rPr>
                <w:sz w:val="19"/>
                <w:szCs w:val="19"/>
                <w:color w:val="auto"/>
              </w:rPr>
            </w:pPr>
          </w:p>
        </w:tc>
        <w:tc>
          <w:tcPr>
            <w:tcW w:w="580" w:type="dxa"/>
            <w:vAlign w:val="bottom"/>
            <w:shd w:val="clear" w:color="auto" w:fill="CDDAE6"/>
          </w:tcPr>
          <w:p>
            <w:pPr>
              <w:spacing w:after="0"/>
              <w:rPr>
                <w:sz w:val="19"/>
                <w:szCs w:val="19"/>
                <w:color w:val="auto"/>
              </w:rPr>
            </w:pPr>
          </w:p>
        </w:tc>
        <w:tc>
          <w:tcPr>
            <w:tcW w:w="700" w:type="dxa"/>
            <w:vAlign w:val="bottom"/>
            <w:shd w:val="clear" w:color="auto" w:fill="CDDAE6"/>
          </w:tcPr>
          <w:p>
            <w:pPr>
              <w:spacing w:after="0"/>
              <w:rPr>
                <w:sz w:val="19"/>
                <w:szCs w:val="19"/>
                <w:color w:val="auto"/>
              </w:rPr>
            </w:pPr>
          </w:p>
        </w:tc>
        <w:tc>
          <w:tcPr>
            <w:tcW w:w="3760" w:type="dxa"/>
            <w:vAlign w:val="bottom"/>
            <w:shd w:val="clear" w:color="auto" w:fill="CDDAE6"/>
          </w:tcPr>
          <w:p>
            <w:pPr>
              <w:ind w:left="360"/>
              <w:spacing w:after="0"/>
              <w:rPr>
                <w:sz w:val="20"/>
                <w:szCs w:val="20"/>
                <w:color w:val="auto"/>
              </w:rPr>
            </w:pPr>
            <w:r>
              <w:rPr>
                <w:rFonts w:ascii="Arial" w:cs="Arial" w:eastAsia="Arial" w:hAnsi="Arial"/>
                <w:sz w:val="16"/>
                <w:szCs w:val="16"/>
                <w:color w:val="auto"/>
              </w:rPr>
              <w:t>Institute of Technology</w:t>
            </w:r>
          </w:p>
        </w:tc>
        <w:tc>
          <w:tcPr>
            <w:tcW w:w="1220" w:type="dxa"/>
            <w:vAlign w:val="bottom"/>
            <w:shd w:val="clear" w:color="auto" w:fill="CDDAE6"/>
          </w:tcPr>
          <w:p>
            <w:pPr>
              <w:spacing w:after="0"/>
              <w:rPr>
                <w:sz w:val="19"/>
                <w:szCs w:val="19"/>
                <w:color w:val="auto"/>
              </w:rPr>
            </w:pPr>
          </w:p>
        </w:tc>
        <w:tc>
          <w:tcPr>
            <w:tcW w:w="1240" w:type="dxa"/>
            <w:vAlign w:val="bottom"/>
            <w:shd w:val="clear" w:color="auto" w:fill="CDDAE6"/>
          </w:tcPr>
          <w:p>
            <w:pPr>
              <w:spacing w:after="0"/>
              <w:rPr>
                <w:sz w:val="19"/>
                <w:szCs w:val="19"/>
                <w:color w:val="auto"/>
              </w:rPr>
            </w:pPr>
          </w:p>
        </w:tc>
      </w:tr>
      <w:tr>
        <w:trPr>
          <w:trHeight w:val="220"/>
        </w:trPr>
        <w:tc>
          <w:tcPr>
            <w:tcW w:w="1580" w:type="dxa"/>
            <w:vAlign w:val="bottom"/>
            <w:gridSpan w:val="2"/>
          </w:tcPr>
          <w:p>
            <w:pPr>
              <w:ind w:left="60"/>
              <w:spacing w:after="0"/>
              <w:rPr>
                <w:sz w:val="20"/>
                <w:szCs w:val="20"/>
                <w:color w:val="auto"/>
              </w:rPr>
            </w:pPr>
            <w:r>
              <w:rPr>
                <w:rFonts w:ascii="Arial" w:cs="Arial" w:eastAsia="Arial" w:hAnsi="Arial"/>
                <w:sz w:val="16"/>
                <w:szCs w:val="16"/>
                <w:color w:val="auto"/>
              </w:rPr>
              <w:t>Thomas A. Corcoran</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72</w:t>
            </w:r>
          </w:p>
        </w:tc>
        <w:tc>
          <w:tcPr>
            <w:tcW w:w="700" w:type="dxa"/>
            <w:vAlign w:val="bottom"/>
          </w:tcPr>
          <w:p>
            <w:pPr>
              <w:jc w:val="center"/>
              <w:ind w:left="160"/>
              <w:spacing w:after="0"/>
              <w:rPr>
                <w:sz w:val="20"/>
                <w:szCs w:val="20"/>
                <w:color w:val="auto"/>
              </w:rPr>
            </w:pPr>
            <w:r>
              <w:rPr>
                <w:rFonts w:ascii="Arial" w:cs="Arial" w:eastAsia="Arial" w:hAnsi="Arial"/>
                <w:sz w:val="16"/>
                <w:szCs w:val="16"/>
                <w:color w:val="auto"/>
                <w:w w:val="95"/>
              </w:rPr>
              <w:t>1997</w:t>
            </w:r>
          </w:p>
        </w:tc>
        <w:tc>
          <w:tcPr>
            <w:tcW w:w="3760" w:type="dxa"/>
            <w:vAlign w:val="bottom"/>
          </w:tcPr>
          <w:p>
            <w:pPr>
              <w:ind w:left="360"/>
              <w:spacing w:after="0"/>
              <w:rPr>
                <w:sz w:val="20"/>
                <w:szCs w:val="20"/>
                <w:color w:val="auto"/>
              </w:rPr>
            </w:pPr>
            <w:r>
              <w:rPr>
                <w:rFonts w:ascii="Arial" w:cs="Arial" w:eastAsia="Arial" w:hAnsi="Arial"/>
                <w:sz w:val="16"/>
                <w:szCs w:val="16"/>
                <w:color w:val="auto"/>
              </w:rPr>
              <w:t>President, Corcoran Enterprises, LLC</w:t>
            </w:r>
          </w:p>
        </w:tc>
        <w:tc>
          <w:tcPr>
            <w:tcW w:w="1220" w:type="dxa"/>
            <w:vAlign w:val="bottom"/>
          </w:tcPr>
          <w:p>
            <w:pPr>
              <w:jc w:val="center"/>
              <w:spacing w:after="0"/>
              <w:rPr>
                <w:sz w:val="20"/>
                <w:szCs w:val="20"/>
                <w:color w:val="auto"/>
              </w:rPr>
            </w:pPr>
            <w:r>
              <w:rPr>
                <w:rFonts w:ascii="Arial" w:cs="Arial" w:eastAsia="Arial" w:hAnsi="Arial"/>
                <w:sz w:val="16"/>
                <w:szCs w:val="16"/>
                <w:color w:val="auto"/>
                <w:w w:val="86"/>
              </w:rPr>
              <w:t>Yes</w:t>
            </w:r>
          </w:p>
        </w:tc>
        <w:tc>
          <w:tcPr>
            <w:tcW w:w="1240" w:type="dxa"/>
            <w:vAlign w:val="bottom"/>
          </w:tcPr>
          <w:p>
            <w:pPr>
              <w:jc w:val="center"/>
              <w:spacing w:after="0"/>
              <w:rPr>
                <w:sz w:val="20"/>
                <w:szCs w:val="20"/>
                <w:color w:val="auto"/>
              </w:rPr>
            </w:pPr>
            <w:r>
              <w:rPr>
                <w:rFonts w:ascii="Arial" w:cs="Arial" w:eastAsia="Arial" w:hAnsi="Arial"/>
                <w:sz w:val="16"/>
                <w:szCs w:val="16"/>
                <w:color w:val="auto"/>
                <w:w w:val="98"/>
              </w:rPr>
              <w:t>AC</w:t>
            </w:r>
          </w:p>
        </w:tc>
      </w:tr>
      <w:tr>
        <w:trPr>
          <w:trHeight w:val="216"/>
        </w:trPr>
        <w:tc>
          <w:tcPr>
            <w:tcW w:w="1580" w:type="dxa"/>
            <w:vAlign w:val="bottom"/>
            <w:gridSpan w:val="2"/>
            <w:shd w:val="clear" w:color="auto" w:fill="CDDAE6"/>
          </w:tcPr>
          <w:p>
            <w:pPr>
              <w:ind w:left="60"/>
              <w:spacing w:after="0"/>
              <w:rPr>
                <w:sz w:val="20"/>
                <w:szCs w:val="20"/>
                <w:color w:val="auto"/>
              </w:rPr>
            </w:pPr>
            <w:r>
              <w:rPr>
                <w:rFonts w:ascii="Arial" w:cs="Arial" w:eastAsia="Arial" w:hAnsi="Arial"/>
                <w:sz w:val="16"/>
                <w:szCs w:val="16"/>
                <w:color w:val="auto"/>
              </w:rPr>
              <w:t>Ann E. Dunwoody</w:t>
            </w:r>
          </w:p>
        </w:tc>
        <w:tc>
          <w:tcPr>
            <w:tcW w:w="580" w:type="dxa"/>
            <w:vAlign w:val="bottom"/>
            <w:shd w:val="clear" w:color="auto" w:fill="CDDAE6"/>
          </w:tcPr>
          <w:p>
            <w:pPr>
              <w:jc w:val="center"/>
              <w:spacing w:after="0"/>
              <w:rPr>
                <w:sz w:val="20"/>
                <w:szCs w:val="20"/>
                <w:color w:val="auto"/>
              </w:rPr>
            </w:pPr>
            <w:r>
              <w:rPr>
                <w:rFonts w:ascii="Arial" w:cs="Arial" w:eastAsia="Arial" w:hAnsi="Arial"/>
                <w:sz w:val="16"/>
                <w:szCs w:val="16"/>
                <w:color w:val="auto"/>
                <w:w w:val="89"/>
              </w:rPr>
              <w:t>64</w:t>
            </w:r>
          </w:p>
        </w:tc>
        <w:tc>
          <w:tcPr>
            <w:tcW w:w="700" w:type="dxa"/>
            <w:vAlign w:val="bottom"/>
            <w:shd w:val="clear" w:color="auto" w:fill="CDDAE6"/>
          </w:tcPr>
          <w:p>
            <w:pPr>
              <w:jc w:val="center"/>
              <w:ind w:left="160"/>
              <w:spacing w:after="0"/>
              <w:rPr>
                <w:sz w:val="20"/>
                <w:szCs w:val="20"/>
                <w:color w:val="auto"/>
              </w:rPr>
            </w:pPr>
            <w:r>
              <w:rPr>
                <w:rFonts w:ascii="Arial" w:cs="Arial" w:eastAsia="Arial" w:hAnsi="Arial"/>
                <w:sz w:val="16"/>
                <w:szCs w:val="16"/>
                <w:color w:val="auto"/>
                <w:w w:val="95"/>
              </w:rPr>
              <w:t>2013</w:t>
            </w:r>
          </w:p>
        </w:tc>
        <w:tc>
          <w:tcPr>
            <w:tcW w:w="3760" w:type="dxa"/>
            <w:vAlign w:val="bottom"/>
            <w:shd w:val="clear" w:color="auto" w:fill="CDDAE6"/>
          </w:tcPr>
          <w:p>
            <w:pPr>
              <w:ind w:left="360"/>
              <w:spacing w:after="0"/>
              <w:rPr>
                <w:sz w:val="20"/>
                <w:szCs w:val="20"/>
                <w:color w:val="auto"/>
              </w:rPr>
            </w:pPr>
            <w:r>
              <w:rPr>
                <w:rFonts w:ascii="Arial" w:cs="Arial" w:eastAsia="Arial" w:hAnsi="Arial"/>
                <w:sz w:val="16"/>
                <w:szCs w:val="16"/>
                <w:color w:val="auto"/>
              </w:rPr>
              <w:t>General (Ret.), U.S. Army and Chief Executive</w:t>
            </w:r>
          </w:p>
        </w:tc>
        <w:tc>
          <w:tcPr>
            <w:tcW w:w="1220" w:type="dxa"/>
            <w:vAlign w:val="bottom"/>
            <w:shd w:val="clear" w:color="auto" w:fill="CDDAE6"/>
          </w:tcPr>
          <w:p>
            <w:pPr>
              <w:jc w:val="center"/>
              <w:spacing w:after="0"/>
              <w:rPr>
                <w:sz w:val="20"/>
                <w:szCs w:val="20"/>
                <w:color w:val="auto"/>
              </w:rPr>
            </w:pPr>
            <w:r>
              <w:rPr>
                <w:rFonts w:ascii="Arial" w:cs="Arial" w:eastAsia="Arial" w:hAnsi="Arial"/>
                <w:sz w:val="16"/>
                <w:szCs w:val="16"/>
                <w:color w:val="auto"/>
                <w:w w:val="86"/>
              </w:rPr>
              <w:t>Yes</w:t>
            </w:r>
          </w:p>
        </w:tc>
        <w:tc>
          <w:tcPr>
            <w:tcW w:w="1240" w:type="dxa"/>
            <w:vAlign w:val="bottom"/>
            <w:shd w:val="clear" w:color="auto" w:fill="CDDAE6"/>
          </w:tcPr>
          <w:p>
            <w:pPr>
              <w:jc w:val="center"/>
              <w:spacing w:after="0"/>
              <w:rPr>
                <w:sz w:val="20"/>
                <w:szCs w:val="20"/>
                <w:color w:val="auto"/>
              </w:rPr>
            </w:pPr>
            <w:r>
              <w:rPr>
                <w:rFonts w:ascii="Arial" w:cs="Arial" w:eastAsia="Arial" w:hAnsi="Arial"/>
                <w:sz w:val="16"/>
                <w:szCs w:val="16"/>
                <w:color w:val="auto"/>
                <w:w w:val="95"/>
              </w:rPr>
              <w:t>NC</w:t>
            </w:r>
          </w:p>
        </w:tc>
      </w:tr>
      <w:tr>
        <w:trPr>
          <w:trHeight w:val="226"/>
        </w:trPr>
        <w:tc>
          <w:tcPr>
            <w:tcW w:w="360" w:type="dxa"/>
            <w:vAlign w:val="bottom"/>
            <w:shd w:val="clear" w:color="auto" w:fill="CDDAE6"/>
          </w:tcPr>
          <w:p>
            <w:pPr>
              <w:spacing w:after="0"/>
              <w:rPr>
                <w:sz w:val="19"/>
                <w:szCs w:val="19"/>
                <w:color w:val="auto"/>
              </w:rPr>
            </w:pPr>
          </w:p>
        </w:tc>
        <w:tc>
          <w:tcPr>
            <w:tcW w:w="1220" w:type="dxa"/>
            <w:vAlign w:val="bottom"/>
            <w:shd w:val="clear" w:color="auto" w:fill="CDDAE6"/>
          </w:tcPr>
          <w:p>
            <w:pPr>
              <w:spacing w:after="0"/>
              <w:rPr>
                <w:sz w:val="19"/>
                <w:szCs w:val="19"/>
                <w:color w:val="auto"/>
              </w:rPr>
            </w:pPr>
          </w:p>
        </w:tc>
        <w:tc>
          <w:tcPr>
            <w:tcW w:w="580" w:type="dxa"/>
            <w:vAlign w:val="bottom"/>
            <w:shd w:val="clear" w:color="auto" w:fill="CDDAE6"/>
          </w:tcPr>
          <w:p>
            <w:pPr>
              <w:spacing w:after="0"/>
              <w:rPr>
                <w:sz w:val="19"/>
                <w:szCs w:val="19"/>
                <w:color w:val="auto"/>
              </w:rPr>
            </w:pPr>
          </w:p>
        </w:tc>
        <w:tc>
          <w:tcPr>
            <w:tcW w:w="700" w:type="dxa"/>
            <w:vAlign w:val="bottom"/>
            <w:shd w:val="clear" w:color="auto" w:fill="CDDAE6"/>
          </w:tcPr>
          <w:p>
            <w:pPr>
              <w:spacing w:after="0"/>
              <w:rPr>
                <w:sz w:val="19"/>
                <w:szCs w:val="19"/>
                <w:color w:val="auto"/>
              </w:rPr>
            </w:pPr>
          </w:p>
        </w:tc>
        <w:tc>
          <w:tcPr>
            <w:tcW w:w="3760" w:type="dxa"/>
            <w:vAlign w:val="bottom"/>
            <w:shd w:val="clear" w:color="auto" w:fill="CDDAE6"/>
          </w:tcPr>
          <w:p>
            <w:pPr>
              <w:ind w:left="360"/>
              <w:spacing w:after="0"/>
              <w:rPr>
                <w:sz w:val="20"/>
                <w:szCs w:val="20"/>
                <w:color w:val="auto"/>
              </w:rPr>
            </w:pPr>
            <w:r>
              <w:rPr>
                <w:rFonts w:ascii="Arial" w:cs="Arial" w:eastAsia="Arial" w:hAnsi="Arial"/>
                <w:sz w:val="16"/>
                <w:szCs w:val="16"/>
                <w:color w:val="auto"/>
              </w:rPr>
              <w:t>Officer, First 2 Four LLC</w:t>
            </w:r>
          </w:p>
        </w:tc>
        <w:tc>
          <w:tcPr>
            <w:tcW w:w="1220" w:type="dxa"/>
            <w:vAlign w:val="bottom"/>
            <w:shd w:val="clear" w:color="auto" w:fill="CDDAE6"/>
          </w:tcPr>
          <w:p>
            <w:pPr>
              <w:spacing w:after="0"/>
              <w:rPr>
                <w:sz w:val="19"/>
                <w:szCs w:val="19"/>
                <w:color w:val="auto"/>
              </w:rPr>
            </w:pPr>
          </w:p>
        </w:tc>
        <w:tc>
          <w:tcPr>
            <w:tcW w:w="1240" w:type="dxa"/>
            <w:vAlign w:val="bottom"/>
            <w:shd w:val="clear" w:color="auto" w:fill="CDDAE6"/>
          </w:tcPr>
          <w:p>
            <w:pPr>
              <w:spacing w:after="0"/>
              <w:rPr>
                <w:sz w:val="19"/>
                <w:szCs w:val="19"/>
                <w:color w:val="auto"/>
              </w:rPr>
            </w:pPr>
          </w:p>
        </w:tc>
      </w:tr>
      <w:tr>
        <w:trPr>
          <w:trHeight w:val="220"/>
        </w:trPr>
        <w:tc>
          <w:tcPr>
            <w:tcW w:w="1580" w:type="dxa"/>
            <w:vAlign w:val="bottom"/>
            <w:gridSpan w:val="2"/>
          </w:tcPr>
          <w:p>
            <w:pPr>
              <w:ind w:left="60"/>
              <w:spacing w:after="0"/>
              <w:rPr>
                <w:sz w:val="20"/>
                <w:szCs w:val="20"/>
                <w:color w:val="auto"/>
              </w:rPr>
            </w:pPr>
            <w:r>
              <w:rPr>
                <w:rFonts w:ascii="Arial" w:cs="Arial" w:eastAsia="Arial" w:hAnsi="Arial"/>
                <w:sz w:val="16"/>
                <w:szCs w:val="16"/>
                <w:color w:val="auto"/>
              </w:rPr>
              <w:t>Lewis Kramer</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69</w:t>
            </w:r>
          </w:p>
        </w:tc>
        <w:tc>
          <w:tcPr>
            <w:tcW w:w="700" w:type="dxa"/>
            <w:vAlign w:val="bottom"/>
          </w:tcPr>
          <w:p>
            <w:pPr>
              <w:jc w:val="center"/>
              <w:ind w:left="160"/>
              <w:spacing w:after="0"/>
              <w:rPr>
                <w:sz w:val="20"/>
                <w:szCs w:val="20"/>
                <w:color w:val="auto"/>
              </w:rPr>
            </w:pPr>
            <w:r>
              <w:rPr>
                <w:rFonts w:ascii="Arial" w:cs="Arial" w:eastAsia="Arial" w:hAnsi="Arial"/>
                <w:sz w:val="16"/>
                <w:szCs w:val="16"/>
                <w:color w:val="auto"/>
                <w:w w:val="95"/>
              </w:rPr>
              <w:t>2009</w:t>
            </w:r>
          </w:p>
        </w:tc>
        <w:tc>
          <w:tcPr>
            <w:tcW w:w="3760" w:type="dxa"/>
            <w:vAlign w:val="bottom"/>
          </w:tcPr>
          <w:p>
            <w:pPr>
              <w:ind w:left="360"/>
              <w:spacing w:after="0"/>
              <w:rPr>
                <w:sz w:val="20"/>
                <w:szCs w:val="20"/>
                <w:color w:val="auto"/>
              </w:rPr>
            </w:pPr>
            <w:r>
              <w:rPr>
                <w:rFonts w:ascii="Arial" w:cs="Arial" w:eastAsia="Arial" w:hAnsi="Arial"/>
                <w:sz w:val="16"/>
                <w:szCs w:val="16"/>
                <w:color w:val="auto"/>
              </w:rPr>
              <w:t>Retired Partner, Ernst &amp; Young LLP</w:t>
            </w:r>
          </w:p>
        </w:tc>
        <w:tc>
          <w:tcPr>
            <w:tcW w:w="1220" w:type="dxa"/>
            <w:vAlign w:val="bottom"/>
          </w:tcPr>
          <w:p>
            <w:pPr>
              <w:jc w:val="center"/>
              <w:spacing w:after="0"/>
              <w:rPr>
                <w:sz w:val="20"/>
                <w:szCs w:val="20"/>
                <w:color w:val="auto"/>
              </w:rPr>
            </w:pPr>
            <w:r>
              <w:rPr>
                <w:rFonts w:ascii="Arial" w:cs="Arial" w:eastAsia="Arial" w:hAnsi="Arial"/>
                <w:sz w:val="16"/>
                <w:szCs w:val="16"/>
                <w:color w:val="auto"/>
                <w:w w:val="86"/>
              </w:rPr>
              <w:t>Yes</w:t>
            </w:r>
          </w:p>
        </w:tc>
        <w:tc>
          <w:tcPr>
            <w:tcW w:w="1240" w:type="dxa"/>
            <w:vAlign w:val="bottom"/>
          </w:tcPr>
          <w:p>
            <w:pPr>
              <w:jc w:val="center"/>
              <w:spacing w:after="0"/>
              <w:rPr>
                <w:sz w:val="20"/>
                <w:szCs w:val="20"/>
                <w:color w:val="auto"/>
              </w:rPr>
            </w:pPr>
            <w:r>
              <w:rPr>
                <w:rFonts w:ascii="Arial" w:cs="Arial" w:eastAsia="Arial" w:hAnsi="Arial"/>
                <w:sz w:val="16"/>
                <w:szCs w:val="16"/>
                <w:color w:val="auto"/>
                <w:w w:val="96"/>
              </w:rPr>
              <w:t>AC, CC, EC</w:t>
            </w:r>
          </w:p>
        </w:tc>
      </w:tr>
      <w:tr>
        <w:trPr>
          <w:trHeight w:val="216"/>
        </w:trPr>
        <w:tc>
          <w:tcPr>
            <w:tcW w:w="1580" w:type="dxa"/>
            <w:vAlign w:val="bottom"/>
            <w:gridSpan w:val="2"/>
            <w:shd w:val="clear" w:color="auto" w:fill="CDDAE6"/>
          </w:tcPr>
          <w:p>
            <w:pPr>
              <w:ind w:left="60"/>
              <w:spacing w:after="0"/>
              <w:rPr>
                <w:sz w:val="20"/>
                <w:szCs w:val="20"/>
                <w:color w:val="auto"/>
              </w:rPr>
            </w:pPr>
            <w:r>
              <w:rPr>
                <w:rFonts w:ascii="Arial" w:cs="Arial" w:eastAsia="Arial" w:hAnsi="Arial"/>
                <w:sz w:val="16"/>
                <w:szCs w:val="16"/>
                <w:color w:val="auto"/>
              </w:rPr>
              <w:t>Robert B. Millard</w:t>
            </w:r>
          </w:p>
        </w:tc>
        <w:tc>
          <w:tcPr>
            <w:tcW w:w="580" w:type="dxa"/>
            <w:vAlign w:val="bottom"/>
            <w:shd w:val="clear" w:color="auto" w:fill="CDDAE6"/>
          </w:tcPr>
          <w:p>
            <w:pPr>
              <w:jc w:val="center"/>
              <w:spacing w:after="0"/>
              <w:rPr>
                <w:sz w:val="20"/>
                <w:szCs w:val="20"/>
                <w:color w:val="auto"/>
              </w:rPr>
            </w:pPr>
            <w:r>
              <w:rPr>
                <w:rFonts w:ascii="Arial" w:cs="Arial" w:eastAsia="Arial" w:hAnsi="Arial"/>
                <w:sz w:val="16"/>
                <w:szCs w:val="16"/>
                <w:color w:val="auto"/>
                <w:w w:val="89"/>
              </w:rPr>
              <w:t>66</w:t>
            </w:r>
          </w:p>
        </w:tc>
        <w:tc>
          <w:tcPr>
            <w:tcW w:w="700" w:type="dxa"/>
            <w:vAlign w:val="bottom"/>
            <w:shd w:val="clear" w:color="auto" w:fill="CDDAE6"/>
          </w:tcPr>
          <w:p>
            <w:pPr>
              <w:jc w:val="center"/>
              <w:ind w:left="160"/>
              <w:spacing w:after="0"/>
              <w:rPr>
                <w:sz w:val="20"/>
                <w:szCs w:val="20"/>
                <w:color w:val="auto"/>
              </w:rPr>
            </w:pPr>
            <w:r>
              <w:rPr>
                <w:rFonts w:ascii="Arial" w:cs="Arial" w:eastAsia="Arial" w:hAnsi="Arial"/>
                <w:sz w:val="16"/>
                <w:szCs w:val="16"/>
                <w:color w:val="auto"/>
                <w:w w:val="95"/>
              </w:rPr>
              <w:t>1997</w:t>
            </w:r>
          </w:p>
        </w:tc>
        <w:tc>
          <w:tcPr>
            <w:tcW w:w="3760" w:type="dxa"/>
            <w:vAlign w:val="bottom"/>
            <w:shd w:val="clear" w:color="auto" w:fill="CDDAE6"/>
          </w:tcPr>
          <w:p>
            <w:pPr>
              <w:ind w:left="360"/>
              <w:spacing w:after="0"/>
              <w:rPr>
                <w:sz w:val="20"/>
                <w:szCs w:val="20"/>
                <w:color w:val="auto"/>
              </w:rPr>
            </w:pPr>
            <w:r>
              <w:rPr>
                <w:rFonts w:ascii="Arial" w:cs="Arial" w:eastAsia="Arial" w:hAnsi="Arial"/>
                <w:sz w:val="16"/>
                <w:szCs w:val="16"/>
                <w:color w:val="auto"/>
                <w:w w:val="96"/>
              </w:rPr>
              <w:t>Chairman, Massachusetts Institute of Technology</w:t>
            </w:r>
          </w:p>
        </w:tc>
        <w:tc>
          <w:tcPr>
            <w:tcW w:w="1220" w:type="dxa"/>
            <w:vAlign w:val="bottom"/>
            <w:shd w:val="clear" w:color="auto" w:fill="CDDAE6"/>
          </w:tcPr>
          <w:p>
            <w:pPr>
              <w:jc w:val="center"/>
              <w:spacing w:after="0"/>
              <w:rPr>
                <w:sz w:val="20"/>
                <w:szCs w:val="20"/>
                <w:color w:val="auto"/>
              </w:rPr>
            </w:pPr>
            <w:r>
              <w:rPr>
                <w:rFonts w:ascii="Arial" w:cs="Arial" w:eastAsia="Arial" w:hAnsi="Arial"/>
                <w:sz w:val="16"/>
                <w:szCs w:val="16"/>
                <w:color w:val="auto"/>
                <w:w w:val="86"/>
              </w:rPr>
              <w:t>Yes</w:t>
            </w:r>
          </w:p>
        </w:tc>
        <w:tc>
          <w:tcPr>
            <w:tcW w:w="1240" w:type="dxa"/>
            <w:vAlign w:val="bottom"/>
            <w:shd w:val="clear" w:color="auto" w:fill="CDDAE6"/>
          </w:tcPr>
          <w:p>
            <w:pPr>
              <w:jc w:val="center"/>
              <w:spacing w:after="0"/>
              <w:rPr>
                <w:sz w:val="20"/>
                <w:szCs w:val="20"/>
                <w:color w:val="auto"/>
              </w:rPr>
            </w:pPr>
            <w:r>
              <w:rPr>
                <w:rFonts w:ascii="Arial" w:cs="Arial" w:eastAsia="Arial" w:hAnsi="Arial"/>
                <w:sz w:val="16"/>
                <w:szCs w:val="16"/>
                <w:color w:val="auto"/>
                <w:w w:val="95"/>
              </w:rPr>
              <w:t>CC, EC, LD</w:t>
            </w:r>
          </w:p>
        </w:tc>
      </w:tr>
      <w:tr>
        <w:trPr>
          <w:trHeight w:val="226"/>
        </w:trPr>
        <w:tc>
          <w:tcPr>
            <w:tcW w:w="360" w:type="dxa"/>
            <w:vAlign w:val="bottom"/>
            <w:shd w:val="clear" w:color="auto" w:fill="CDDAE6"/>
          </w:tcPr>
          <w:p>
            <w:pPr>
              <w:spacing w:after="0"/>
              <w:rPr>
                <w:sz w:val="19"/>
                <w:szCs w:val="19"/>
                <w:color w:val="auto"/>
              </w:rPr>
            </w:pPr>
          </w:p>
        </w:tc>
        <w:tc>
          <w:tcPr>
            <w:tcW w:w="1220" w:type="dxa"/>
            <w:vAlign w:val="bottom"/>
            <w:shd w:val="clear" w:color="auto" w:fill="CDDAE6"/>
          </w:tcPr>
          <w:p>
            <w:pPr>
              <w:spacing w:after="0"/>
              <w:rPr>
                <w:sz w:val="19"/>
                <w:szCs w:val="19"/>
                <w:color w:val="auto"/>
              </w:rPr>
            </w:pPr>
          </w:p>
        </w:tc>
        <w:tc>
          <w:tcPr>
            <w:tcW w:w="580" w:type="dxa"/>
            <w:vAlign w:val="bottom"/>
            <w:shd w:val="clear" w:color="auto" w:fill="CDDAE6"/>
          </w:tcPr>
          <w:p>
            <w:pPr>
              <w:spacing w:after="0"/>
              <w:rPr>
                <w:sz w:val="19"/>
                <w:szCs w:val="19"/>
                <w:color w:val="auto"/>
              </w:rPr>
            </w:pPr>
          </w:p>
        </w:tc>
        <w:tc>
          <w:tcPr>
            <w:tcW w:w="700" w:type="dxa"/>
            <w:vAlign w:val="bottom"/>
            <w:shd w:val="clear" w:color="auto" w:fill="CDDAE6"/>
          </w:tcPr>
          <w:p>
            <w:pPr>
              <w:spacing w:after="0"/>
              <w:rPr>
                <w:sz w:val="19"/>
                <w:szCs w:val="19"/>
                <w:color w:val="auto"/>
              </w:rPr>
            </w:pPr>
          </w:p>
        </w:tc>
        <w:tc>
          <w:tcPr>
            <w:tcW w:w="3760" w:type="dxa"/>
            <w:vAlign w:val="bottom"/>
            <w:shd w:val="clear" w:color="auto" w:fill="CDDAE6"/>
          </w:tcPr>
          <w:p>
            <w:pPr>
              <w:ind w:left="360"/>
              <w:spacing w:after="0"/>
              <w:rPr>
                <w:sz w:val="20"/>
                <w:szCs w:val="20"/>
                <w:color w:val="auto"/>
              </w:rPr>
            </w:pPr>
            <w:r>
              <w:rPr>
                <w:rFonts w:ascii="Arial" w:cs="Arial" w:eastAsia="Arial" w:hAnsi="Arial"/>
                <w:sz w:val="16"/>
                <w:szCs w:val="16"/>
                <w:color w:val="auto"/>
              </w:rPr>
              <w:t>Corporation</w:t>
            </w:r>
          </w:p>
        </w:tc>
        <w:tc>
          <w:tcPr>
            <w:tcW w:w="1220" w:type="dxa"/>
            <w:vAlign w:val="bottom"/>
            <w:shd w:val="clear" w:color="auto" w:fill="CDDAE6"/>
          </w:tcPr>
          <w:p>
            <w:pPr>
              <w:spacing w:after="0"/>
              <w:rPr>
                <w:sz w:val="19"/>
                <w:szCs w:val="19"/>
                <w:color w:val="auto"/>
              </w:rPr>
            </w:pPr>
          </w:p>
        </w:tc>
        <w:tc>
          <w:tcPr>
            <w:tcW w:w="1240" w:type="dxa"/>
            <w:vAlign w:val="bottom"/>
            <w:shd w:val="clear" w:color="auto" w:fill="CDDAE6"/>
          </w:tcPr>
          <w:p>
            <w:pPr>
              <w:spacing w:after="0"/>
              <w:rPr>
                <w:sz w:val="19"/>
                <w:szCs w:val="19"/>
                <w:color w:val="auto"/>
              </w:rPr>
            </w:pPr>
          </w:p>
        </w:tc>
      </w:tr>
      <w:tr>
        <w:trPr>
          <w:trHeight w:val="206"/>
        </w:trPr>
        <w:tc>
          <w:tcPr>
            <w:tcW w:w="1580" w:type="dxa"/>
            <w:vAlign w:val="bottom"/>
            <w:gridSpan w:val="2"/>
          </w:tcPr>
          <w:p>
            <w:pPr>
              <w:ind w:left="60"/>
              <w:spacing w:after="0"/>
              <w:rPr>
                <w:sz w:val="20"/>
                <w:szCs w:val="20"/>
                <w:color w:val="auto"/>
              </w:rPr>
            </w:pPr>
            <w:r>
              <w:rPr>
                <w:rFonts w:ascii="Arial" w:cs="Arial" w:eastAsia="Arial" w:hAnsi="Arial"/>
                <w:sz w:val="16"/>
                <w:szCs w:val="16"/>
                <w:color w:val="auto"/>
              </w:rPr>
              <w:t>Lloyd W. Newton</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74</w:t>
            </w:r>
          </w:p>
        </w:tc>
        <w:tc>
          <w:tcPr>
            <w:tcW w:w="700" w:type="dxa"/>
            <w:vAlign w:val="bottom"/>
          </w:tcPr>
          <w:p>
            <w:pPr>
              <w:jc w:val="center"/>
              <w:ind w:left="160"/>
              <w:spacing w:after="0"/>
              <w:rPr>
                <w:sz w:val="20"/>
                <w:szCs w:val="20"/>
                <w:color w:val="auto"/>
              </w:rPr>
            </w:pPr>
            <w:r>
              <w:rPr>
                <w:rFonts w:ascii="Arial" w:cs="Arial" w:eastAsia="Arial" w:hAnsi="Arial"/>
                <w:sz w:val="16"/>
                <w:szCs w:val="16"/>
                <w:color w:val="auto"/>
                <w:w w:val="95"/>
              </w:rPr>
              <w:t>2012</w:t>
            </w:r>
          </w:p>
        </w:tc>
        <w:tc>
          <w:tcPr>
            <w:tcW w:w="3760" w:type="dxa"/>
            <w:vAlign w:val="bottom"/>
          </w:tcPr>
          <w:p>
            <w:pPr>
              <w:ind w:left="360"/>
              <w:spacing w:after="0"/>
              <w:rPr>
                <w:sz w:val="20"/>
                <w:szCs w:val="20"/>
                <w:color w:val="auto"/>
              </w:rPr>
            </w:pPr>
            <w:r>
              <w:rPr>
                <w:rFonts w:ascii="Arial" w:cs="Arial" w:eastAsia="Arial" w:hAnsi="Arial"/>
                <w:sz w:val="16"/>
                <w:szCs w:val="16"/>
                <w:color w:val="auto"/>
              </w:rPr>
              <w:t>General (Ret.), U.S. Air Force and Retired</w:t>
            </w:r>
          </w:p>
        </w:tc>
        <w:tc>
          <w:tcPr>
            <w:tcW w:w="1220" w:type="dxa"/>
            <w:vAlign w:val="bottom"/>
          </w:tcPr>
          <w:p>
            <w:pPr>
              <w:jc w:val="center"/>
              <w:spacing w:after="0"/>
              <w:rPr>
                <w:sz w:val="20"/>
                <w:szCs w:val="20"/>
                <w:color w:val="auto"/>
              </w:rPr>
            </w:pPr>
            <w:r>
              <w:rPr>
                <w:rFonts w:ascii="Arial" w:cs="Arial" w:eastAsia="Arial" w:hAnsi="Arial"/>
                <w:sz w:val="16"/>
                <w:szCs w:val="16"/>
                <w:color w:val="auto"/>
                <w:w w:val="86"/>
              </w:rPr>
              <w:t>Yes</w:t>
            </w:r>
          </w:p>
        </w:tc>
        <w:tc>
          <w:tcPr>
            <w:tcW w:w="1240" w:type="dxa"/>
            <w:vAlign w:val="bottom"/>
          </w:tcPr>
          <w:p>
            <w:pPr>
              <w:jc w:val="center"/>
              <w:spacing w:after="0"/>
              <w:rPr>
                <w:sz w:val="20"/>
                <w:szCs w:val="20"/>
                <w:color w:val="auto"/>
              </w:rPr>
            </w:pPr>
            <w:r>
              <w:rPr>
                <w:rFonts w:ascii="Arial" w:cs="Arial" w:eastAsia="Arial" w:hAnsi="Arial"/>
                <w:sz w:val="16"/>
                <w:szCs w:val="16"/>
                <w:color w:val="auto"/>
                <w:w w:val="95"/>
              </w:rPr>
              <w:t>CC</w:t>
            </w:r>
          </w:p>
        </w:tc>
      </w:tr>
      <w:tr>
        <w:trPr>
          <w:trHeight w:val="203"/>
        </w:trPr>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760" w:type="dxa"/>
            <w:vAlign w:val="bottom"/>
          </w:tcPr>
          <w:p>
            <w:pPr>
              <w:ind w:left="360"/>
              <w:spacing w:after="0"/>
              <w:rPr>
                <w:sz w:val="20"/>
                <w:szCs w:val="20"/>
                <w:color w:val="auto"/>
              </w:rPr>
            </w:pPr>
            <w:r>
              <w:rPr>
                <w:rFonts w:ascii="Arial" w:cs="Arial" w:eastAsia="Arial" w:hAnsi="Arial"/>
                <w:sz w:val="16"/>
                <w:szCs w:val="16"/>
                <w:color w:val="auto"/>
              </w:rPr>
              <w:t>Executive Vice President, Pratt &amp; Whitney</w:t>
            </w: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ind w:left="360"/>
              <w:spacing w:after="0"/>
              <w:rPr>
                <w:sz w:val="20"/>
                <w:szCs w:val="20"/>
                <w:color w:val="auto"/>
              </w:rPr>
            </w:pPr>
            <w:r>
              <w:rPr>
                <w:rFonts w:ascii="Arial" w:cs="Arial" w:eastAsia="Arial" w:hAnsi="Arial"/>
                <w:sz w:val="16"/>
                <w:szCs w:val="16"/>
                <w:color w:val="auto"/>
              </w:rPr>
              <w:t>Military Engines</w:t>
            </w: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9"/>
        </w:trPr>
        <w:tc>
          <w:tcPr>
            <w:tcW w:w="1580" w:type="dxa"/>
            <w:vAlign w:val="bottom"/>
            <w:gridSpan w:val="2"/>
            <w:shd w:val="clear" w:color="auto" w:fill="CDDAE6"/>
          </w:tcPr>
          <w:p>
            <w:pPr>
              <w:ind w:left="60"/>
              <w:spacing w:after="0"/>
              <w:rPr>
                <w:sz w:val="20"/>
                <w:szCs w:val="20"/>
                <w:color w:val="auto"/>
              </w:rPr>
            </w:pPr>
            <w:r>
              <w:rPr>
                <w:rFonts w:ascii="Arial" w:cs="Arial" w:eastAsia="Arial" w:hAnsi="Arial"/>
                <w:sz w:val="16"/>
                <w:szCs w:val="16"/>
                <w:color w:val="auto"/>
              </w:rPr>
              <w:t>Vincent Pagano, Jr.</w:t>
            </w:r>
          </w:p>
        </w:tc>
        <w:tc>
          <w:tcPr>
            <w:tcW w:w="580" w:type="dxa"/>
            <w:vAlign w:val="bottom"/>
            <w:shd w:val="clear" w:color="auto" w:fill="CDDAE6"/>
          </w:tcPr>
          <w:p>
            <w:pPr>
              <w:jc w:val="center"/>
              <w:spacing w:after="0"/>
              <w:rPr>
                <w:sz w:val="20"/>
                <w:szCs w:val="20"/>
                <w:color w:val="auto"/>
              </w:rPr>
            </w:pPr>
            <w:r>
              <w:rPr>
                <w:rFonts w:ascii="Arial" w:cs="Arial" w:eastAsia="Arial" w:hAnsi="Arial"/>
                <w:sz w:val="16"/>
                <w:szCs w:val="16"/>
                <w:color w:val="auto"/>
                <w:w w:val="89"/>
              </w:rPr>
              <w:t>66</w:t>
            </w:r>
          </w:p>
        </w:tc>
        <w:tc>
          <w:tcPr>
            <w:tcW w:w="700" w:type="dxa"/>
            <w:vAlign w:val="bottom"/>
            <w:shd w:val="clear" w:color="auto" w:fill="CDDAE6"/>
          </w:tcPr>
          <w:p>
            <w:pPr>
              <w:jc w:val="center"/>
              <w:ind w:left="160"/>
              <w:spacing w:after="0"/>
              <w:rPr>
                <w:sz w:val="20"/>
                <w:szCs w:val="20"/>
                <w:color w:val="auto"/>
              </w:rPr>
            </w:pPr>
            <w:r>
              <w:rPr>
                <w:rFonts w:ascii="Arial" w:cs="Arial" w:eastAsia="Arial" w:hAnsi="Arial"/>
                <w:sz w:val="16"/>
                <w:szCs w:val="16"/>
                <w:color w:val="auto"/>
                <w:w w:val="95"/>
              </w:rPr>
              <w:t>2013</w:t>
            </w:r>
          </w:p>
        </w:tc>
        <w:tc>
          <w:tcPr>
            <w:tcW w:w="3760" w:type="dxa"/>
            <w:vAlign w:val="bottom"/>
            <w:shd w:val="clear" w:color="auto" w:fill="CDDAE6"/>
          </w:tcPr>
          <w:p>
            <w:pPr>
              <w:ind w:left="360"/>
              <w:spacing w:after="0"/>
              <w:rPr>
                <w:sz w:val="20"/>
                <w:szCs w:val="20"/>
                <w:color w:val="auto"/>
              </w:rPr>
            </w:pPr>
            <w:r>
              <w:rPr>
                <w:rFonts w:ascii="Arial" w:cs="Arial" w:eastAsia="Arial" w:hAnsi="Arial"/>
                <w:sz w:val="16"/>
                <w:szCs w:val="16"/>
                <w:color w:val="auto"/>
                <w:w w:val="97"/>
              </w:rPr>
              <w:t>Retired Partner, Simpson Thacher &amp; Bartlett LLP</w:t>
            </w:r>
          </w:p>
        </w:tc>
        <w:tc>
          <w:tcPr>
            <w:tcW w:w="1220" w:type="dxa"/>
            <w:vAlign w:val="bottom"/>
            <w:shd w:val="clear" w:color="auto" w:fill="CDDAE6"/>
          </w:tcPr>
          <w:p>
            <w:pPr>
              <w:jc w:val="center"/>
              <w:spacing w:after="0"/>
              <w:rPr>
                <w:sz w:val="20"/>
                <w:szCs w:val="20"/>
                <w:color w:val="auto"/>
              </w:rPr>
            </w:pPr>
            <w:r>
              <w:rPr>
                <w:rFonts w:ascii="Arial" w:cs="Arial" w:eastAsia="Arial" w:hAnsi="Arial"/>
                <w:sz w:val="16"/>
                <w:szCs w:val="16"/>
                <w:color w:val="auto"/>
                <w:w w:val="86"/>
              </w:rPr>
              <w:t>Yes</w:t>
            </w:r>
          </w:p>
        </w:tc>
        <w:tc>
          <w:tcPr>
            <w:tcW w:w="1240" w:type="dxa"/>
            <w:vAlign w:val="bottom"/>
            <w:shd w:val="clear" w:color="auto" w:fill="CDDAE6"/>
          </w:tcPr>
          <w:p>
            <w:pPr>
              <w:jc w:val="center"/>
              <w:spacing w:after="0"/>
              <w:rPr>
                <w:sz w:val="20"/>
                <w:szCs w:val="20"/>
                <w:color w:val="auto"/>
              </w:rPr>
            </w:pPr>
            <w:r>
              <w:rPr>
                <w:rFonts w:ascii="Arial" w:cs="Arial" w:eastAsia="Arial" w:hAnsi="Arial"/>
                <w:sz w:val="16"/>
                <w:szCs w:val="16"/>
                <w:color w:val="auto"/>
                <w:w w:val="96"/>
              </w:rPr>
              <w:t>AC, NC, EC</w:t>
            </w:r>
          </w:p>
        </w:tc>
      </w:tr>
      <w:tr>
        <w:trPr>
          <w:trHeight w:val="220"/>
        </w:trPr>
        <w:tc>
          <w:tcPr>
            <w:tcW w:w="1580" w:type="dxa"/>
            <w:vAlign w:val="bottom"/>
            <w:gridSpan w:val="2"/>
          </w:tcPr>
          <w:p>
            <w:pPr>
              <w:ind w:left="60"/>
              <w:spacing w:after="0"/>
              <w:rPr>
                <w:sz w:val="20"/>
                <w:szCs w:val="20"/>
                <w:color w:val="auto"/>
              </w:rPr>
            </w:pPr>
            <w:r>
              <w:rPr>
                <w:rFonts w:ascii="Arial" w:cs="Arial" w:eastAsia="Arial" w:hAnsi="Arial"/>
                <w:sz w:val="16"/>
                <w:szCs w:val="16"/>
                <w:color w:val="auto"/>
              </w:rPr>
              <w:t>H. Hugh Shelton</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75</w:t>
            </w:r>
          </w:p>
        </w:tc>
        <w:tc>
          <w:tcPr>
            <w:tcW w:w="700" w:type="dxa"/>
            <w:vAlign w:val="bottom"/>
          </w:tcPr>
          <w:p>
            <w:pPr>
              <w:jc w:val="center"/>
              <w:ind w:left="180"/>
              <w:spacing w:after="0"/>
              <w:rPr>
                <w:sz w:val="20"/>
                <w:szCs w:val="20"/>
                <w:color w:val="auto"/>
              </w:rPr>
            </w:pPr>
            <w:r>
              <w:rPr>
                <w:rFonts w:ascii="Arial" w:cs="Arial" w:eastAsia="Arial" w:hAnsi="Arial"/>
                <w:sz w:val="16"/>
                <w:szCs w:val="16"/>
                <w:color w:val="auto"/>
                <w:w w:val="89"/>
              </w:rPr>
              <w:t>2011</w:t>
            </w:r>
          </w:p>
        </w:tc>
        <w:tc>
          <w:tcPr>
            <w:tcW w:w="3760" w:type="dxa"/>
            <w:vAlign w:val="bottom"/>
          </w:tcPr>
          <w:p>
            <w:pPr>
              <w:ind w:left="360"/>
              <w:spacing w:after="0"/>
              <w:rPr>
                <w:sz w:val="20"/>
                <w:szCs w:val="20"/>
                <w:color w:val="auto"/>
              </w:rPr>
            </w:pPr>
            <w:r>
              <w:rPr>
                <w:rFonts w:ascii="Arial" w:cs="Arial" w:eastAsia="Arial" w:hAnsi="Arial"/>
                <w:sz w:val="16"/>
                <w:szCs w:val="16"/>
                <w:color w:val="auto"/>
              </w:rPr>
              <w:t>General (Ret.), U.S. Army</w:t>
            </w:r>
          </w:p>
        </w:tc>
        <w:tc>
          <w:tcPr>
            <w:tcW w:w="1220" w:type="dxa"/>
            <w:vAlign w:val="bottom"/>
          </w:tcPr>
          <w:p>
            <w:pPr>
              <w:jc w:val="center"/>
              <w:spacing w:after="0"/>
              <w:rPr>
                <w:sz w:val="20"/>
                <w:szCs w:val="20"/>
                <w:color w:val="auto"/>
              </w:rPr>
            </w:pPr>
            <w:r>
              <w:rPr>
                <w:rFonts w:ascii="Arial" w:cs="Arial" w:eastAsia="Arial" w:hAnsi="Arial"/>
                <w:sz w:val="16"/>
                <w:szCs w:val="16"/>
                <w:color w:val="auto"/>
                <w:w w:val="86"/>
              </w:rPr>
              <w:t>Yes</w:t>
            </w:r>
          </w:p>
        </w:tc>
        <w:tc>
          <w:tcPr>
            <w:tcW w:w="1240" w:type="dxa"/>
            <w:vAlign w:val="bottom"/>
          </w:tcPr>
          <w:p>
            <w:pPr>
              <w:jc w:val="center"/>
              <w:spacing w:after="0"/>
              <w:rPr>
                <w:sz w:val="20"/>
                <w:szCs w:val="20"/>
                <w:color w:val="auto"/>
              </w:rPr>
            </w:pPr>
            <w:r>
              <w:rPr>
                <w:rFonts w:ascii="Arial" w:cs="Arial" w:eastAsia="Arial" w:hAnsi="Arial"/>
                <w:sz w:val="16"/>
                <w:szCs w:val="16"/>
                <w:color w:val="auto"/>
                <w:w w:val="95"/>
              </w:rPr>
              <w:t>NC</w:t>
            </w:r>
          </w:p>
        </w:tc>
      </w:tr>
      <w:tr>
        <w:trPr>
          <w:trHeight w:val="239"/>
        </w:trPr>
        <w:tc>
          <w:tcPr>
            <w:tcW w:w="1580" w:type="dxa"/>
            <w:vAlign w:val="bottom"/>
            <w:gridSpan w:val="2"/>
            <w:shd w:val="clear" w:color="auto" w:fill="CDDAE6"/>
          </w:tcPr>
          <w:p>
            <w:pPr>
              <w:ind w:left="60"/>
              <w:spacing w:after="0"/>
              <w:rPr>
                <w:sz w:val="20"/>
                <w:szCs w:val="20"/>
                <w:color w:val="auto"/>
              </w:rPr>
            </w:pPr>
            <w:r>
              <w:rPr>
                <w:rFonts w:ascii="Arial" w:cs="Arial" w:eastAsia="Arial" w:hAnsi="Arial"/>
                <w:sz w:val="16"/>
                <w:szCs w:val="16"/>
                <w:color w:val="auto"/>
              </w:rPr>
              <w:t>Arthur L. Simon</w:t>
            </w:r>
          </w:p>
        </w:tc>
        <w:tc>
          <w:tcPr>
            <w:tcW w:w="580" w:type="dxa"/>
            <w:vAlign w:val="bottom"/>
            <w:shd w:val="clear" w:color="auto" w:fill="CDDAE6"/>
          </w:tcPr>
          <w:p>
            <w:pPr>
              <w:jc w:val="center"/>
              <w:spacing w:after="0"/>
              <w:rPr>
                <w:sz w:val="20"/>
                <w:szCs w:val="20"/>
                <w:color w:val="auto"/>
              </w:rPr>
            </w:pPr>
            <w:r>
              <w:rPr>
                <w:rFonts w:ascii="Arial" w:cs="Arial" w:eastAsia="Arial" w:hAnsi="Arial"/>
                <w:sz w:val="16"/>
                <w:szCs w:val="16"/>
                <w:color w:val="auto"/>
                <w:w w:val="89"/>
              </w:rPr>
              <w:t>85</w:t>
            </w:r>
          </w:p>
        </w:tc>
        <w:tc>
          <w:tcPr>
            <w:tcW w:w="700" w:type="dxa"/>
            <w:vAlign w:val="bottom"/>
            <w:shd w:val="clear" w:color="auto" w:fill="CDDAE6"/>
          </w:tcPr>
          <w:p>
            <w:pPr>
              <w:jc w:val="center"/>
              <w:ind w:left="160"/>
              <w:spacing w:after="0"/>
              <w:rPr>
                <w:sz w:val="20"/>
                <w:szCs w:val="20"/>
                <w:color w:val="auto"/>
              </w:rPr>
            </w:pPr>
            <w:r>
              <w:rPr>
                <w:rFonts w:ascii="Arial" w:cs="Arial" w:eastAsia="Arial" w:hAnsi="Arial"/>
                <w:sz w:val="16"/>
                <w:szCs w:val="16"/>
                <w:color w:val="auto"/>
                <w:w w:val="95"/>
              </w:rPr>
              <w:t>2001</w:t>
            </w:r>
          </w:p>
        </w:tc>
        <w:tc>
          <w:tcPr>
            <w:tcW w:w="3760" w:type="dxa"/>
            <w:vAlign w:val="bottom"/>
            <w:shd w:val="clear" w:color="auto" w:fill="CDDAE6"/>
          </w:tcPr>
          <w:p>
            <w:pPr>
              <w:ind w:left="360"/>
              <w:spacing w:after="0"/>
              <w:rPr>
                <w:sz w:val="20"/>
                <w:szCs w:val="20"/>
                <w:color w:val="auto"/>
              </w:rPr>
            </w:pPr>
            <w:r>
              <w:rPr>
                <w:rFonts w:ascii="Arial" w:cs="Arial" w:eastAsia="Arial" w:hAnsi="Arial"/>
                <w:sz w:val="16"/>
                <w:szCs w:val="16"/>
                <w:color w:val="auto"/>
              </w:rPr>
              <w:t>Retired Partner, Coopers &amp; Lybrand LLP</w:t>
            </w:r>
          </w:p>
        </w:tc>
        <w:tc>
          <w:tcPr>
            <w:tcW w:w="1220" w:type="dxa"/>
            <w:vAlign w:val="bottom"/>
            <w:shd w:val="clear" w:color="auto" w:fill="CDDAE6"/>
          </w:tcPr>
          <w:p>
            <w:pPr>
              <w:jc w:val="center"/>
              <w:spacing w:after="0"/>
              <w:rPr>
                <w:sz w:val="20"/>
                <w:szCs w:val="20"/>
                <w:color w:val="auto"/>
              </w:rPr>
            </w:pPr>
            <w:r>
              <w:rPr>
                <w:rFonts w:ascii="Arial" w:cs="Arial" w:eastAsia="Arial" w:hAnsi="Arial"/>
                <w:sz w:val="16"/>
                <w:szCs w:val="16"/>
                <w:color w:val="auto"/>
                <w:w w:val="86"/>
              </w:rPr>
              <w:t>Yes</w:t>
            </w:r>
          </w:p>
        </w:tc>
        <w:tc>
          <w:tcPr>
            <w:tcW w:w="1240" w:type="dxa"/>
            <w:vAlign w:val="bottom"/>
            <w:shd w:val="clear" w:color="auto" w:fill="CDDAE6"/>
          </w:tcPr>
          <w:p>
            <w:pPr>
              <w:jc w:val="center"/>
              <w:spacing w:after="0"/>
              <w:rPr>
                <w:sz w:val="20"/>
                <w:szCs w:val="20"/>
                <w:color w:val="auto"/>
              </w:rPr>
            </w:pPr>
            <w:r>
              <w:rPr>
                <w:rFonts w:ascii="Arial" w:cs="Arial" w:eastAsia="Arial" w:hAnsi="Arial"/>
                <w:sz w:val="16"/>
                <w:szCs w:val="16"/>
                <w:color w:val="auto"/>
                <w:w w:val="99"/>
              </w:rPr>
              <w:t>AC, NC</w:t>
            </w:r>
          </w:p>
        </w:tc>
      </w:tr>
      <w:tr>
        <w:trPr>
          <w:trHeight w:val="223"/>
        </w:trPr>
        <w:tc>
          <w:tcPr>
            <w:tcW w:w="1580" w:type="dxa"/>
            <w:vAlign w:val="bottom"/>
            <w:tcBorders>
              <w:bottom w:val="single" w:sz="8" w:color="005C7D"/>
            </w:tcBorders>
            <w:gridSpan w:val="2"/>
          </w:tcPr>
          <w:p>
            <w:pPr>
              <w:ind w:left="60"/>
              <w:spacing w:after="0"/>
              <w:rPr>
                <w:sz w:val="20"/>
                <w:szCs w:val="20"/>
                <w:color w:val="auto"/>
              </w:rPr>
            </w:pPr>
            <w:r>
              <w:rPr>
                <w:rFonts w:ascii="Arial" w:cs="Arial" w:eastAsia="Arial" w:hAnsi="Arial"/>
                <w:sz w:val="16"/>
                <w:szCs w:val="16"/>
                <w:color w:val="auto"/>
              </w:rPr>
              <w:t>Michael T. Strianese</w:t>
            </w:r>
          </w:p>
        </w:tc>
        <w:tc>
          <w:tcPr>
            <w:tcW w:w="580" w:type="dxa"/>
            <w:vAlign w:val="bottom"/>
            <w:tcBorders>
              <w:bottom w:val="single" w:sz="8" w:color="005C7D"/>
            </w:tcBorders>
          </w:tcPr>
          <w:p>
            <w:pPr>
              <w:jc w:val="center"/>
              <w:spacing w:after="0"/>
              <w:rPr>
                <w:sz w:val="20"/>
                <w:szCs w:val="20"/>
                <w:color w:val="auto"/>
              </w:rPr>
            </w:pPr>
            <w:r>
              <w:rPr>
                <w:rFonts w:ascii="Arial" w:cs="Arial" w:eastAsia="Arial" w:hAnsi="Arial"/>
                <w:sz w:val="16"/>
                <w:szCs w:val="16"/>
                <w:color w:val="auto"/>
                <w:w w:val="89"/>
              </w:rPr>
              <w:t>61</w:t>
            </w:r>
          </w:p>
        </w:tc>
        <w:tc>
          <w:tcPr>
            <w:tcW w:w="700" w:type="dxa"/>
            <w:vAlign w:val="bottom"/>
            <w:tcBorders>
              <w:bottom w:val="single" w:sz="8" w:color="005C7D"/>
            </w:tcBorders>
          </w:tcPr>
          <w:p>
            <w:pPr>
              <w:jc w:val="center"/>
              <w:ind w:left="160"/>
              <w:spacing w:after="0"/>
              <w:rPr>
                <w:sz w:val="20"/>
                <w:szCs w:val="20"/>
                <w:color w:val="auto"/>
              </w:rPr>
            </w:pPr>
            <w:r>
              <w:rPr>
                <w:rFonts w:ascii="Arial" w:cs="Arial" w:eastAsia="Arial" w:hAnsi="Arial"/>
                <w:sz w:val="16"/>
                <w:szCs w:val="16"/>
                <w:color w:val="auto"/>
                <w:w w:val="95"/>
              </w:rPr>
              <w:t>2006</w:t>
            </w:r>
          </w:p>
        </w:tc>
        <w:tc>
          <w:tcPr>
            <w:tcW w:w="3760" w:type="dxa"/>
            <w:vAlign w:val="bottom"/>
            <w:tcBorders>
              <w:bottom w:val="single" w:sz="8" w:color="005C7D"/>
            </w:tcBorders>
          </w:tcPr>
          <w:p>
            <w:pPr>
              <w:ind w:left="360"/>
              <w:spacing w:after="0"/>
              <w:rPr>
                <w:sz w:val="20"/>
                <w:szCs w:val="20"/>
                <w:color w:val="auto"/>
              </w:rPr>
            </w:pPr>
            <w:r>
              <w:rPr>
                <w:rFonts w:ascii="Arial" w:cs="Arial" w:eastAsia="Arial" w:hAnsi="Arial"/>
                <w:sz w:val="16"/>
                <w:szCs w:val="16"/>
                <w:color w:val="auto"/>
              </w:rPr>
              <w:t>Chairman and CEO, L3</w:t>
            </w:r>
          </w:p>
        </w:tc>
        <w:tc>
          <w:tcPr>
            <w:tcW w:w="1220" w:type="dxa"/>
            <w:vAlign w:val="bottom"/>
            <w:tcBorders>
              <w:bottom w:val="single" w:sz="8" w:color="005C7D"/>
            </w:tcBorders>
          </w:tcPr>
          <w:p>
            <w:pPr>
              <w:jc w:val="center"/>
              <w:spacing w:after="0"/>
              <w:rPr>
                <w:sz w:val="20"/>
                <w:szCs w:val="20"/>
                <w:color w:val="auto"/>
              </w:rPr>
            </w:pPr>
            <w:r>
              <w:rPr>
                <w:rFonts w:ascii="Arial" w:cs="Arial" w:eastAsia="Arial" w:hAnsi="Arial"/>
                <w:sz w:val="16"/>
                <w:szCs w:val="16"/>
                <w:color w:val="auto"/>
                <w:w w:val="97"/>
              </w:rPr>
              <w:t>No</w:t>
            </w:r>
          </w:p>
        </w:tc>
        <w:tc>
          <w:tcPr>
            <w:tcW w:w="1240" w:type="dxa"/>
            <w:vAlign w:val="bottom"/>
            <w:tcBorders>
              <w:bottom w:val="single" w:sz="8" w:color="005C7D"/>
            </w:tcBorders>
          </w:tcPr>
          <w:p>
            <w:pPr>
              <w:jc w:val="center"/>
              <w:spacing w:after="0"/>
              <w:rPr>
                <w:sz w:val="20"/>
                <w:szCs w:val="20"/>
                <w:color w:val="auto"/>
              </w:rPr>
            </w:pPr>
            <w:r>
              <w:rPr>
                <w:rFonts w:ascii="Arial" w:cs="Arial" w:eastAsia="Arial" w:hAnsi="Arial"/>
                <w:sz w:val="16"/>
                <w:szCs w:val="16"/>
                <w:color w:val="auto"/>
                <w:w w:val="89"/>
              </w:rPr>
              <w:t>EC</w:t>
            </w:r>
          </w:p>
        </w:tc>
      </w:tr>
      <w:tr>
        <w:trPr>
          <w:trHeight w:val="265"/>
        </w:trPr>
        <w:tc>
          <w:tcPr>
            <w:tcW w:w="360" w:type="dxa"/>
            <w:vAlign w:val="bottom"/>
          </w:tcPr>
          <w:p>
            <w:pPr>
              <w:jc w:val="right"/>
              <w:spacing w:after="0"/>
              <w:rPr>
                <w:sz w:val="20"/>
                <w:szCs w:val="20"/>
                <w:color w:val="auto"/>
              </w:rPr>
            </w:pPr>
            <w:r>
              <w:rPr>
                <w:rFonts w:ascii="Arial" w:cs="Arial" w:eastAsia="Arial" w:hAnsi="Arial"/>
                <w:sz w:val="14"/>
                <w:szCs w:val="14"/>
                <w:color w:val="auto"/>
              </w:rPr>
              <w:t>* AC</w:t>
            </w:r>
          </w:p>
        </w:tc>
        <w:tc>
          <w:tcPr>
            <w:tcW w:w="1220" w:type="dxa"/>
            <w:vAlign w:val="bottom"/>
          </w:tcPr>
          <w:p>
            <w:pPr>
              <w:ind w:left="60"/>
              <w:spacing w:after="0"/>
              <w:rPr>
                <w:sz w:val="20"/>
                <w:szCs w:val="20"/>
                <w:color w:val="auto"/>
              </w:rPr>
            </w:pPr>
            <w:r>
              <w:rPr>
                <w:rFonts w:ascii="Arial" w:cs="Arial" w:eastAsia="Arial" w:hAnsi="Arial"/>
                <w:sz w:val="14"/>
                <w:szCs w:val="14"/>
                <w:color w:val="auto"/>
              </w:rPr>
              <w:t>Audit Committee</w:t>
            </w:r>
          </w:p>
        </w:tc>
        <w:tc>
          <w:tcPr>
            <w:tcW w:w="580" w:type="dxa"/>
            <w:vAlign w:val="bottom"/>
          </w:tcPr>
          <w:p>
            <w:pPr>
              <w:spacing w:after="0"/>
              <w:rPr>
                <w:sz w:val="23"/>
                <w:szCs w:val="23"/>
                <w:color w:val="auto"/>
              </w:rPr>
            </w:pPr>
          </w:p>
        </w:tc>
        <w:tc>
          <w:tcPr>
            <w:tcW w:w="700" w:type="dxa"/>
            <w:vAlign w:val="bottom"/>
          </w:tcPr>
          <w:p>
            <w:pPr>
              <w:ind w:left="440"/>
              <w:spacing w:after="0"/>
              <w:rPr>
                <w:sz w:val="20"/>
                <w:szCs w:val="20"/>
                <w:color w:val="auto"/>
              </w:rPr>
            </w:pPr>
            <w:r>
              <w:rPr>
                <w:rFonts w:ascii="Arial" w:cs="Arial" w:eastAsia="Arial" w:hAnsi="Arial"/>
                <w:sz w:val="14"/>
                <w:szCs w:val="14"/>
                <w:color w:val="auto"/>
              </w:rPr>
              <w:t>NC</w:t>
            </w:r>
          </w:p>
        </w:tc>
        <w:tc>
          <w:tcPr>
            <w:tcW w:w="4980" w:type="dxa"/>
            <w:vAlign w:val="bottom"/>
            <w:gridSpan w:val="2"/>
          </w:tcPr>
          <w:p>
            <w:pPr>
              <w:ind w:left="60"/>
              <w:spacing w:after="0"/>
              <w:rPr>
                <w:sz w:val="20"/>
                <w:szCs w:val="20"/>
                <w:color w:val="auto"/>
              </w:rPr>
            </w:pPr>
            <w:r>
              <w:rPr>
                <w:rFonts w:ascii="Arial" w:cs="Arial" w:eastAsia="Arial" w:hAnsi="Arial"/>
                <w:sz w:val="14"/>
                <w:szCs w:val="14"/>
                <w:color w:val="auto"/>
                <w:w w:val="99"/>
              </w:rPr>
              <w:t>Nominating/Corporate Governance Committee   LD  Lead Independent Director</w:t>
            </w:r>
          </w:p>
        </w:tc>
        <w:tc>
          <w:tcPr>
            <w:tcW w:w="1240" w:type="dxa"/>
            <w:vAlign w:val="bottom"/>
          </w:tcPr>
          <w:p>
            <w:pPr>
              <w:spacing w:after="0"/>
              <w:rPr>
                <w:sz w:val="23"/>
                <w:szCs w:val="23"/>
                <w:color w:val="auto"/>
              </w:rPr>
            </w:pPr>
          </w:p>
        </w:tc>
      </w:tr>
      <w:tr>
        <w:trPr>
          <w:trHeight w:val="182"/>
        </w:trPr>
        <w:tc>
          <w:tcPr>
            <w:tcW w:w="360" w:type="dxa"/>
            <w:vAlign w:val="bottom"/>
          </w:tcPr>
          <w:p>
            <w:pPr>
              <w:jc w:val="right"/>
              <w:spacing w:after="0"/>
              <w:rPr>
                <w:sz w:val="20"/>
                <w:szCs w:val="20"/>
                <w:color w:val="auto"/>
              </w:rPr>
            </w:pPr>
            <w:r>
              <w:rPr>
                <w:rFonts w:ascii="Arial" w:cs="Arial" w:eastAsia="Arial" w:hAnsi="Arial"/>
                <w:sz w:val="14"/>
                <w:szCs w:val="14"/>
                <w:color w:val="auto"/>
              </w:rPr>
              <w:t>CC</w:t>
            </w:r>
          </w:p>
        </w:tc>
        <w:tc>
          <w:tcPr>
            <w:tcW w:w="1800" w:type="dxa"/>
            <w:vAlign w:val="bottom"/>
            <w:gridSpan w:val="2"/>
          </w:tcPr>
          <w:p>
            <w:pPr>
              <w:ind w:left="60"/>
              <w:spacing w:after="0"/>
              <w:rPr>
                <w:sz w:val="20"/>
                <w:szCs w:val="20"/>
                <w:color w:val="auto"/>
              </w:rPr>
            </w:pPr>
            <w:r>
              <w:rPr>
                <w:rFonts w:ascii="Arial" w:cs="Arial" w:eastAsia="Arial" w:hAnsi="Arial"/>
                <w:sz w:val="14"/>
                <w:szCs w:val="14"/>
                <w:color w:val="auto"/>
              </w:rPr>
              <w:t>Compensation Committee</w:t>
            </w:r>
          </w:p>
        </w:tc>
        <w:tc>
          <w:tcPr>
            <w:tcW w:w="700" w:type="dxa"/>
            <w:vAlign w:val="bottom"/>
          </w:tcPr>
          <w:p>
            <w:pPr>
              <w:ind w:left="440"/>
              <w:spacing w:after="0"/>
              <w:rPr>
                <w:sz w:val="20"/>
                <w:szCs w:val="20"/>
                <w:color w:val="auto"/>
              </w:rPr>
            </w:pPr>
            <w:r>
              <w:rPr>
                <w:rFonts w:ascii="Arial" w:cs="Arial" w:eastAsia="Arial" w:hAnsi="Arial"/>
                <w:sz w:val="14"/>
                <w:szCs w:val="14"/>
                <w:color w:val="auto"/>
              </w:rPr>
              <w:t>EC</w:t>
            </w:r>
          </w:p>
        </w:tc>
        <w:tc>
          <w:tcPr>
            <w:tcW w:w="3760" w:type="dxa"/>
            <w:vAlign w:val="bottom"/>
          </w:tcPr>
          <w:p>
            <w:pPr>
              <w:ind w:left="40"/>
              <w:spacing w:after="0"/>
              <w:rPr>
                <w:sz w:val="20"/>
                <w:szCs w:val="20"/>
                <w:color w:val="auto"/>
              </w:rPr>
            </w:pPr>
            <w:r>
              <w:rPr>
                <w:rFonts w:ascii="Arial" w:cs="Arial" w:eastAsia="Arial" w:hAnsi="Arial"/>
                <w:sz w:val="14"/>
                <w:szCs w:val="14"/>
                <w:color w:val="auto"/>
              </w:rPr>
              <w:t>Executive Committee</w:t>
            </w: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pacing w:after="0" w:line="18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GOVERNANCE HIGHLIGHTS</w:t>
      </w:r>
    </w:p>
    <w:p>
      <w:pPr>
        <w:spacing w:after="0" w:line="61" w:lineRule="exact"/>
        <w:rPr>
          <w:sz w:val="20"/>
          <w:szCs w:val="20"/>
          <w:color w:val="auto"/>
        </w:rPr>
      </w:pPr>
    </w:p>
    <w:tbl>
      <w:tblPr>
        <w:tblLayout w:type="fixed"/>
        <w:tblInd w:w="230" w:type="dxa"/>
        <w:tblCellMar>
          <w:top w:w="0" w:type="dxa"/>
          <w:left w:w="0" w:type="dxa"/>
          <w:bottom w:w="0" w:type="dxa"/>
          <w:right w:w="0" w:type="dxa"/>
        </w:tblCellMar>
      </w:tblPr>
      <w:tr>
        <w:trPr>
          <w:trHeight w:val="274"/>
        </w:trPr>
        <w:tc>
          <w:tcPr>
            <w:tcW w:w="2920" w:type="dxa"/>
            <w:vAlign w:val="bottom"/>
            <w:tcBorders>
              <w:top w:val="single" w:sz="8" w:color="005C7D"/>
              <w:left w:val="single" w:sz="8" w:color="005C7D"/>
              <w:right w:val="single" w:sz="8" w:color="005C7D"/>
            </w:tcBorders>
            <w:shd w:val="clear" w:color="auto" w:fill="CDDAE6"/>
          </w:tcPr>
          <w:p>
            <w:pPr>
              <w:ind w:left="100"/>
              <w:spacing w:after="0"/>
              <w:rPr>
                <w:sz w:val="20"/>
                <w:szCs w:val="20"/>
                <w:color w:val="auto"/>
              </w:rPr>
            </w:pPr>
            <w:r>
              <w:rPr>
                <w:rFonts w:ascii="Arial" w:cs="Arial" w:eastAsia="Arial" w:hAnsi="Arial"/>
                <w:sz w:val="16"/>
                <w:szCs w:val="16"/>
                <w:color w:val="005C7D"/>
              </w:rPr>
              <w:t xml:space="preserve">▪  </w:t>
            </w:r>
            <w:r>
              <w:rPr>
                <w:rFonts w:ascii="Arial" w:cs="Arial" w:eastAsia="Arial" w:hAnsi="Arial"/>
                <w:sz w:val="16"/>
                <w:szCs w:val="16"/>
                <w:color w:val="000000"/>
              </w:rPr>
              <w:t>Annual election of directors</w:t>
            </w:r>
          </w:p>
        </w:tc>
        <w:tc>
          <w:tcPr>
            <w:tcW w:w="3080" w:type="dxa"/>
            <w:vAlign w:val="bottom"/>
            <w:tcBorders>
              <w:top w:val="single" w:sz="8" w:color="005C7D"/>
              <w:right w:val="single" w:sz="8" w:color="005C7D"/>
            </w:tcBorders>
            <w:shd w:val="clear" w:color="auto" w:fill="CDDAE6"/>
          </w:tcPr>
          <w:p>
            <w:pPr>
              <w:ind w:left="60"/>
              <w:spacing w:after="0"/>
              <w:rPr>
                <w:sz w:val="20"/>
                <w:szCs w:val="20"/>
                <w:color w:val="auto"/>
              </w:rPr>
            </w:pPr>
            <w:r>
              <w:rPr>
                <w:rFonts w:ascii="Arial" w:cs="Arial" w:eastAsia="Arial" w:hAnsi="Arial"/>
                <w:sz w:val="16"/>
                <w:szCs w:val="16"/>
                <w:color w:val="005C7D"/>
                <w:w w:val="97"/>
              </w:rPr>
              <w:t xml:space="preserve">▪  </w:t>
            </w:r>
            <w:r>
              <w:rPr>
                <w:rFonts w:ascii="Arial" w:cs="Arial" w:eastAsia="Arial" w:hAnsi="Arial"/>
                <w:sz w:val="16"/>
                <w:szCs w:val="16"/>
                <w:color w:val="000000"/>
                <w:w w:val="97"/>
              </w:rPr>
              <w:t>Shareholder right to call special meetings</w:t>
            </w:r>
          </w:p>
        </w:tc>
        <w:tc>
          <w:tcPr>
            <w:tcW w:w="180" w:type="dxa"/>
            <w:vAlign w:val="bottom"/>
            <w:tcBorders>
              <w:top w:val="single" w:sz="8" w:color="005C7D"/>
            </w:tcBorders>
            <w:shd w:val="clear" w:color="auto" w:fill="CDDAE6"/>
          </w:tcPr>
          <w:p>
            <w:pPr>
              <w:ind w:left="60"/>
              <w:spacing w:after="0"/>
              <w:rPr>
                <w:sz w:val="20"/>
                <w:szCs w:val="20"/>
                <w:color w:val="auto"/>
              </w:rPr>
            </w:pPr>
            <w:r>
              <w:rPr>
                <w:rFonts w:ascii="Arial" w:cs="Arial" w:eastAsia="Arial" w:hAnsi="Arial"/>
                <w:sz w:val="16"/>
                <w:szCs w:val="16"/>
                <w:color w:val="005C7D"/>
              </w:rPr>
              <w:t>▪</w:t>
            </w:r>
          </w:p>
        </w:tc>
        <w:tc>
          <w:tcPr>
            <w:tcW w:w="2900" w:type="dxa"/>
            <w:vAlign w:val="bottom"/>
            <w:tcBorders>
              <w:top w:val="single" w:sz="8" w:color="005C7D"/>
              <w:right w:val="single" w:sz="8" w:color="005C7D"/>
            </w:tcBorders>
            <w:shd w:val="clear" w:color="auto" w:fill="CDDAE6"/>
          </w:tcPr>
          <w:p>
            <w:pPr>
              <w:ind w:left="60"/>
              <w:spacing w:after="0"/>
              <w:rPr>
                <w:sz w:val="20"/>
                <w:szCs w:val="20"/>
                <w:color w:val="auto"/>
              </w:rPr>
            </w:pPr>
            <w:r>
              <w:rPr>
                <w:rFonts w:ascii="Arial" w:cs="Arial" w:eastAsia="Arial" w:hAnsi="Arial"/>
                <w:sz w:val="16"/>
                <w:szCs w:val="16"/>
                <w:color w:val="auto"/>
              </w:rPr>
              <w:t>Strong pay-for-performance philosophy</w:t>
            </w:r>
          </w:p>
        </w:tc>
      </w:tr>
      <w:tr>
        <w:trPr>
          <w:trHeight w:val="243"/>
        </w:trPr>
        <w:tc>
          <w:tcPr>
            <w:tcW w:w="2920" w:type="dxa"/>
            <w:vAlign w:val="bottom"/>
            <w:tcBorders>
              <w:left w:val="single" w:sz="8" w:color="005C7D"/>
              <w:right w:val="single" w:sz="8" w:color="005C7D"/>
            </w:tcBorders>
            <w:shd w:val="clear" w:color="auto" w:fill="CDDAE6"/>
          </w:tcPr>
          <w:p>
            <w:pPr>
              <w:ind w:left="100"/>
              <w:spacing w:after="0"/>
              <w:rPr>
                <w:sz w:val="20"/>
                <w:szCs w:val="20"/>
                <w:color w:val="auto"/>
              </w:rPr>
            </w:pPr>
            <w:r>
              <w:rPr>
                <w:rFonts w:ascii="Arial" w:cs="Arial" w:eastAsia="Arial" w:hAnsi="Arial"/>
                <w:sz w:val="16"/>
                <w:szCs w:val="16"/>
                <w:color w:val="005C7D"/>
              </w:rPr>
              <w:t xml:space="preserve">▪  </w:t>
            </w:r>
            <w:r>
              <w:rPr>
                <w:rFonts w:ascii="Arial" w:cs="Arial" w:eastAsia="Arial" w:hAnsi="Arial"/>
                <w:sz w:val="16"/>
                <w:szCs w:val="16"/>
                <w:color w:val="000000"/>
              </w:rPr>
              <w:t>Directors elected by majority voting</w:t>
            </w:r>
          </w:p>
        </w:tc>
        <w:tc>
          <w:tcPr>
            <w:tcW w:w="3080" w:type="dxa"/>
            <w:vAlign w:val="bottom"/>
            <w:tcBorders>
              <w:right w:val="single" w:sz="8" w:color="005C7D"/>
            </w:tcBorders>
            <w:shd w:val="clear" w:color="auto" w:fill="CDDAE6"/>
          </w:tcPr>
          <w:p>
            <w:pPr>
              <w:ind w:left="60"/>
              <w:spacing w:after="0"/>
              <w:rPr>
                <w:sz w:val="20"/>
                <w:szCs w:val="20"/>
                <w:color w:val="auto"/>
              </w:rPr>
            </w:pPr>
            <w:r>
              <w:rPr>
                <w:rFonts w:ascii="Arial" w:cs="Arial" w:eastAsia="Arial" w:hAnsi="Arial"/>
                <w:sz w:val="16"/>
                <w:szCs w:val="16"/>
                <w:color w:val="005C7D"/>
                <w:w w:val="96"/>
              </w:rPr>
              <w:t xml:space="preserve">▪  </w:t>
            </w:r>
            <w:r>
              <w:rPr>
                <w:rFonts w:ascii="Arial" w:cs="Arial" w:eastAsia="Arial" w:hAnsi="Arial"/>
                <w:sz w:val="16"/>
                <w:szCs w:val="16"/>
                <w:color w:val="000000"/>
                <w:w w:val="96"/>
              </w:rPr>
              <w:t>Over 75% average Board and Committee</w:t>
            </w:r>
          </w:p>
        </w:tc>
        <w:tc>
          <w:tcPr>
            <w:tcW w:w="180" w:type="dxa"/>
            <w:vAlign w:val="bottom"/>
            <w:shd w:val="clear" w:color="auto" w:fill="CDDAE6"/>
          </w:tcPr>
          <w:p>
            <w:pPr>
              <w:ind w:left="60"/>
              <w:spacing w:after="0"/>
              <w:rPr>
                <w:sz w:val="20"/>
                <w:szCs w:val="20"/>
                <w:color w:val="auto"/>
              </w:rPr>
            </w:pPr>
            <w:r>
              <w:rPr>
                <w:rFonts w:ascii="Arial" w:cs="Arial" w:eastAsia="Arial" w:hAnsi="Arial"/>
                <w:sz w:val="16"/>
                <w:szCs w:val="16"/>
                <w:color w:val="005C7D"/>
              </w:rPr>
              <w:t>▪</w:t>
            </w:r>
          </w:p>
        </w:tc>
        <w:tc>
          <w:tcPr>
            <w:tcW w:w="2900" w:type="dxa"/>
            <w:vAlign w:val="bottom"/>
            <w:tcBorders>
              <w:right w:val="single" w:sz="8" w:color="005C7D"/>
            </w:tcBorders>
            <w:shd w:val="clear" w:color="auto" w:fill="CDDAE6"/>
          </w:tcPr>
          <w:p>
            <w:pPr>
              <w:ind w:left="60"/>
              <w:spacing w:after="0"/>
              <w:rPr>
                <w:sz w:val="20"/>
                <w:szCs w:val="20"/>
                <w:color w:val="auto"/>
              </w:rPr>
            </w:pPr>
            <w:r>
              <w:rPr>
                <w:rFonts w:ascii="Arial" w:cs="Arial" w:eastAsia="Arial" w:hAnsi="Arial"/>
                <w:sz w:val="16"/>
                <w:szCs w:val="16"/>
                <w:color w:val="auto"/>
              </w:rPr>
              <w:t>Comprehensive political contributions</w:t>
            </w:r>
          </w:p>
        </w:tc>
      </w:tr>
      <w:tr>
        <w:trPr>
          <w:trHeight w:val="203"/>
        </w:trPr>
        <w:tc>
          <w:tcPr>
            <w:tcW w:w="2920" w:type="dxa"/>
            <w:vAlign w:val="bottom"/>
            <w:tcBorders>
              <w:left w:val="single" w:sz="8" w:color="005C7D"/>
              <w:right w:val="single" w:sz="8" w:color="005C7D"/>
            </w:tcBorders>
            <w:shd w:val="clear" w:color="auto" w:fill="CDDAE6"/>
          </w:tcPr>
          <w:p>
            <w:pPr>
              <w:ind w:left="100"/>
              <w:spacing w:after="0"/>
              <w:rPr>
                <w:sz w:val="20"/>
                <w:szCs w:val="20"/>
                <w:color w:val="auto"/>
              </w:rPr>
            </w:pPr>
            <w:r>
              <w:rPr>
                <w:rFonts w:ascii="Arial" w:cs="Arial" w:eastAsia="Arial" w:hAnsi="Arial"/>
                <w:sz w:val="16"/>
                <w:szCs w:val="16"/>
                <w:color w:val="005C7D"/>
              </w:rPr>
              <w:t xml:space="preserve">▪  </w:t>
            </w:r>
            <w:r>
              <w:rPr>
                <w:rFonts w:ascii="Arial" w:cs="Arial" w:eastAsia="Arial" w:hAnsi="Arial"/>
                <w:sz w:val="16"/>
                <w:szCs w:val="16"/>
                <w:color w:val="000000"/>
              </w:rPr>
              <w:t>Early adoption of proxy access</w:t>
            </w:r>
          </w:p>
        </w:tc>
        <w:tc>
          <w:tcPr>
            <w:tcW w:w="3080" w:type="dxa"/>
            <w:vAlign w:val="bottom"/>
            <w:tcBorders>
              <w:right w:val="single" w:sz="8" w:color="005C7D"/>
            </w:tcBorders>
            <w:shd w:val="clear" w:color="auto" w:fill="CDDAE6"/>
          </w:tcPr>
          <w:p>
            <w:pPr>
              <w:ind w:left="260"/>
              <w:spacing w:after="0"/>
              <w:rPr>
                <w:sz w:val="20"/>
                <w:szCs w:val="20"/>
                <w:color w:val="auto"/>
              </w:rPr>
            </w:pPr>
            <w:r>
              <w:rPr>
                <w:rFonts w:ascii="Arial" w:cs="Arial" w:eastAsia="Arial" w:hAnsi="Arial"/>
                <w:sz w:val="16"/>
                <w:szCs w:val="16"/>
                <w:color w:val="auto"/>
              </w:rPr>
              <w:t>meeting attendance for each director in</w:t>
            </w:r>
          </w:p>
        </w:tc>
        <w:tc>
          <w:tcPr>
            <w:tcW w:w="180" w:type="dxa"/>
            <w:vAlign w:val="bottom"/>
            <w:shd w:val="clear" w:color="auto" w:fill="CDDAE6"/>
          </w:tcPr>
          <w:p>
            <w:pPr>
              <w:spacing w:after="0"/>
              <w:rPr>
                <w:sz w:val="17"/>
                <w:szCs w:val="17"/>
                <w:color w:val="auto"/>
              </w:rPr>
            </w:pPr>
          </w:p>
        </w:tc>
        <w:tc>
          <w:tcPr>
            <w:tcW w:w="2900" w:type="dxa"/>
            <w:vAlign w:val="bottom"/>
            <w:tcBorders>
              <w:right w:val="single" w:sz="8" w:color="005C7D"/>
            </w:tcBorders>
            <w:shd w:val="clear" w:color="auto" w:fill="CDDAE6"/>
          </w:tcPr>
          <w:p>
            <w:pPr>
              <w:ind w:left="80"/>
              <w:spacing w:after="0"/>
              <w:rPr>
                <w:sz w:val="20"/>
                <w:szCs w:val="20"/>
                <w:color w:val="auto"/>
              </w:rPr>
            </w:pPr>
            <w:r>
              <w:rPr>
                <w:rFonts w:ascii="Arial" w:cs="Arial" w:eastAsia="Arial" w:hAnsi="Arial"/>
                <w:sz w:val="16"/>
                <w:szCs w:val="16"/>
                <w:color w:val="auto"/>
              </w:rPr>
              <w:t>disclosure policy and compliance</w:t>
            </w:r>
          </w:p>
        </w:tc>
      </w:tr>
      <w:tr>
        <w:trPr>
          <w:trHeight w:val="243"/>
        </w:trPr>
        <w:tc>
          <w:tcPr>
            <w:tcW w:w="2920" w:type="dxa"/>
            <w:vAlign w:val="bottom"/>
            <w:tcBorders>
              <w:left w:val="single" w:sz="8" w:color="005C7D"/>
              <w:right w:val="single" w:sz="8" w:color="005C7D"/>
            </w:tcBorders>
            <w:shd w:val="clear" w:color="auto" w:fill="CDDAE6"/>
          </w:tcPr>
          <w:p>
            <w:pPr>
              <w:ind w:left="100"/>
              <w:spacing w:after="0"/>
              <w:rPr>
                <w:sz w:val="20"/>
                <w:szCs w:val="20"/>
                <w:color w:val="auto"/>
              </w:rPr>
            </w:pPr>
            <w:r>
              <w:rPr>
                <w:rFonts w:ascii="Arial" w:cs="Arial" w:eastAsia="Arial" w:hAnsi="Arial"/>
                <w:sz w:val="16"/>
                <w:szCs w:val="16"/>
                <w:color w:val="auto"/>
              </w:rPr>
              <w:t>▪  9 of our 10 director nominees are</w:t>
            </w:r>
          </w:p>
        </w:tc>
        <w:tc>
          <w:tcPr>
            <w:tcW w:w="3080" w:type="dxa"/>
            <w:vAlign w:val="bottom"/>
            <w:tcBorders>
              <w:right w:val="single" w:sz="8" w:color="005C7D"/>
            </w:tcBorders>
            <w:shd w:val="clear" w:color="auto" w:fill="CDDAE6"/>
          </w:tcPr>
          <w:p>
            <w:pPr>
              <w:ind w:left="260"/>
              <w:spacing w:after="0"/>
              <w:rPr>
                <w:sz w:val="20"/>
                <w:szCs w:val="20"/>
                <w:color w:val="auto"/>
              </w:rPr>
            </w:pPr>
            <w:r>
              <w:rPr>
                <w:rFonts w:ascii="Arial" w:cs="Arial" w:eastAsia="Arial" w:hAnsi="Arial"/>
                <w:sz w:val="16"/>
                <w:szCs w:val="16"/>
                <w:color w:val="auto"/>
              </w:rPr>
              <w:t>2016</w:t>
            </w:r>
          </w:p>
        </w:tc>
        <w:tc>
          <w:tcPr>
            <w:tcW w:w="180" w:type="dxa"/>
            <w:vAlign w:val="bottom"/>
            <w:shd w:val="clear" w:color="auto" w:fill="CDDAE6"/>
          </w:tcPr>
          <w:p>
            <w:pPr>
              <w:spacing w:after="0"/>
              <w:rPr>
                <w:sz w:val="21"/>
                <w:szCs w:val="21"/>
                <w:color w:val="auto"/>
              </w:rPr>
            </w:pPr>
          </w:p>
        </w:tc>
        <w:tc>
          <w:tcPr>
            <w:tcW w:w="2900" w:type="dxa"/>
            <w:vAlign w:val="bottom"/>
            <w:tcBorders>
              <w:right w:val="single" w:sz="8" w:color="005C7D"/>
            </w:tcBorders>
            <w:shd w:val="clear" w:color="auto" w:fill="CDDAE6"/>
          </w:tcPr>
          <w:p>
            <w:pPr>
              <w:ind w:left="80"/>
              <w:spacing w:after="0"/>
              <w:rPr>
                <w:sz w:val="20"/>
                <w:szCs w:val="20"/>
                <w:color w:val="auto"/>
              </w:rPr>
            </w:pPr>
            <w:r>
              <w:rPr>
                <w:rFonts w:ascii="Arial" w:cs="Arial" w:eastAsia="Arial" w:hAnsi="Arial"/>
                <w:sz w:val="16"/>
                <w:szCs w:val="16"/>
                <w:color w:val="auto"/>
              </w:rPr>
              <w:t>program</w:t>
            </w:r>
          </w:p>
        </w:tc>
      </w:tr>
      <w:tr>
        <w:trPr>
          <w:trHeight w:val="203"/>
        </w:trPr>
        <w:tc>
          <w:tcPr>
            <w:tcW w:w="2920" w:type="dxa"/>
            <w:vAlign w:val="bottom"/>
            <w:tcBorders>
              <w:left w:val="single" w:sz="8" w:color="005C7D"/>
              <w:right w:val="single" w:sz="8" w:color="005C7D"/>
            </w:tcBorders>
            <w:shd w:val="clear" w:color="auto" w:fill="CDDAE6"/>
          </w:tcPr>
          <w:p>
            <w:pPr>
              <w:ind w:left="280"/>
              <w:spacing w:after="0"/>
              <w:rPr>
                <w:sz w:val="20"/>
                <w:szCs w:val="20"/>
                <w:color w:val="auto"/>
              </w:rPr>
            </w:pPr>
            <w:r>
              <w:rPr>
                <w:rFonts w:ascii="Arial" w:cs="Arial" w:eastAsia="Arial" w:hAnsi="Arial"/>
                <w:sz w:val="16"/>
                <w:szCs w:val="16"/>
                <w:color w:val="auto"/>
              </w:rPr>
              <w:t>independent</w:t>
            </w:r>
          </w:p>
        </w:tc>
        <w:tc>
          <w:tcPr>
            <w:tcW w:w="3080" w:type="dxa"/>
            <w:vAlign w:val="bottom"/>
            <w:tcBorders>
              <w:right w:val="single" w:sz="8" w:color="005C7D"/>
            </w:tcBorders>
            <w:shd w:val="clear" w:color="auto" w:fill="CDDAE6"/>
          </w:tcPr>
          <w:p>
            <w:pPr>
              <w:ind w:left="60"/>
              <w:spacing w:after="0"/>
              <w:rPr>
                <w:sz w:val="20"/>
                <w:szCs w:val="20"/>
                <w:color w:val="auto"/>
              </w:rPr>
            </w:pPr>
            <w:r>
              <w:rPr>
                <w:rFonts w:ascii="Arial" w:cs="Arial" w:eastAsia="Arial" w:hAnsi="Arial"/>
                <w:sz w:val="16"/>
                <w:szCs w:val="16"/>
                <w:color w:val="005C7D"/>
              </w:rPr>
              <w:t xml:space="preserve">▪  </w:t>
            </w:r>
            <w:r>
              <w:rPr>
                <w:rFonts w:ascii="Arial" w:cs="Arial" w:eastAsia="Arial" w:hAnsi="Arial"/>
                <w:sz w:val="16"/>
                <w:szCs w:val="16"/>
                <w:color w:val="000000"/>
              </w:rPr>
              <w:t>Annual Board and Committee self-</w:t>
            </w:r>
          </w:p>
        </w:tc>
        <w:tc>
          <w:tcPr>
            <w:tcW w:w="3080" w:type="dxa"/>
            <w:vAlign w:val="bottom"/>
            <w:tcBorders>
              <w:right w:val="single" w:sz="8" w:color="005C7D"/>
            </w:tcBorders>
            <w:gridSpan w:val="2"/>
            <w:shd w:val="clear" w:color="auto" w:fill="CDDAE6"/>
          </w:tcPr>
          <w:p>
            <w:pPr>
              <w:ind w:left="60"/>
              <w:spacing w:after="0"/>
              <w:rPr>
                <w:sz w:val="20"/>
                <w:szCs w:val="20"/>
                <w:color w:val="auto"/>
              </w:rPr>
            </w:pPr>
            <w:r>
              <w:rPr>
                <w:rFonts w:ascii="Arial" w:cs="Arial" w:eastAsia="Arial" w:hAnsi="Arial"/>
                <w:sz w:val="16"/>
                <w:szCs w:val="16"/>
                <w:color w:val="005C7D"/>
              </w:rPr>
              <w:t xml:space="preserve">▪  </w:t>
            </w:r>
            <w:r>
              <w:rPr>
                <w:rFonts w:ascii="Arial" w:cs="Arial" w:eastAsia="Arial" w:hAnsi="Arial"/>
                <w:sz w:val="16"/>
                <w:szCs w:val="16"/>
                <w:color w:val="000000"/>
              </w:rPr>
              <w:t>Board participation in executive</w:t>
            </w:r>
          </w:p>
        </w:tc>
      </w:tr>
      <w:tr>
        <w:trPr>
          <w:trHeight w:val="243"/>
        </w:trPr>
        <w:tc>
          <w:tcPr>
            <w:tcW w:w="2920" w:type="dxa"/>
            <w:vAlign w:val="bottom"/>
            <w:tcBorders>
              <w:left w:val="single" w:sz="8" w:color="005C7D"/>
              <w:right w:val="single" w:sz="8" w:color="005C7D"/>
            </w:tcBorders>
            <w:shd w:val="clear" w:color="auto" w:fill="CDDAE6"/>
          </w:tcPr>
          <w:p>
            <w:pPr>
              <w:ind w:left="100"/>
              <w:spacing w:after="0"/>
              <w:rPr>
                <w:sz w:val="20"/>
                <w:szCs w:val="20"/>
                <w:color w:val="auto"/>
              </w:rPr>
            </w:pPr>
            <w:r>
              <w:rPr>
                <w:rFonts w:ascii="Arial" w:cs="Arial" w:eastAsia="Arial" w:hAnsi="Arial"/>
                <w:sz w:val="16"/>
                <w:szCs w:val="16"/>
                <w:color w:val="auto"/>
              </w:rPr>
              <w:t>▪  Independent lead director</w:t>
            </w:r>
          </w:p>
        </w:tc>
        <w:tc>
          <w:tcPr>
            <w:tcW w:w="3080" w:type="dxa"/>
            <w:vAlign w:val="bottom"/>
            <w:tcBorders>
              <w:right w:val="single" w:sz="8" w:color="005C7D"/>
            </w:tcBorders>
            <w:shd w:val="clear" w:color="auto" w:fill="CDDAE6"/>
          </w:tcPr>
          <w:p>
            <w:pPr>
              <w:ind w:left="260"/>
              <w:spacing w:after="0"/>
              <w:rPr>
                <w:sz w:val="20"/>
                <w:szCs w:val="20"/>
                <w:color w:val="auto"/>
              </w:rPr>
            </w:pPr>
            <w:r>
              <w:rPr>
                <w:rFonts w:ascii="Arial" w:cs="Arial" w:eastAsia="Arial" w:hAnsi="Arial"/>
                <w:sz w:val="16"/>
                <w:szCs w:val="16"/>
                <w:color w:val="auto"/>
              </w:rPr>
              <w:t>evaluations</w:t>
            </w:r>
          </w:p>
        </w:tc>
        <w:tc>
          <w:tcPr>
            <w:tcW w:w="180" w:type="dxa"/>
            <w:vAlign w:val="bottom"/>
            <w:shd w:val="clear" w:color="auto" w:fill="CDDAE6"/>
          </w:tcPr>
          <w:p>
            <w:pPr>
              <w:spacing w:after="0"/>
              <w:rPr>
                <w:sz w:val="21"/>
                <w:szCs w:val="21"/>
                <w:color w:val="auto"/>
              </w:rPr>
            </w:pPr>
          </w:p>
        </w:tc>
        <w:tc>
          <w:tcPr>
            <w:tcW w:w="2900" w:type="dxa"/>
            <w:vAlign w:val="bottom"/>
            <w:tcBorders>
              <w:right w:val="single" w:sz="8" w:color="005C7D"/>
            </w:tcBorders>
            <w:shd w:val="clear" w:color="auto" w:fill="CDDAE6"/>
          </w:tcPr>
          <w:p>
            <w:pPr>
              <w:ind w:left="80"/>
              <w:spacing w:after="0"/>
              <w:rPr>
                <w:sz w:val="20"/>
                <w:szCs w:val="20"/>
                <w:color w:val="auto"/>
              </w:rPr>
            </w:pPr>
            <w:r>
              <w:rPr>
                <w:rFonts w:ascii="Arial" w:cs="Arial" w:eastAsia="Arial" w:hAnsi="Arial"/>
                <w:sz w:val="16"/>
                <w:szCs w:val="16"/>
                <w:color w:val="auto"/>
              </w:rPr>
              <w:t>succession planning</w:t>
            </w:r>
          </w:p>
        </w:tc>
      </w:tr>
      <w:tr>
        <w:trPr>
          <w:trHeight w:val="203"/>
        </w:trPr>
        <w:tc>
          <w:tcPr>
            <w:tcW w:w="2920" w:type="dxa"/>
            <w:vAlign w:val="bottom"/>
            <w:tcBorders>
              <w:left w:val="single" w:sz="8" w:color="005C7D"/>
              <w:right w:val="single" w:sz="8" w:color="005C7D"/>
            </w:tcBorders>
            <w:shd w:val="clear" w:color="auto" w:fill="CDDAE6"/>
          </w:tcPr>
          <w:p>
            <w:pPr>
              <w:ind w:left="100"/>
              <w:spacing w:after="0"/>
              <w:rPr>
                <w:sz w:val="20"/>
                <w:szCs w:val="20"/>
                <w:color w:val="auto"/>
              </w:rPr>
            </w:pPr>
            <w:r>
              <w:rPr>
                <w:rFonts w:ascii="Arial" w:cs="Arial" w:eastAsia="Arial" w:hAnsi="Arial"/>
                <w:sz w:val="16"/>
                <w:szCs w:val="16"/>
                <w:color w:val="auto"/>
              </w:rPr>
              <w:t>▪  All NYSE-required Board committees</w:t>
            </w:r>
          </w:p>
        </w:tc>
        <w:tc>
          <w:tcPr>
            <w:tcW w:w="3080" w:type="dxa"/>
            <w:vAlign w:val="bottom"/>
            <w:tcBorders>
              <w:right w:val="single" w:sz="8" w:color="005C7D"/>
            </w:tcBorders>
            <w:shd w:val="clear" w:color="auto" w:fill="CDDAE6"/>
          </w:tcPr>
          <w:p>
            <w:pPr>
              <w:ind w:left="60"/>
              <w:spacing w:after="0"/>
              <w:rPr>
                <w:sz w:val="20"/>
                <w:szCs w:val="20"/>
                <w:color w:val="auto"/>
              </w:rPr>
            </w:pPr>
            <w:r>
              <w:rPr>
                <w:rFonts w:ascii="Arial" w:cs="Arial" w:eastAsia="Arial" w:hAnsi="Arial"/>
                <w:sz w:val="16"/>
                <w:szCs w:val="16"/>
                <w:color w:val="005C7D"/>
              </w:rPr>
              <w:t xml:space="preserve">▪  </w:t>
            </w:r>
            <w:r>
              <w:rPr>
                <w:rFonts w:ascii="Arial" w:cs="Arial" w:eastAsia="Arial" w:hAnsi="Arial"/>
                <w:sz w:val="16"/>
                <w:szCs w:val="16"/>
                <w:color w:val="000000"/>
              </w:rPr>
              <w:t>Comprehensive code of ethics and</w:t>
            </w:r>
          </w:p>
        </w:tc>
        <w:tc>
          <w:tcPr>
            <w:tcW w:w="3080" w:type="dxa"/>
            <w:vAlign w:val="bottom"/>
            <w:tcBorders>
              <w:right w:val="single" w:sz="8" w:color="005C7D"/>
            </w:tcBorders>
            <w:gridSpan w:val="2"/>
            <w:shd w:val="clear" w:color="auto" w:fill="CDDAE6"/>
          </w:tcPr>
          <w:p>
            <w:pPr>
              <w:ind w:left="60"/>
              <w:spacing w:after="0"/>
              <w:rPr>
                <w:sz w:val="20"/>
                <w:szCs w:val="20"/>
                <w:color w:val="auto"/>
              </w:rPr>
            </w:pPr>
            <w:r>
              <w:rPr>
                <w:rFonts w:ascii="Arial" w:cs="Arial" w:eastAsia="Arial" w:hAnsi="Arial"/>
                <w:sz w:val="16"/>
                <w:szCs w:val="16"/>
                <w:color w:val="005C7D"/>
              </w:rPr>
              <w:t xml:space="preserve">▪  </w:t>
            </w:r>
            <w:r>
              <w:rPr>
                <w:rFonts w:ascii="Arial" w:cs="Arial" w:eastAsia="Arial" w:hAnsi="Arial"/>
                <w:sz w:val="16"/>
                <w:szCs w:val="16"/>
                <w:color w:val="000000"/>
              </w:rPr>
              <w:t>Stock ownership guidelines for directors</w:t>
            </w:r>
          </w:p>
        </w:tc>
      </w:tr>
      <w:tr>
        <w:trPr>
          <w:trHeight w:val="203"/>
        </w:trPr>
        <w:tc>
          <w:tcPr>
            <w:tcW w:w="2920" w:type="dxa"/>
            <w:vAlign w:val="bottom"/>
            <w:tcBorders>
              <w:left w:val="single" w:sz="8" w:color="005C7D"/>
              <w:right w:val="single" w:sz="8" w:color="005C7D"/>
            </w:tcBorders>
            <w:shd w:val="clear" w:color="auto" w:fill="CDDAE6"/>
          </w:tcPr>
          <w:p>
            <w:pPr>
              <w:ind w:left="280"/>
              <w:spacing w:after="0"/>
              <w:rPr>
                <w:sz w:val="20"/>
                <w:szCs w:val="20"/>
                <w:color w:val="auto"/>
              </w:rPr>
            </w:pPr>
            <w:r>
              <w:rPr>
                <w:rFonts w:ascii="Arial" w:cs="Arial" w:eastAsia="Arial" w:hAnsi="Arial"/>
                <w:sz w:val="16"/>
                <w:szCs w:val="16"/>
                <w:color w:val="auto"/>
                <w:w w:val="95"/>
              </w:rPr>
              <w:t>consist solely of independent directors</w:t>
            </w:r>
          </w:p>
        </w:tc>
        <w:tc>
          <w:tcPr>
            <w:tcW w:w="3080" w:type="dxa"/>
            <w:vAlign w:val="bottom"/>
            <w:tcBorders>
              <w:right w:val="single" w:sz="8" w:color="005C7D"/>
            </w:tcBorders>
            <w:shd w:val="clear" w:color="auto" w:fill="CDDAE6"/>
          </w:tcPr>
          <w:p>
            <w:pPr>
              <w:ind w:left="260"/>
              <w:spacing w:after="0"/>
              <w:rPr>
                <w:sz w:val="20"/>
                <w:szCs w:val="20"/>
                <w:color w:val="auto"/>
              </w:rPr>
            </w:pPr>
            <w:r>
              <w:rPr>
                <w:rFonts w:ascii="Arial" w:cs="Arial" w:eastAsia="Arial" w:hAnsi="Arial"/>
                <w:sz w:val="16"/>
                <w:szCs w:val="16"/>
                <w:color w:val="auto"/>
              </w:rPr>
              <w:t>business conduct and corporate</w:t>
            </w:r>
          </w:p>
        </w:tc>
        <w:tc>
          <w:tcPr>
            <w:tcW w:w="180" w:type="dxa"/>
            <w:vAlign w:val="bottom"/>
            <w:shd w:val="clear" w:color="auto" w:fill="CDDAE6"/>
          </w:tcPr>
          <w:p>
            <w:pPr>
              <w:spacing w:after="0"/>
              <w:rPr>
                <w:sz w:val="17"/>
                <w:szCs w:val="17"/>
                <w:color w:val="auto"/>
              </w:rPr>
            </w:pPr>
          </w:p>
        </w:tc>
        <w:tc>
          <w:tcPr>
            <w:tcW w:w="2900" w:type="dxa"/>
            <w:vAlign w:val="bottom"/>
            <w:tcBorders>
              <w:right w:val="single" w:sz="8" w:color="005C7D"/>
            </w:tcBorders>
            <w:shd w:val="clear" w:color="auto" w:fill="CDDAE6"/>
          </w:tcPr>
          <w:p>
            <w:pPr>
              <w:ind w:left="80"/>
              <w:spacing w:after="0"/>
              <w:rPr>
                <w:sz w:val="20"/>
                <w:szCs w:val="20"/>
                <w:color w:val="auto"/>
              </w:rPr>
            </w:pPr>
            <w:r>
              <w:rPr>
                <w:rFonts w:ascii="Arial" w:cs="Arial" w:eastAsia="Arial" w:hAnsi="Arial"/>
                <w:sz w:val="16"/>
                <w:szCs w:val="16"/>
                <w:color w:val="auto"/>
              </w:rPr>
              <w:t>and executive officers</w:t>
            </w:r>
          </w:p>
        </w:tc>
      </w:tr>
      <w:tr>
        <w:trPr>
          <w:trHeight w:val="243"/>
        </w:trPr>
        <w:tc>
          <w:tcPr>
            <w:tcW w:w="2920" w:type="dxa"/>
            <w:vAlign w:val="bottom"/>
            <w:tcBorders>
              <w:left w:val="single" w:sz="8" w:color="005C7D"/>
              <w:right w:val="single" w:sz="8" w:color="005C7D"/>
            </w:tcBorders>
            <w:shd w:val="clear" w:color="auto" w:fill="CDDAE6"/>
          </w:tcPr>
          <w:p>
            <w:pPr>
              <w:ind w:left="100"/>
              <w:spacing w:after="0"/>
              <w:rPr>
                <w:sz w:val="20"/>
                <w:szCs w:val="20"/>
                <w:color w:val="auto"/>
              </w:rPr>
            </w:pPr>
            <w:r>
              <w:rPr>
                <w:rFonts w:ascii="Arial" w:cs="Arial" w:eastAsia="Arial" w:hAnsi="Arial"/>
                <w:sz w:val="16"/>
                <w:szCs w:val="16"/>
                <w:color w:val="auto"/>
              </w:rPr>
              <w:t>▪  Regular executive sessions of</w:t>
            </w:r>
          </w:p>
        </w:tc>
        <w:tc>
          <w:tcPr>
            <w:tcW w:w="3080" w:type="dxa"/>
            <w:vAlign w:val="bottom"/>
            <w:tcBorders>
              <w:right w:val="single" w:sz="8" w:color="005C7D"/>
            </w:tcBorders>
            <w:shd w:val="clear" w:color="auto" w:fill="CDDAE6"/>
          </w:tcPr>
          <w:p>
            <w:pPr>
              <w:ind w:left="260"/>
              <w:spacing w:after="0"/>
              <w:rPr>
                <w:sz w:val="20"/>
                <w:szCs w:val="20"/>
                <w:color w:val="auto"/>
              </w:rPr>
            </w:pPr>
            <w:r>
              <w:rPr>
                <w:rFonts w:ascii="Arial" w:cs="Arial" w:eastAsia="Arial" w:hAnsi="Arial"/>
                <w:sz w:val="16"/>
                <w:szCs w:val="16"/>
                <w:color w:val="auto"/>
              </w:rPr>
              <w:t>governance guidelines</w:t>
            </w:r>
          </w:p>
        </w:tc>
        <w:tc>
          <w:tcPr>
            <w:tcW w:w="3080" w:type="dxa"/>
            <w:vAlign w:val="bottom"/>
            <w:tcBorders>
              <w:right w:val="single" w:sz="8" w:color="005C7D"/>
            </w:tcBorders>
            <w:gridSpan w:val="2"/>
            <w:shd w:val="clear" w:color="auto" w:fill="CDDAE6"/>
          </w:tcPr>
          <w:p>
            <w:pPr>
              <w:ind w:left="60"/>
              <w:spacing w:after="0"/>
              <w:rPr>
                <w:sz w:val="20"/>
                <w:szCs w:val="20"/>
                <w:color w:val="auto"/>
              </w:rPr>
            </w:pPr>
            <w:r>
              <w:rPr>
                <w:rFonts w:ascii="Arial" w:cs="Arial" w:eastAsia="Arial" w:hAnsi="Arial"/>
                <w:sz w:val="16"/>
                <w:szCs w:val="16"/>
                <w:color w:val="005C7D"/>
              </w:rPr>
              <w:t xml:space="preserve">▪  </w:t>
            </w:r>
            <w:r>
              <w:rPr>
                <w:rFonts w:ascii="Arial" w:cs="Arial" w:eastAsia="Arial" w:hAnsi="Arial"/>
                <w:sz w:val="16"/>
                <w:szCs w:val="16"/>
                <w:color w:val="000000"/>
              </w:rPr>
              <w:t>Policy prohibiting hedging and pledging</w:t>
            </w:r>
          </w:p>
        </w:tc>
      </w:tr>
      <w:tr>
        <w:trPr>
          <w:trHeight w:val="203"/>
        </w:trPr>
        <w:tc>
          <w:tcPr>
            <w:tcW w:w="2920" w:type="dxa"/>
            <w:vAlign w:val="bottom"/>
            <w:tcBorders>
              <w:left w:val="single" w:sz="8" w:color="005C7D"/>
              <w:right w:val="single" w:sz="8" w:color="005C7D"/>
            </w:tcBorders>
            <w:shd w:val="clear" w:color="auto" w:fill="CDDAE6"/>
          </w:tcPr>
          <w:p>
            <w:pPr>
              <w:ind w:left="280"/>
              <w:spacing w:after="0"/>
              <w:rPr>
                <w:sz w:val="20"/>
                <w:szCs w:val="20"/>
                <w:color w:val="auto"/>
              </w:rPr>
            </w:pPr>
            <w:r>
              <w:rPr>
                <w:rFonts w:ascii="Arial" w:cs="Arial" w:eastAsia="Arial" w:hAnsi="Arial"/>
                <w:sz w:val="16"/>
                <w:szCs w:val="16"/>
                <w:color w:val="auto"/>
              </w:rPr>
              <w:t>independent directors</w:t>
            </w:r>
          </w:p>
        </w:tc>
        <w:tc>
          <w:tcPr>
            <w:tcW w:w="3080" w:type="dxa"/>
            <w:vAlign w:val="bottom"/>
            <w:tcBorders>
              <w:right w:val="single" w:sz="8" w:color="005C7D"/>
            </w:tcBorders>
            <w:shd w:val="clear" w:color="auto" w:fill="CDDAE6"/>
          </w:tcPr>
          <w:p>
            <w:pPr>
              <w:ind w:left="60"/>
              <w:spacing w:after="0"/>
              <w:rPr>
                <w:sz w:val="20"/>
                <w:szCs w:val="20"/>
                <w:color w:val="auto"/>
              </w:rPr>
            </w:pPr>
            <w:r>
              <w:rPr>
                <w:rFonts w:ascii="Arial" w:cs="Arial" w:eastAsia="Arial" w:hAnsi="Arial"/>
                <w:sz w:val="16"/>
                <w:szCs w:val="16"/>
                <w:color w:val="005C7D"/>
              </w:rPr>
              <w:t xml:space="preserve">▪  </w:t>
            </w:r>
            <w:r>
              <w:rPr>
                <w:rFonts w:ascii="Arial" w:cs="Arial" w:eastAsia="Arial" w:hAnsi="Arial"/>
                <w:sz w:val="16"/>
                <w:szCs w:val="16"/>
                <w:color w:val="000000"/>
              </w:rPr>
              <w:t>No shareholder rights plan or “poison</w:t>
            </w:r>
          </w:p>
        </w:tc>
        <w:tc>
          <w:tcPr>
            <w:tcW w:w="180" w:type="dxa"/>
            <w:vAlign w:val="bottom"/>
            <w:shd w:val="clear" w:color="auto" w:fill="CDDAE6"/>
          </w:tcPr>
          <w:p>
            <w:pPr>
              <w:ind w:left="60"/>
              <w:spacing w:after="0"/>
              <w:rPr>
                <w:sz w:val="20"/>
                <w:szCs w:val="20"/>
                <w:color w:val="auto"/>
              </w:rPr>
            </w:pPr>
            <w:r>
              <w:rPr>
                <w:rFonts w:ascii="Arial" w:cs="Arial" w:eastAsia="Arial" w:hAnsi="Arial"/>
                <w:sz w:val="16"/>
                <w:szCs w:val="16"/>
                <w:color w:val="005C7D"/>
              </w:rPr>
              <w:t>▪</w:t>
            </w:r>
          </w:p>
        </w:tc>
        <w:tc>
          <w:tcPr>
            <w:tcW w:w="2900" w:type="dxa"/>
            <w:vAlign w:val="bottom"/>
            <w:tcBorders>
              <w:right w:val="single" w:sz="8" w:color="005C7D"/>
            </w:tcBorders>
            <w:shd w:val="clear" w:color="auto" w:fill="CDDAE6"/>
          </w:tcPr>
          <w:p>
            <w:pPr>
              <w:ind w:left="60"/>
              <w:spacing w:after="0"/>
              <w:rPr>
                <w:sz w:val="20"/>
                <w:szCs w:val="20"/>
                <w:color w:val="auto"/>
              </w:rPr>
            </w:pPr>
            <w:r>
              <w:rPr>
                <w:rFonts w:ascii="Arial" w:cs="Arial" w:eastAsia="Arial" w:hAnsi="Arial"/>
                <w:sz w:val="16"/>
                <w:szCs w:val="16"/>
                <w:color w:val="auto"/>
              </w:rPr>
              <w:t>Compensation “clawback” policy</w:t>
            </w:r>
          </w:p>
        </w:tc>
      </w:tr>
      <w:tr>
        <w:trPr>
          <w:trHeight w:val="233"/>
        </w:trPr>
        <w:tc>
          <w:tcPr>
            <w:tcW w:w="2920" w:type="dxa"/>
            <w:vAlign w:val="bottom"/>
            <w:tcBorders>
              <w:left w:val="single" w:sz="8" w:color="005C7D"/>
              <w:bottom w:val="single" w:sz="8" w:color="005C7D"/>
              <w:right w:val="single" w:sz="8" w:color="005C7D"/>
            </w:tcBorders>
            <w:shd w:val="clear" w:color="auto" w:fill="CDDAE6"/>
          </w:tcPr>
          <w:p>
            <w:pPr>
              <w:spacing w:after="0"/>
              <w:rPr>
                <w:sz w:val="20"/>
                <w:szCs w:val="20"/>
                <w:color w:val="auto"/>
              </w:rPr>
            </w:pPr>
          </w:p>
        </w:tc>
        <w:tc>
          <w:tcPr>
            <w:tcW w:w="3080" w:type="dxa"/>
            <w:vAlign w:val="bottom"/>
            <w:tcBorders>
              <w:bottom w:val="single" w:sz="8" w:color="005C7D"/>
              <w:right w:val="single" w:sz="8" w:color="005C7D"/>
            </w:tcBorders>
            <w:shd w:val="clear" w:color="auto" w:fill="CDDAE6"/>
          </w:tcPr>
          <w:p>
            <w:pPr>
              <w:ind w:left="260"/>
              <w:spacing w:after="0"/>
              <w:rPr>
                <w:sz w:val="20"/>
                <w:szCs w:val="20"/>
                <w:color w:val="auto"/>
              </w:rPr>
            </w:pPr>
            <w:r>
              <w:rPr>
                <w:rFonts w:ascii="Arial" w:cs="Arial" w:eastAsia="Arial" w:hAnsi="Arial"/>
                <w:sz w:val="16"/>
                <w:szCs w:val="16"/>
                <w:color w:val="auto"/>
              </w:rPr>
              <w:t>pill”</w:t>
            </w:r>
          </w:p>
        </w:tc>
        <w:tc>
          <w:tcPr>
            <w:tcW w:w="180" w:type="dxa"/>
            <w:vAlign w:val="bottom"/>
            <w:tcBorders>
              <w:bottom w:val="single" w:sz="8" w:color="005C7D"/>
            </w:tcBorders>
            <w:shd w:val="clear" w:color="auto" w:fill="CDDAE6"/>
          </w:tcPr>
          <w:p>
            <w:pPr>
              <w:spacing w:after="0"/>
              <w:rPr>
                <w:sz w:val="20"/>
                <w:szCs w:val="20"/>
                <w:color w:val="auto"/>
              </w:rPr>
            </w:pPr>
          </w:p>
        </w:tc>
        <w:tc>
          <w:tcPr>
            <w:tcW w:w="2900" w:type="dxa"/>
            <w:vAlign w:val="bottom"/>
            <w:tcBorders>
              <w:bottom w:val="single" w:sz="8" w:color="005C7D"/>
              <w:right w:val="single" w:sz="8" w:color="005C7D"/>
            </w:tcBorders>
            <w:shd w:val="clear" w:color="auto" w:fill="CDDAE6"/>
          </w:tcPr>
          <w:p>
            <w:pPr>
              <w:spacing w:after="0"/>
              <w:rPr>
                <w:sz w:val="20"/>
                <w:szCs w:val="20"/>
                <w:color w:val="auto"/>
              </w:rPr>
            </w:pPr>
          </w:p>
        </w:tc>
      </w:tr>
    </w:tbl>
    <w:p>
      <w:pPr>
        <w:spacing w:after="0" w:line="148" w:lineRule="exact"/>
        <w:rPr>
          <w:sz w:val="20"/>
          <w:szCs w:val="20"/>
          <w:color w:val="auto"/>
        </w:rPr>
      </w:pPr>
    </w:p>
    <w:p>
      <w:pPr>
        <w:ind w:left="240" w:right="100"/>
        <w:spacing w:after="0" w:line="257" w:lineRule="auto"/>
        <w:rPr>
          <w:sz w:val="20"/>
          <w:szCs w:val="20"/>
          <w:color w:val="auto"/>
        </w:rPr>
      </w:pPr>
      <w:r>
        <w:rPr>
          <w:rFonts w:ascii="Arial" w:cs="Arial" w:eastAsia="Arial" w:hAnsi="Arial"/>
          <w:sz w:val="18"/>
          <w:szCs w:val="18"/>
          <w:color w:val="auto"/>
        </w:rPr>
        <w:t>During 2016, we amended our Bylaws to proactively adopt proxy access, which permits a shareholder or a group of up to 20 shareholders, owning shares representing 3% or more of the voting power entitled to vote generally in the election of directors for at least three years, to submit director nominees for up to the greater of 20% of the independent directors on the Board or two shareholder nominees for inclusion in our Proxy Statement if the shareholder(s) and the nominee(s) meet the requirements in our Bylaws.</w:t>
      </w:r>
    </w:p>
    <w:p>
      <w:pPr>
        <w:spacing w:after="0" w:line="200" w:lineRule="exact"/>
        <w:rPr>
          <w:sz w:val="20"/>
          <w:szCs w:val="20"/>
          <w:color w:val="auto"/>
        </w:rPr>
      </w:pPr>
    </w:p>
    <w:p>
      <w:pPr>
        <w:spacing w:after="0" w:line="355" w:lineRule="exact"/>
        <w:rPr>
          <w:sz w:val="20"/>
          <w:szCs w:val="20"/>
          <w:color w:val="auto"/>
        </w:rPr>
      </w:pPr>
    </w:p>
    <w:p>
      <w:pPr>
        <w:ind w:left="40"/>
        <w:spacing w:after="0"/>
        <w:tabs>
          <w:tab w:leader="none" w:pos="344" w:val="left"/>
        </w:tabs>
        <w:rPr>
          <w:sz w:val="20"/>
          <w:szCs w:val="20"/>
          <w:color w:val="auto"/>
        </w:rPr>
      </w:pPr>
      <w:r>
        <w:rPr>
          <w:rFonts w:ascii="Arial" w:cs="Arial" w:eastAsia="Arial" w:hAnsi="Arial"/>
          <w:sz w:val="18"/>
          <w:szCs w:val="18"/>
          <w:color w:val="005C7D"/>
        </w:rPr>
        <w:t>2</w:t>
      </w:r>
      <w:r>
        <w:rPr>
          <w:sz w:val="20"/>
          <w:szCs w:val="20"/>
          <w:color w:val="auto"/>
        </w:rPr>
        <w:tab/>
      </w:r>
      <w:r>
        <w:rPr>
          <w:sz w:val="1"/>
          <w:szCs w:val="1"/>
          <w:color w:val="auto"/>
        </w:rPr>
        <w:drawing>
          <wp:inline distT="0" distB="0" distL="0" distR="0">
            <wp:extent cx="154305" cy="1543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r>
        <w:rPr>
          <w:rFonts w:ascii="Arial" w:cs="Arial" w:eastAsia="Arial" w:hAnsi="Arial"/>
          <w:sz w:val="14"/>
          <w:szCs w:val="14"/>
          <w:color w:val="005C7D"/>
        </w:rPr>
        <w:t xml:space="preserve"> –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343535</wp:posOffset>
            </wp:positionV>
            <wp:extent cx="607187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300"/>
          </w:cols>
          <w:pgMar w:left="1180" w:top="279" w:right="141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75680" cy="76968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75680" cy="7696835"/>
                    </a:xfrm>
                    <a:prstGeom prst="rect">
                      <a:avLst/>
                    </a:prstGeom>
                    <a:noFill/>
                  </pic:spPr>
                </pic:pic>
              </a:graphicData>
            </a:graphic>
          </wp:anchor>
        </w:drawing>
      </w:r>
    </w:p>
    <w:p>
      <w:pPr>
        <w:spacing w:after="0" w:line="242"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005C7D"/>
        </w:rPr>
        <w:t>PROXY STATEMENT SUMMARY</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SHAREHOLDER ENGAGEMENT</w:t>
      </w:r>
    </w:p>
    <w:p>
      <w:pPr>
        <w:spacing w:after="0" w:line="121" w:lineRule="exact"/>
        <w:rPr>
          <w:sz w:val="20"/>
          <w:szCs w:val="20"/>
          <w:color w:val="auto"/>
        </w:rPr>
      </w:pPr>
    </w:p>
    <w:p>
      <w:pPr>
        <w:ind w:left="240" w:right="260"/>
        <w:spacing w:after="0" w:line="302" w:lineRule="auto"/>
        <w:rPr>
          <w:sz w:val="20"/>
          <w:szCs w:val="20"/>
          <w:color w:val="auto"/>
        </w:rPr>
      </w:pPr>
      <w:r>
        <w:rPr>
          <w:rFonts w:ascii="Arial" w:cs="Arial" w:eastAsia="Arial" w:hAnsi="Arial"/>
          <w:sz w:val="16"/>
          <w:szCs w:val="16"/>
          <w:color w:val="auto"/>
        </w:rPr>
        <w:t>In recent years, we have made a concerted effort to engage with our shareholders both during and outside the proxy season in order to have a better understanding of their perspectives on our Company, including matters of corporate governance, as well as our strategies and performance. This dialogue, in which both management and directors participate, as appropriate, has helped inform the Board’s decision-making and ensures our interests remain well-aligned with those of our shareholders.</w:t>
      </w:r>
    </w:p>
    <w:p>
      <w:pPr>
        <w:spacing w:after="0" w:line="100" w:lineRule="exact"/>
        <w:rPr>
          <w:sz w:val="20"/>
          <w:szCs w:val="20"/>
          <w:color w:val="auto"/>
        </w:rPr>
      </w:pPr>
    </w:p>
    <w:p>
      <w:pPr>
        <w:ind w:left="240" w:right="260"/>
        <w:spacing w:after="0" w:line="279" w:lineRule="auto"/>
        <w:rPr>
          <w:sz w:val="20"/>
          <w:szCs w:val="20"/>
          <w:color w:val="auto"/>
        </w:rPr>
      </w:pPr>
      <w:r>
        <w:rPr>
          <w:rFonts w:ascii="Arial" w:cs="Arial" w:eastAsia="Arial" w:hAnsi="Arial"/>
          <w:sz w:val="17"/>
          <w:szCs w:val="17"/>
          <w:color w:val="auto"/>
        </w:rPr>
        <w:t>The Company has a strong record of adopting provisions or modifying practices to reflect shareholder input. During 2016, the Board, on its own initiative, adopted a proxy access bylaw in October 2016, and modified the bylaw in December 2016, to reflect constructive input received from our investors. In addition, in response to investor feedback, we enhanced our corporate governance disclosure in our proxy statement to provide additional information regarding:</w:t>
      </w:r>
    </w:p>
    <w:p>
      <w:pPr>
        <w:spacing w:after="0" w:line="63" w:lineRule="exact"/>
        <w:rPr>
          <w:sz w:val="20"/>
          <w:szCs w:val="20"/>
          <w:color w:val="auto"/>
        </w:rPr>
      </w:pPr>
    </w:p>
    <w:p>
      <w:pPr>
        <w:ind w:left="940" w:hanging="357"/>
        <w:spacing w:after="0"/>
        <w:tabs>
          <w:tab w:leader="none" w:pos="940" w:val="left"/>
        </w:tabs>
        <w:numPr>
          <w:ilvl w:val="0"/>
          <w:numId w:val="6"/>
        </w:numPr>
        <w:rPr>
          <w:rFonts w:ascii="Arial" w:cs="Arial" w:eastAsia="Arial" w:hAnsi="Arial"/>
          <w:sz w:val="18"/>
          <w:szCs w:val="18"/>
          <w:color w:val="005C7D"/>
        </w:rPr>
      </w:pPr>
      <w:r>
        <w:rPr>
          <w:rFonts w:ascii="Arial" w:cs="Arial" w:eastAsia="Arial" w:hAnsi="Arial"/>
          <w:sz w:val="18"/>
          <w:szCs w:val="18"/>
          <w:color w:val="auto"/>
        </w:rPr>
        <w:t>Board tenure, refreshment and diversity;</w:t>
      </w:r>
    </w:p>
    <w:p>
      <w:pPr>
        <w:spacing w:after="0" w:line="117" w:lineRule="exact"/>
        <w:rPr>
          <w:rFonts w:ascii="Arial" w:cs="Arial" w:eastAsia="Arial" w:hAnsi="Arial"/>
          <w:sz w:val="18"/>
          <w:szCs w:val="18"/>
          <w:color w:val="005C7D"/>
        </w:rPr>
      </w:pPr>
    </w:p>
    <w:p>
      <w:pPr>
        <w:ind w:left="940" w:hanging="357"/>
        <w:spacing w:after="0"/>
        <w:tabs>
          <w:tab w:leader="none" w:pos="940" w:val="left"/>
        </w:tabs>
        <w:numPr>
          <w:ilvl w:val="0"/>
          <w:numId w:val="6"/>
        </w:numPr>
        <w:rPr>
          <w:rFonts w:ascii="Arial" w:cs="Arial" w:eastAsia="Arial" w:hAnsi="Arial"/>
          <w:sz w:val="18"/>
          <w:szCs w:val="18"/>
          <w:color w:val="005C7D"/>
        </w:rPr>
      </w:pPr>
      <w:r>
        <w:rPr>
          <w:rFonts w:ascii="Arial" w:cs="Arial" w:eastAsia="Arial" w:hAnsi="Arial"/>
          <w:sz w:val="18"/>
          <w:szCs w:val="18"/>
          <w:color w:val="auto"/>
        </w:rPr>
        <w:t>Board committee accomplishments; and</w:t>
      </w:r>
    </w:p>
    <w:p>
      <w:pPr>
        <w:spacing w:after="0" w:line="117" w:lineRule="exact"/>
        <w:rPr>
          <w:rFonts w:ascii="Arial" w:cs="Arial" w:eastAsia="Arial" w:hAnsi="Arial"/>
          <w:sz w:val="18"/>
          <w:szCs w:val="18"/>
          <w:color w:val="005C7D"/>
        </w:rPr>
      </w:pPr>
    </w:p>
    <w:p>
      <w:pPr>
        <w:ind w:left="940" w:hanging="357"/>
        <w:spacing w:after="0"/>
        <w:tabs>
          <w:tab w:leader="none" w:pos="940" w:val="left"/>
        </w:tabs>
        <w:numPr>
          <w:ilvl w:val="0"/>
          <w:numId w:val="6"/>
        </w:numPr>
        <w:rPr>
          <w:rFonts w:ascii="Arial" w:cs="Arial" w:eastAsia="Arial" w:hAnsi="Arial"/>
          <w:sz w:val="18"/>
          <w:szCs w:val="18"/>
          <w:color w:val="005C7D"/>
        </w:rPr>
      </w:pPr>
      <w:r>
        <w:rPr>
          <w:rFonts w:ascii="Arial" w:cs="Arial" w:eastAsia="Arial" w:hAnsi="Arial"/>
          <w:sz w:val="18"/>
          <w:szCs w:val="18"/>
          <w:color w:val="auto"/>
        </w:rPr>
        <w:t>Board committee oversight of political contributions and lobbying.</w:t>
      </w:r>
    </w:p>
    <w:p>
      <w:pPr>
        <w:spacing w:after="0" w:line="171" w:lineRule="exact"/>
        <w:rPr>
          <w:sz w:val="20"/>
          <w:szCs w:val="20"/>
          <w:color w:val="auto"/>
        </w:rPr>
      </w:pPr>
    </w:p>
    <w:p>
      <w:pPr>
        <w:ind w:left="240" w:right="320"/>
        <w:spacing w:after="0" w:line="257" w:lineRule="auto"/>
        <w:rPr>
          <w:sz w:val="20"/>
          <w:szCs w:val="20"/>
          <w:color w:val="auto"/>
        </w:rPr>
      </w:pPr>
      <w:r>
        <w:rPr>
          <w:rFonts w:ascii="Arial" w:cs="Arial" w:eastAsia="Arial" w:hAnsi="Arial"/>
          <w:sz w:val="18"/>
          <w:szCs w:val="18"/>
          <w:color w:val="auto"/>
        </w:rPr>
        <w:t>We also regularly attend investor conferences and hold one-on-one meetings with shareholders and potential investors throughout the United States. In addition, we have telephonic calls with shareholders and analysts on a periodic basis, review correspondence submitted by shareholders to management and/or the Board, and have discussions with proxy advisory services. In 2016, these outreach efforts resulted in dialogue with shareholders representing over 40% in the aggregate of the Company’s outstanding Common Stock.</w:t>
      </w:r>
    </w:p>
    <w:p>
      <w:pPr>
        <w:spacing w:after="0" w:line="134" w:lineRule="exact"/>
        <w:rPr>
          <w:sz w:val="20"/>
          <w:szCs w:val="20"/>
          <w:color w:val="auto"/>
        </w:rPr>
      </w:pPr>
    </w:p>
    <w:p>
      <w:pPr>
        <w:ind w:left="240" w:right="660"/>
        <w:spacing w:after="0" w:line="277" w:lineRule="auto"/>
        <w:rPr>
          <w:sz w:val="20"/>
          <w:szCs w:val="20"/>
          <w:color w:val="auto"/>
        </w:rPr>
      </w:pPr>
      <w:r>
        <w:rPr>
          <w:rFonts w:ascii="Arial" w:cs="Arial" w:eastAsia="Arial" w:hAnsi="Arial"/>
          <w:sz w:val="18"/>
          <w:szCs w:val="18"/>
          <w:color w:val="auto"/>
        </w:rPr>
        <w:t>Shareholders may access investor information about the Company through our website at http://www.L3T.com/investor-relations.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SUMMARY OF 2016 BUSINESS PERFORMANCE</w:t>
      </w:r>
    </w:p>
    <w:p>
      <w:pPr>
        <w:spacing w:after="0" w:line="121" w:lineRule="exact"/>
        <w:rPr>
          <w:sz w:val="20"/>
          <w:szCs w:val="20"/>
          <w:color w:val="auto"/>
        </w:rPr>
      </w:pPr>
    </w:p>
    <w:p>
      <w:pPr>
        <w:ind w:left="940" w:right="300" w:hanging="357"/>
        <w:spacing w:after="0" w:line="271" w:lineRule="auto"/>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Our diluted earnings per share (“EPS”) and free cash flow (“FCF”) achievements exceeded the corporate goals in our annual incentive plan by 7% for each measure. Our 2016 EPS from continuing operations was $8.21, compared with $3.44 for 2015, and our net cash from operating activities from continuing operations increased by 3% to $1,097 million for 2016, as compared to $1,069 million for 2015. Our 2015 EPS from continuing operations includes certain non-cash goodwill impairment charges and a loss on business divestitures that are described more fully in “Compensation Discussion and Analysis — Reconciliation of Non-GAAP Measures to GAAP Measures” on page </w:t>
      </w:r>
      <w:hyperlink w:anchor="page65">
        <w:r>
          <w:rPr>
            <w:rFonts w:ascii="Arial" w:cs="Arial" w:eastAsia="Arial" w:hAnsi="Arial"/>
            <w:sz w:val="17"/>
            <w:szCs w:val="17"/>
            <w:u w:val="single" w:color="auto"/>
            <w:color w:val="0000EE"/>
          </w:rPr>
          <w:t>59</w:t>
        </w:r>
      </w:hyperlink>
      <w:r>
        <w:rPr>
          <w:rFonts w:ascii="Arial" w:cs="Arial" w:eastAsia="Arial" w:hAnsi="Arial"/>
          <w:sz w:val="17"/>
          <w:szCs w:val="17"/>
          <w:color w:val="auto"/>
        </w:rPr>
        <w:t>. Excluding these items, our EPS from continuing operations grew by 19% to $8.21 for 2016, as compared to $6.91 for 2015.</w:t>
      </w:r>
    </w:p>
    <w:p>
      <w:pPr>
        <w:spacing w:after="0" w:line="70" w:lineRule="exact"/>
        <w:rPr>
          <w:rFonts w:ascii="Arial" w:cs="Arial" w:eastAsia="Arial" w:hAnsi="Arial"/>
          <w:sz w:val="17"/>
          <w:szCs w:val="17"/>
          <w:color w:val="auto"/>
        </w:rPr>
      </w:pPr>
    </w:p>
    <w:p>
      <w:pPr>
        <w:ind w:left="940" w:right="300" w:hanging="357"/>
        <w:spacing w:after="0" w:line="293" w:lineRule="auto"/>
        <w:tabs>
          <w:tab w:leader="none" w:pos="940" w:val="left"/>
        </w:tabs>
        <w:numPr>
          <w:ilvl w:val="0"/>
          <w:numId w:val="7"/>
        </w:numPr>
        <w:rPr>
          <w:rFonts w:ascii="Arial" w:cs="Arial" w:eastAsia="Arial" w:hAnsi="Arial"/>
          <w:sz w:val="16"/>
          <w:szCs w:val="16"/>
          <w:color w:val="005C7D"/>
        </w:rPr>
      </w:pPr>
      <w:r>
        <w:rPr>
          <w:rFonts w:ascii="Arial" w:cs="Arial" w:eastAsia="Arial" w:hAnsi="Arial"/>
          <w:sz w:val="16"/>
          <w:szCs w:val="16"/>
          <w:color w:val="auto"/>
        </w:rPr>
        <w:t>Our consolidated net sales grew by 0.4% to $10,511 million for 2016, as compared to $10,466 million for 2015. Our consolidated organic sales growth (that is, net sales excluding the sales impact of business acquisitions and divestitures) was 2% for 2016, led by organic growth of 5% for our U.S. Government business (including the Department of Defense), which compares favorably to the 4% increase in the total Department of Defense budget for the U.S. Government fiscal year ended September 30, 2016. Consolidated organic sales exclude $209 million of sales declines related to business divestitures and $93 million of sales increases related to business acquisitions.</w:t>
      </w:r>
    </w:p>
    <w:p>
      <w:pPr>
        <w:spacing w:after="0" w:line="56" w:lineRule="exact"/>
        <w:rPr>
          <w:rFonts w:ascii="Arial" w:cs="Arial" w:eastAsia="Arial" w:hAnsi="Arial"/>
          <w:sz w:val="16"/>
          <w:szCs w:val="16"/>
          <w:color w:val="005C7D"/>
        </w:rPr>
      </w:pPr>
    </w:p>
    <w:p>
      <w:pPr>
        <w:ind w:left="940" w:right="500" w:hanging="357"/>
        <w:spacing w:after="0" w:line="277" w:lineRule="auto"/>
        <w:tabs>
          <w:tab w:leader="none" w:pos="940" w:val="left"/>
        </w:tabs>
        <w:numPr>
          <w:ilvl w:val="0"/>
          <w:numId w:val="7"/>
        </w:numPr>
        <w:rPr>
          <w:rFonts w:ascii="Arial" w:cs="Arial" w:eastAsia="Arial" w:hAnsi="Arial"/>
          <w:sz w:val="18"/>
          <w:szCs w:val="18"/>
          <w:color w:val="005C7D"/>
        </w:rPr>
      </w:pPr>
      <w:r>
        <w:rPr>
          <w:rFonts w:ascii="Arial" w:cs="Arial" w:eastAsia="Arial" w:hAnsi="Arial"/>
          <w:sz w:val="18"/>
          <w:szCs w:val="18"/>
          <w:color w:val="auto"/>
        </w:rPr>
        <w:t>Operating margins increased in every segment as compared to 2015. Our segment operating margin increased by 110 basis points to 9.6% for 2016, as compared to 8.5% for 2015.</w:t>
      </w:r>
    </w:p>
    <w:p>
      <w:pPr>
        <w:spacing w:after="0" w:line="62" w:lineRule="exact"/>
        <w:rPr>
          <w:rFonts w:ascii="Arial" w:cs="Arial" w:eastAsia="Arial" w:hAnsi="Arial"/>
          <w:sz w:val="18"/>
          <w:szCs w:val="18"/>
          <w:color w:val="005C7D"/>
        </w:rPr>
      </w:pPr>
    </w:p>
    <w:p>
      <w:pPr>
        <w:ind w:left="940" w:right="300" w:hanging="357"/>
        <w:spacing w:after="0" w:line="308" w:lineRule="auto"/>
        <w:tabs>
          <w:tab w:leader="none" w:pos="940" w:val="left"/>
        </w:tabs>
        <w:numPr>
          <w:ilvl w:val="0"/>
          <w:numId w:val="7"/>
        </w:numPr>
        <w:rPr>
          <w:rFonts w:ascii="Arial" w:cs="Arial" w:eastAsia="Arial" w:hAnsi="Arial"/>
          <w:sz w:val="17"/>
          <w:szCs w:val="17"/>
          <w:color w:val="005C7D"/>
        </w:rPr>
      </w:pPr>
      <w:r>
        <w:rPr>
          <w:rFonts w:ascii="Arial" w:cs="Arial" w:eastAsia="Arial" w:hAnsi="Arial"/>
          <w:sz w:val="17"/>
          <w:szCs w:val="17"/>
          <w:color w:val="auto"/>
        </w:rPr>
        <w:t>Our segment operating income increased by $118 million, or 13%, to $1,008 million for 2016, as compared to $890 million for 2015, driven by our organic sales growth and segment operating margin increases in 2016.</w:t>
      </w:r>
    </w:p>
    <w:p>
      <w:pPr>
        <w:spacing w:after="0" w:line="38" w:lineRule="exact"/>
        <w:rPr>
          <w:rFonts w:ascii="Arial" w:cs="Arial" w:eastAsia="Arial" w:hAnsi="Arial"/>
          <w:sz w:val="17"/>
          <w:szCs w:val="17"/>
          <w:color w:val="005C7D"/>
        </w:rPr>
      </w:pPr>
    </w:p>
    <w:p>
      <w:pPr>
        <w:ind w:left="940" w:right="280" w:hanging="357"/>
        <w:spacing w:after="0" w:line="302" w:lineRule="auto"/>
        <w:tabs>
          <w:tab w:leader="none" w:pos="940" w:val="left"/>
        </w:tabs>
        <w:numPr>
          <w:ilvl w:val="0"/>
          <w:numId w:val="7"/>
        </w:numPr>
        <w:rPr>
          <w:rFonts w:ascii="Arial" w:cs="Arial" w:eastAsia="Arial" w:hAnsi="Arial"/>
          <w:sz w:val="16"/>
          <w:szCs w:val="16"/>
          <w:color w:val="005C7D"/>
        </w:rPr>
      </w:pPr>
      <w:r>
        <w:rPr>
          <w:rFonts w:ascii="Arial" w:cs="Arial" w:eastAsia="Arial" w:hAnsi="Arial"/>
          <w:sz w:val="16"/>
          <w:szCs w:val="16"/>
          <w:color w:val="auto"/>
        </w:rPr>
        <w:t>We completed significant strategic actions to reshape and strengthen our business portfolio for future success. In February 2016, we completed the sale of our National Security Solutions business for approximately $550 million. We also invested $388 million to acquire four businesses in 2016 that build and strengthen L3’s core business areas, including RF microwave and power, sensors, commercial aviation simulation and training, and aviation security.</w:t>
      </w:r>
    </w:p>
    <w:p>
      <w:pPr>
        <w:spacing w:after="0" w:line="36" w:lineRule="exact"/>
        <w:rPr>
          <w:rFonts w:ascii="Arial" w:cs="Arial" w:eastAsia="Arial" w:hAnsi="Arial"/>
          <w:sz w:val="16"/>
          <w:szCs w:val="16"/>
          <w:color w:val="005C7D"/>
        </w:rPr>
      </w:pPr>
    </w:p>
    <w:p>
      <w:pPr>
        <w:ind w:left="940" w:right="920" w:hanging="357"/>
        <w:spacing w:after="0" w:line="238" w:lineRule="auto"/>
        <w:tabs>
          <w:tab w:leader="none" w:pos="940" w:val="left"/>
        </w:tabs>
        <w:numPr>
          <w:ilvl w:val="0"/>
          <w:numId w:val="7"/>
        </w:numPr>
        <w:rPr>
          <w:rFonts w:ascii="Arial" w:cs="Arial" w:eastAsia="Arial" w:hAnsi="Arial"/>
          <w:sz w:val="16"/>
          <w:szCs w:val="16"/>
          <w:color w:val="005C7D"/>
        </w:rPr>
      </w:pPr>
      <w:r>
        <w:rPr>
          <w:rFonts w:ascii="Arial" w:cs="Arial" w:eastAsia="Arial" w:hAnsi="Arial"/>
          <w:sz w:val="16"/>
          <w:szCs w:val="16"/>
          <w:color w:val="auto"/>
        </w:rPr>
        <w:t>We repurchased $373 million of our Common Stock and paid dividends of $220 million following our 12</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consecutive annual dividend increase, returning over $590 million of cash to our shareholders in 2016.</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00" w:type="dxa"/>
            <w:vAlign w:val="bottom"/>
          </w:tcPr>
          <w:p>
            <w:pPr>
              <w:ind w:left="7820"/>
              <w:spacing w:after="0"/>
              <w:rPr>
                <w:sz w:val="20"/>
                <w:szCs w:val="20"/>
                <w:color w:val="auto"/>
              </w:rPr>
            </w:pPr>
            <w:r>
              <w:rPr>
                <w:rFonts w:ascii="Arial" w:cs="Arial" w:eastAsia="Arial" w:hAnsi="Arial"/>
                <w:sz w:val="14"/>
                <w:szCs w:val="14"/>
                <w:color w:val="005C7D"/>
                <w:w w:val="97"/>
              </w:rPr>
              <w:t xml:space="preserve">– </w:t>
            </w:r>
            <w:r>
              <w:rPr>
                <w:rFonts w:ascii="Arial" w:cs="Arial" w:eastAsia="Arial" w:hAnsi="Arial"/>
                <w:sz w:val="14"/>
                <w:szCs w:val="14"/>
                <w:i w:val="1"/>
                <w:iCs w:val="1"/>
                <w:color w:val="005C7D"/>
                <w:w w:val="97"/>
              </w:rPr>
              <w:t>2017 Proxy Statement</w:t>
            </w:r>
          </w:p>
        </w:tc>
        <w:tc>
          <w:tcPr>
            <w:tcW w:w="260" w:type="dxa"/>
            <w:vAlign w:val="bottom"/>
          </w:tcPr>
          <w:p>
            <w:pPr>
              <w:jc w:val="right"/>
              <w:spacing w:after="0"/>
              <w:rPr>
                <w:sz w:val="20"/>
                <w:szCs w:val="20"/>
                <w:color w:val="auto"/>
              </w:rPr>
            </w:pPr>
            <w:r>
              <w:rPr>
                <w:rFonts w:ascii="Arial" w:cs="Arial" w:eastAsia="Arial" w:hAnsi="Arial"/>
                <w:sz w:val="18"/>
                <w:szCs w:val="18"/>
                <w:color w:val="005C7D"/>
              </w:rPr>
              <w:t>3</w:t>
            </w:r>
          </w:p>
        </w:tc>
      </w:tr>
      <w:tr>
        <w:trPr>
          <w:trHeight w:val="554"/>
        </w:trPr>
        <w:tc>
          <w:tcPr>
            <w:tcW w:w="9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68"/>
        </w:trPr>
        <w:tc>
          <w:tcPr>
            <w:tcW w:w="930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4742180</wp:posOffset>
            </wp:positionH>
            <wp:positionV relativeFrom="paragraph">
              <wp:posOffset>-530860</wp:posOffset>
            </wp:positionV>
            <wp:extent cx="16319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75680" cy="43008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75680" cy="4300855"/>
                    </a:xfrm>
                    <a:prstGeom prst="rect">
                      <a:avLst/>
                    </a:prstGeom>
                    <a:noFill/>
                  </pic:spPr>
                </pic:pic>
              </a:graphicData>
            </a:graphic>
          </wp:anchor>
        </w:drawing>
      </w:r>
    </w:p>
    <w:p>
      <w:pPr>
        <w:spacing w:after="0" w:line="242" w:lineRule="exact"/>
        <w:rPr>
          <w:sz w:val="20"/>
          <w:szCs w:val="20"/>
          <w:color w:val="auto"/>
        </w:rPr>
      </w:pPr>
    </w:p>
    <w:p>
      <w:pPr>
        <w:ind w:left="240"/>
        <w:spacing w:after="0"/>
        <w:rPr>
          <w:sz w:val="20"/>
          <w:szCs w:val="20"/>
          <w:color w:val="auto"/>
        </w:rPr>
      </w:pPr>
      <w:r>
        <w:rPr>
          <w:rFonts w:ascii="Arial" w:cs="Arial" w:eastAsia="Arial" w:hAnsi="Arial"/>
          <w:sz w:val="14"/>
          <w:szCs w:val="14"/>
          <w:color w:val="005C7D"/>
        </w:rPr>
        <w:t>PROXY STATEMENT SUMMARY</w:t>
      </w:r>
    </w:p>
    <w:p>
      <w:pPr>
        <w:spacing w:after="0" w:line="222" w:lineRule="exact"/>
        <w:rPr>
          <w:sz w:val="20"/>
          <w:szCs w:val="20"/>
          <w:color w:val="auto"/>
        </w:rPr>
      </w:pPr>
    </w:p>
    <w:p>
      <w:pPr>
        <w:ind w:left="940" w:right="39" w:hanging="357"/>
        <w:spacing w:after="0" w:line="272" w:lineRule="auto"/>
        <w:tabs>
          <w:tab w:leader="none" w:pos="940" w:val="left"/>
        </w:tabs>
        <w:numPr>
          <w:ilvl w:val="0"/>
          <w:numId w:val="8"/>
        </w:numPr>
        <w:rPr>
          <w:rFonts w:ascii="Arial" w:cs="Arial" w:eastAsia="Arial" w:hAnsi="Arial"/>
          <w:sz w:val="17"/>
          <w:szCs w:val="17"/>
          <w:color w:val="005C7D"/>
        </w:rPr>
      </w:pPr>
      <w:r>
        <w:rPr>
          <w:rFonts w:ascii="Arial" w:cs="Arial" w:eastAsia="Arial" w:hAnsi="Arial"/>
          <w:sz w:val="17"/>
          <w:szCs w:val="17"/>
          <w:color w:val="auto"/>
        </w:rPr>
        <w:t>We stabilized our investment grade credit ratings during 2016, with credit rating agencies S&amp;P and Moody’s each raising their outlooks for L3 from “negative” to “stable.” A key factor in restoring our stable credit outlooks was reducing our debt during 2016 by approximately $300 million. We also maintained an efficient capital structure with ample liquidity. We successfully refinanced our $1 billion revolving credit facility for five years to 2021, with improvements in pricing and leverage covenants, and refinanced $550 million of our senior notes due in November 2016 and May 2017 with new senior notes due in December 2026. We ended 2016 with $363 million of cash on hand and an available revolver of $1 billion.</w:t>
      </w:r>
    </w:p>
    <w:p>
      <w:pPr>
        <w:spacing w:after="0" w:line="59" w:lineRule="exact"/>
        <w:rPr>
          <w:rFonts w:ascii="Arial" w:cs="Arial" w:eastAsia="Arial" w:hAnsi="Arial"/>
          <w:sz w:val="17"/>
          <w:szCs w:val="17"/>
          <w:color w:val="005C7D"/>
        </w:rPr>
      </w:pPr>
    </w:p>
    <w:p>
      <w:pPr>
        <w:ind w:left="940" w:right="59" w:hanging="357"/>
        <w:spacing w:after="0" w:line="233" w:lineRule="auto"/>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total shareholder return (“TSR”) for 2016 was approximately 30%, which exceeded the 75</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percentile of the peer group used to measure our TSR performance under the long-term incentives awarded in 2016 to our executive officers named in the “Summary Compensation Table” on page </w:t>
      </w:r>
      <w:hyperlink w:anchor="page68">
        <w:r>
          <w:rPr>
            <w:rFonts w:ascii="Arial" w:cs="Arial" w:eastAsia="Arial" w:hAnsi="Arial"/>
            <w:sz w:val="17"/>
            <w:szCs w:val="17"/>
            <w:u w:val="single" w:color="auto"/>
            <w:color w:val="0000EE"/>
          </w:rPr>
          <w:t>62</w:t>
        </w:r>
        <w:r>
          <w:rPr>
            <w:rFonts w:ascii="Arial" w:cs="Arial" w:eastAsia="Arial" w:hAnsi="Arial"/>
            <w:sz w:val="17"/>
            <w:szCs w:val="17"/>
            <w:u w:val="single" w:color="auto"/>
            <w:color w:val="auto"/>
          </w:rPr>
          <w:t xml:space="preserve"> </w:t>
        </w:r>
      </w:hyperlink>
      <w:r>
        <w:rPr>
          <w:rFonts w:ascii="Arial" w:cs="Arial" w:eastAsia="Arial" w:hAnsi="Arial"/>
          <w:sz w:val="17"/>
          <w:szCs w:val="17"/>
          <w:color w:val="005C7D"/>
        </w:rPr>
        <w:t>(our</w:t>
      </w:r>
      <w:r>
        <w:rPr>
          <w:rFonts w:ascii="Arial" w:cs="Arial" w:eastAsia="Arial" w:hAnsi="Arial"/>
          <w:sz w:val="17"/>
          <w:szCs w:val="17"/>
          <w:color w:val="auto"/>
        </w:rPr>
        <w:t xml:space="preserve"> </w:t>
      </w:r>
      <w:r>
        <w:rPr>
          <w:rFonts w:ascii="Arial" w:cs="Arial" w:eastAsia="Arial" w:hAnsi="Arial"/>
          <w:sz w:val="17"/>
          <w:szCs w:val="17"/>
          <w:color w:val="005C7D"/>
        </w:rPr>
        <w:t>“NEOs”).</w:t>
      </w:r>
    </w:p>
    <w:p>
      <w:pPr>
        <w:spacing w:after="0" w:line="150" w:lineRule="exact"/>
        <w:rPr>
          <w:sz w:val="20"/>
          <w:szCs w:val="20"/>
          <w:color w:val="auto"/>
        </w:rPr>
      </w:pPr>
    </w:p>
    <w:p>
      <w:pPr>
        <w:ind w:left="240" w:right="179"/>
        <w:spacing w:after="0" w:line="277" w:lineRule="auto"/>
        <w:rPr>
          <w:sz w:val="20"/>
          <w:szCs w:val="20"/>
          <w:color w:val="auto"/>
        </w:rPr>
      </w:pPr>
      <w:r>
        <w:rPr>
          <w:rFonts w:ascii="Arial" w:cs="Arial" w:eastAsia="Arial" w:hAnsi="Arial"/>
          <w:sz w:val="18"/>
          <w:szCs w:val="18"/>
          <w:color w:val="auto"/>
        </w:rPr>
        <w:t>For more information regarding L3’s 2016 performance, please review our Annual Report on Form 10-K for the fiscal year ended December 31, 2016.</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EXECUTIVE COMPENSATION PROGRAM SUMMARY</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2016 Target Pay and Incentive Plan Payouts</w:t>
      </w:r>
    </w:p>
    <w:p>
      <w:pPr>
        <w:spacing w:after="0" w:line="121" w:lineRule="exact"/>
        <w:rPr>
          <w:sz w:val="20"/>
          <w:szCs w:val="20"/>
          <w:color w:val="auto"/>
        </w:rPr>
      </w:pPr>
    </w:p>
    <w:p>
      <w:pPr>
        <w:ind w:left="940" w:right="39" w:hanging="357"/>
        <w:spacing w:after="0" w:line="259" w:lineRule="auto"/>
        <w:tabs>
          <w:tab w:leader="none" w:pos="940" w:val="left"/>
        </w:tabs>
        <w:numPr>
          <w:ilvl w:val="0"/>
          <w:numId w:val="9"/>
        </w:numPr>
        <w:rPr>
          <w:rFonts w:ascii="Arial" w:cs="Arial" w:eastAsia="Arial" w:hAnsi="Arial"/>
          <w:sz w:val="18"/>
          <w:szCs w:val="18"/>
          <w:color w:val="005C7D"/>
        </w:rPr>
      </w:pPr>
      <w:r>
        <w:rPr>
          <w:rFonts w:ascii="Arial" w:cs="Arial" w:eastAsia="Arial" w:hAnsi="Arial"/>
          <w:sz w:val="18"/>
          <w:szCs w:val="18"/>
          <w:color w:val="auto"/>
        </w:rPr>
        <w:t>We target base salaries and annual and long-term incentive opportunities for our NEOs to approximate market median compensation levels, subject to adjustments based on experience, performance, other individual factors and as otherwise appropriate. For 2016, the target pay for each of our NEOs was within a range that approximates 80% to 120% of market median.</w:t>
      </w:r>
    </w:p>
    <w:p>
      <w:pPr>
        <w:spacing w:after="0" w:line="78" w:lineRule="exact"/>
        <w:rPr>
          <w:rFonts w:ascii="Arial" w:cs="Arial" w:eastAsia="Arial" w:hAnsi="Arial"/>
          <w:sz w:val="18"/>
          <w:szCs w:val="18"/>
          <w:color w:val="005C7D"/>
        </w:rPr>
      </w:pPr>
    </w:p>
    <w:p>
      <w:pPr>
        <w:ind w:left="940" w:right="419" w:hanging="357"/>
        <w:spacing w:after="0" w:line="277" w:lineRule="auto"/>
        <w:tabs>
          <w:tab w:leader="none" w:pos="940" w:val="left"/>
        </w:tabs>
        <w:numPr>
          <w:ilvl w:val="0"/>
          <w:numId w:val="9"/>
        </w:numPr>
        <w:rPr>
          <w:rFonts w:ascii="Arial" w:cs="Arial" w:eastAsia="Arial" w:hAnsi="Arial"/>
          <w:sz w:val="18"/>
          <w:szCs w:val="18"/>
          <w:color w:val="005C7D"/>
        </w:rPr>
      </w:pPr>
      <w:r>
        <w:rPr>
          <w:rFonts w:ascii="Arial" w:cs="Arial" w:eastAsia="Arial" w:hAnsi="Arial"/>
          <w:sz w:val="18"/>
          <w:szCs w:val="18"/>
          <w:color w:val="auto"/>
        </w:rPr>
        <w:t>We exceeded our 2016 annual incentive plan targets for EPS and FCF, which resulted in annual incentive plan payouts for our NEOs that were above target.</w:t>
      </w:r>
    </w:p>
    <w:p>
      <w:pPr>
        <w:spacing w:after="0" w:line="62" w:lineRule="exact"/>
        <w:rPr>
          <w:rFonts w:ascii="Arial" w:cs="Arial" w:eastAsia="Arial" w:hAnsi="Arial"/>
          <w:sz w:val="18"/>
          <w:szCs w:val="18"/>
          <w:color w:val="005C7D"/>
        </w:rPr>
      </w:pPr>
    </w:p>
    <w:p>
      <w:pPr>
        <w:ind w:left="940" w:right="119" w:hanging="357"/>
        <w:spacing w:after="0" w:line="286" w:lineRule="auto"/>
        <w:tabs>
          <w:tab w:leader="none" w:pos="940" w:val="left"/>
        </w:tabs>
        <w:numPr>
          <w:ilvl w:val="0"/>
          <w:numId w:val="9"/>
        </w:numPr>
        <w:rPr>
          <w:rFonts w:ascii="Arial" w:cs="Arial" w:eastAsia="Arial" w:hAnsi="Arial"/>
          <w:sz w:val="17"/>
          <w:szCs w:val="17"/>
          <w:color w:val="005C7D"/>
        </w:rPr>
      </w:pPr>
      <w:r>
        <w:rPr>
          <w:rFonts w:ascii="Arial" w:cs="Arial" w:eastAsia="Arial" w:hAnsi="Arial"/>
          <w:sz w:val="17"/>
          <w:szCs w:val="17"/>
          <w:color w:val="auto"/>
        </w:rPr>
        <w:t>Despite our strong operational and stock price performance in 2016, our three-year cumulative EPS and relative TSR results did not meet minimum performance requirements under our long-term incentive awards that vested in 2016. Accordingly, our NEOs did not receive any payouts under these awards.</w:t>
      </w:r>
    </w:p>
    <w:p>
      <w:pPr>
        <w:spacing w:after="0" w:line="200" w:lineRule="exact"/>
        <w:rPr>
          <w:sz w:val="20"/>
          <w:szCs w:val="20"/>
          <w:color w:val="auto"/>
        </w:rPr>
      </w:pPr>
    </w:p>
    <w:p>
      <w:pPr>
        <w:spacing w:after="0" w:line="333" w:lineRule="exact"/>
        <w:rPr>
          <w:sz w:val="20"/>
          <w:szCs w:val="20"/>
          <w:color w:val="auto"/>
        </w:rPr>
      </w:pPr>
    </w:p>
    <w:p>
      <w:pPr>
        <w:ind w:left="40"/>
        <w:spacing w:after="0"/>
        <w:tabs>
          <w:tab w:leader="none" w:pos="344" w:val="left"/>
        </w:tabs>
        <w:rPr>
          <w:sz w:val="20"/>
          <w:szCs w:val="20"/>
          <w:color w:val="auto"/>
        </w:rPr>
      </w:pPr>
      <w:r>
        <w:rPr>
          <w:rFonts w:ascii="Arial" w:cs="Arial" w:eastAsia="Arial" w:hAnsi="Arial"/>
          <w:sz w:val="18"/>
          <w:szCs w:val="18"/>
          <w:color w:val="005C7D"/>
        </w:rPr>
        <w:t>4</w:t>
      </w:r>
      <w:r>
        <w:rPr>
          <w:sz w:val="20"/>
          <w:szCs w:val="20"/>
          <w:color w:val="auto"/>
        </w:rPr>
        <w:tab/>
      </w:r>
      <w:r>
        <w:rPr>
          <w:sz w:val="1"/>
          <w:szCs w:val="1"/>
          <w:color w:val="auto"/>
        </w:rPr>
        <w:drawing>
          <wp:inline distT="0" distB="0" distL="0" distR="0">
            <wp:extent cx="154305" cy="1543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r>
        <w:rPr>
          <w:rFonts w:ascii="Arial" w:cs="Arial" w:eastAsia="Arial" w:hAnsi="Arial"/>
          <w:sz w:val="14"/>
          <w:szCs w:val="14"/>
          <w:color w:val="005C7D"/>
        </w:rPr>
        <w:t xml:space="preserve"> –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343535</wp:posOffset>
            </wp:positionV>
            <wp:extent cx="607187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75680" cy="50812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75680" cy="5081270"/>
                    </a:xfrm>
                    <a:prstGeom prst="rect">
                      <a:avLst/>
                    </a:prstGeom>
                    <a:noFill/>
                  </pic:spPr>
                </pic:pic>
              </a:graphicData>
            </a:graphic>
          </wp:anchor>
        </w:drawing>
      </w:r>
    </w:p>
    <w:p>
      <w:pPr>
        <w:spacing w:after="0" w:line="242"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005C7D"/>
        </w:rPr>
        <w:t>PROXY STATEMENT SUMMARY</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Key Governance Features of Our Executive Compensation Program</w:t>
      </w:r>
    </w:p>
    <w:p>
      <w:pPr>
        <w:spacing w:after="0" w:line="175" w:lineRule="exact"/>
        <w:rPr>
          <w:sz w:val="20"/>
          <w:szCs w:val="20"/>
          <w:color w:val="auto"/>
        </w:rPr>
      </w:pPr>
    </w:p>
    <w:p>
      <w:pPr>
        <w:ind w:left="240" w:right="400"/>
        <w:spacing w:after="0" w:line="276" w:lineRule="auto"/>
        <w:rPr>
          <w:sz w:val="20"/>
          <w:szCs w:val="20"/>
          <w:color w:val="auto"/>
        </w:rPr>
      </w:pPr>
      <w:r>
        <w:rPr>
          <w:rFonts w:ascii="Arial" w:cs="Arial" w:eastAsia="Arial" w:hAnsi="Arial"/>
          <w:sz w:val="17"/>
          <w:szCs w:val="17"/>
          <w:color w:val="auto"/>
        </w:rPr>
        <w:t>At the 2016 Annual Meeting, more than 95% of the votes cast approved, on a non-binding advisory basis, the compensation of our NEOs, demonstrating the effectiveness of the substantive changes made to our compensation program over the past several years in response to shareholder feedback. The following summary highlights our commitment to executive compensation practices that reinforce our pay-for-performance culture and include corporate governance practices that are considered by investors to reflect market “best practices:”</w:t>
      </w:r>
    </w:p>
    <w:p>
      <w:pPr>
        <w:spacing w:after="0" w:line="33" w:lineRule="exact"/>
        <w:rPr>
          <w:sz w:val="20"/>
          <w:szCs w:val="20"/>
          <w:color w:val="auto"/>
        </w:rPr>
      </w:pPr>
    </w:p>
    <w:p>
      <w:pPr>
        <w:ind w:left="1960"/>
        <w:spacing w:after="0"/>
        <w:tabs>
          <w:tab w:leader="none" w:pos="6320" w:val="left"/>
        </w:tabs>
        <w:rPr>
          <w:sz w:val="20"/>
          <w:szCs w:val="20"/>
          <w:color w:val="auto"/>
        </w:rPr>
      </w:pPr>
      <w:r>
        <w:rPr>
          <w:rFonts w:ascii="Arial" w:cs="Arial" w:eastAsia="Arial" w:hAnsi="Arial"/>
          <w:sz w:val="18"/>
          <w:szCs w:val="18"/>
          <w:b w:val="1"/>
          <w:bCs w:val="1"/>
          <w:color w:val="auto"/>
        </w:rPr>
        <w:t>What We Do</w:t>
      </w:r>
      <w:r>
        <w:rPr>
          <w:sz w:val="20"/>
          <w:szCs w:val="20"/>
          <w:color w:val="auto"/>
        </w:rPr>
        <w:tab/>
      </w:r>
      <w:r>
        <w:rPr>
          <w:rFonts w:ascii="Arial" w:cs="Arial" w:eastAsia="Arial" w:hAnsi="Arial"/>
          <w:sz w:val="17"/>
          <w:szCs w:val="17"/>
          <w:b w:val="1"/>
          <w:bCs w:val="1"/>
          <w:color w:val="auto"/>
        </w:rPr>
        <w:t>What We Don’t Do</w:t>
      </w:r>
    </w:p>
    <w:p>
      <w:pPr>
        <w:sectPr>
          <w:pgSz w:w="11900" w:h="16838" w:orient="portrait"/>
          <w:cols w:equalWidth="0" w:num="1">
            <w:col w:w="9560"/>
          </w:cols>
          <w:pgMar w:left="1180" w:top="279" w:right="1159" w:bottom="1440" w:gutter="0" w:footer="0" w:header="0"/>
        </w:sectPr>
      </w:pPr>
    </w:p>
    <w:p>
      <w:pPr>
        <w:spacing w:after="0" w:line="50" w:lineRule="exact"/>
        <w:rPr>
          <w:sz w:val="20"/>
          <w:szCs w:val="20"/>
          <w:color w:val="auto"/>
        </w:rPr>
      </w:pPr>
    </w:p>
    <w:p>
      <w:pPr>
        <w:ind w:left="560" w:right="20"/>
        <w:spacing w:after="0" w:line="258" w:lineRule="auto"/>
        <w:rPr>
          <w:sz w:val="20"/>
          <w:szCs w:val="20"/>
          <w:color w:val="auto"/>
        </w:rPr>
      </w:pPr>
      <w:r>
        <w:rPr>
          <w:rFonts w:ascii="Arial" w:cs="Arial" w:eastAsia="Arial" w:hAnsi="Arial"/>
          <w:sz w:val="18"/>
          <w:szCs w:val="18"/>
          <w:b w:val="1"/>
          <w:bCs w:val="1"/>
          <w:color w:val="auto"/>
        </w:rPr>
        <w:t xml:space="preserve">Pay-for-Performance </w:t>
      </w:r>
      <w:r>
        <w:rPr>
          <w:rFonts w:ascii="Arial" w:cs="Arial" w:eastAsia="Arial" w:hAnsi="Arial"/>
          <w:sz w:val="18"/>
          <w:szCs w:val="18"/>
          <w:color w:val="auto"/>
        </w:rPr>
        <w:t>– Emphasis on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performance-based compensation and meaningful stock ownership guidelines to align executive and shareholder interests</w:t>
      </w:r>
    </w:p>
    <w:p>
      <w:pPr>
        <w:spacing w:after="0" w:line="1" w:lineRule="exact"/>
        <w:rPr>
          <w:sz w:val="20"/>
          <w:szCs w:val="20"/>
          <w:color w:val="auto"/>
        </w:rPr>
      </w:pPr>
    </w:p>
    <w:p>
      <w:pPr>
        <w:ind w:left="560" w:right="200"/>
        <w:spacing w:after="0" w:line="276" w:lineRule="auto"/>
        <w:rPr>
          <w:sz w:val="20"/>
          <w:szCs w:val="20"/>
          <w:color w:val="auto"/>
        </w:rPr>
      </w:pPr>
      <w:r>
        <w:rPr>
          <w:rFonts w:ascii="Arial" w:cs="Arial" w:eastAsia="Arial" w:hAnsi="Arial"/>
          <w:sz w:val="17"/>
          <w:szCs w:val="17"/>
          <w:b w:val="1"/>
          <w:bCs w:val="1"/>
          <w:color w:val="auto"/>
        </w:rPr>
        <w:t xml:space="preserve">Formula-Based Incentive Plans </w:t>
      </w:r>
      <w:r>
        <w:rPr>
          <w:rFonts w:ascii="Arial" w:cs="Arial" w:eastAsia="Arial" w:hAnsi="Arial"/>
          <w:sz w:val="17"/>
          <w:szCs w:val="17"/>
          <w:color w:val="auto"/>
        </w:rPr>
        <w:t>– Transparent,</w:t>
      </w:r>
      <w:r>
        <w:rPr>
          <w:rFonts w:ascii="Arial" w:cs="Arial" w:eastAsia="Arial" w:hAnsi="Arial"/>
          <w:sz w:val="17"/>
          <w:szCs w:val="17"/>
          <w:b w:val="1"/>
          <w:bCs w:val="1"/>
          <w:color w:val="auto"/>
        </w:rPr>
        <w:t xml:space="preserve"> </w:t>
      </w:r>
      <w:r>
        <w:rPr>
          <w:rFonts w:ascii="Arial" w:cs="Arial" w:eastAsia="Arial" w:hAnsi="Arial"/>
          <w:sz w:val="17"/>
          <w:szCs w:val="17"/>
          <w:color w:val="auto"/>
        </w:rPr>
        <w:t>formulaic incentive plans designed to promote annual and long-term business success</w:t>
      </w:r>
    </w:p>
    <w:p>
      <w:pPr>
        <w:spacing w:after="0" w:line="1" w:lineRule="exact"/>
        <w:rPr>
          <w:sz w:val="20"/>
          <w:szCs w:val="20"/>
          <w:color w:val="auto"/>
        </w:rPr>
      </w:pPr>
    </w:p>
    <w:p>
      <w:pPr>
        <w:ind w:left="560" w:right="80"/>
        <w:spacing w:after="0" w:line="258" w:lineRule="auto"/>
        <w:rPr>
          <w:sz w:val="20"/>
          <w:szCs w:val="20"/>
          <w:color w:val="auto"/>
        </w:rPr>
      </w:pPr>
      <w:r>
        <w:rPr>
          <w:rFonts w:ascii="Arial" w:cs="Arial" w:eastAsia="Arial" w:hAnsi="Arial"/>
          <w:sz w:val="18"/>
          <w:szCs w:val="18"/>
          <w:b w:val="1"/>
          <w:bCs w:val="1"/>
          <w:color w:val="auto"/>
        </w:rPr>
        <w:t xml:space="preserve">Enhanced CEO Performance Conditions </w:t>
      </w:r>
      <w:r>
        <w:rPr>
          <w:rFonts w:ascii="Arial" w:cs="Arial" w:eastAsia="Arial" w:hAnsi="Arial"/>
          <w:sz w:val="18"/>
          <w:szCs w:val="18"/>
          <w:color w:val="auto"/>
        </w:rPr>
        <w:t>–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stock options are subject to performance conditions based on consolidated EPS and FCF</w:t>
      </w:r>
    </w:p>
    <w:p>
      <w:pPr>
        <w:spacing w:after="0" w:line="1" w:lineRule="exact"/>
        <w:rPr>
          <w:sz w:val="20"/>
          <w:szCs w:val="20"/>
          <w:color w:val="auto"/>
        </w:rPr>
      </w:pPr>
    </w:p>
    <w:p>
      <w:pPr>
        <w:ind w:left="560" w:right="20"/>
        <w:spacing w:after="0" w:line="260" w:lineRule="auto"/>
        <w:rPr>
          <w:sz w:val="20"/>
          <w:szCs w:val="20"/>
          <w:color w:val="auto"/>
        </w:rPr>
      </w:pPr>
      <w:r>
        <w:rPr>
          <w:rFonts w:ascii="Arial" w:cs="Arial" w:eastAsia="Arial" w:hAnsi="Arial"/>
          <w:sz w:val="18"/>
          <w:szCs w:val="18"/>
          <w:b w:val="1"/>
          <w:bCs w:val="1"/>
          <w:color w:val="auto"/>
        </w:rPr>
        <w:t xml:space="preserve">“Clawback” Provisions </w:t>
      </w:r>
      <w:r>
        <w:rPr>
          <w:rFonts w:ascii="Arial" w:cs="Arial" w:eastAsia="Arial" w:hAnsi="Arial"/>
          <w:sz w:val="18"/>
          <w:szCs w:val="18"/>
          <w:color w:val="auto"/>
        </w:rPr>
        <w:t>– Clawback policy that applies</w:t>
      </w:r>
      <w:r>
        <w:rPr>
          <w:rFonts w:ascii="Arial" w:cs="Arial" w:eastAsia="Arial" w:hAnsi="Arial"/>
          <w:sz w:val="18"/>
          <w:szCs w:val="18"/>
          <w:b w:val="1"/>
          <w:bCs w:val="1"/>
          <w:color w:val="auto"/>
        </w:rPr>
        <w:t xml:space="preserve"> </w:t>
      </w:r>
      <w:r>
        <w:rPr>
          <w:rFonts w:ascii="Arial" w:cs="Arial" w:eastAsia="Arial" w:hAnsi="Arial"/>
          <w:sz w:val="18"/>
          <w:szCs w:val="18"/>
          <w:color w:val="auto"/>
        </w:rPr>
        <w:t>to all incentive compensation, including equity-based awards</w:t>
      </w:r>
    </w:p>
    <w:p>
      <w:pPr>
        <w:spacing w:after="0" w:line="3" w:lineRule="exact"/>
        <w:rPr>
          <w:sz w:val="20"/>
          <w:szCs w:val="20"/>
          <w:color w:val="auto"/>
        </w:rPr>
      </w:pPr>
    </w:p>
    <w:p>
      <w:pPr>
        <w:ind w:left="560"/>
        <w:spacing w:after="0" w:line="258" w:lineRule="auto"/>
        <w:rPr>
          <w:sz w:val="20"/>
          <w:szCs w:val="20"/>
          <w:color w:val="auto"/>
        </w:rPr>
      </w:pPr>
      <w:r>
        <w:rPr>
          <w:rFonts w:ascii="Arial" w:cs="Arial" w:eastAsia="Arial" w:hAnsi="Arial"/>
          <w:sz w:val="18"/>
          <w:szCs w:val="18"/>
          <w:b w:val="1"/>
          <w:bCs w:val="1"/>
          <w:color w:val="auto"/>
        </w:rPr>
        <w:t xml:space="preserve">Double Trigger for Severance </w:t>
      </w:r>
      <w:r>
        <w:rPr>
          <w:rFonts w:ascii="Arial" w:cs="Arial" w:eastAsia="Arial" w:hAnsi="Arial"/>
          <w:sz w:val="18"/>
          <w:szCs w:val="18"/>
          <w:color w:val="auto"/>
        </w:rPr>
        <w:t>– Double trigger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for cash severance payable in the event of a change in control, and no excessive severance or change in control provisions</w:t>
      </w:r>
    </w:p>
    <w:p>
      <w:pPr>
        <w:spacing w:after="0" w:line="1" w:lineRule="exact"/>
        <w:rPr>
          <w:sz w:val="20"/>
          <w:szCs w:val="20"/>
          <w:color w:val="auto"/>
        </w:rPr>
      </w:pPr>
    </w:p>
    <w:p>
      <w:pPr>
        <w:ind w:left="560" w:right="120"/>
        <w:spacing w:after="0" w:line="276" w:lineRule="auto"/>
        <w:rPr>
          <w:sz w:val="20"/>
          <w:szCs w:val="20"/>
          <w:color w:val="auto"/>
        </w:rPr>
      </w:pPr>
      <w:r>
        <w:rPr>
          <w:rFonts w:ascii="Arial" w:cs="Arial" w:eastAsia="Arial" w:hAnsi="Arial"/>
          <w:sz w:val="17"/>
          <w:szCs w:val="17"/>
          <w:b w:val="1"/>
          <w:bCs w:val="1"/>
          <w:color w:val="auto"/>
        </w:rPr>
        <w:t xml:space="preserve">Annual Risk Assessment </w:t>
      </w:r>
      <w:r>
        <w:rPr>
          <w:rFonts w:ascii="Arial" w:cs="Arial" w:eastAsia="Arial" w:hAnsi="Arial"/>
          <w:sz w:val="17"/>
          <w:szCs w:val="17"/>
          <w:color w:val="auto"/>
        </w:rPr>
        <w:t>– Annual compensation risk</w:t>
      </w:r>
      <w:r>
        <w:rPr>
          <w:rFonts w:ascii="Arial" w:cs="Arial" w:eastAsia="Arial" w:hAnsi="Arial"/>
          <w:sz w:val="17"/>
          <w:szCs w:val="17"/>
          <w:b w:val="1"/>
          <w:bCs w:val="1"/>
          <w:color w:val="auto"/>
        </w:rPr>
        <w:t xml:space="preserve"> </w:t>
      </w:r>
      <w:r>
        <w:rPr>
          <w:rFonts w:ascii="Arial" w:cs="Arial" w:eastAsia="Arial" w:hAnsi="Arial"/>
          <w:sz w:val="17"/>
          <w:szCs w:val="17"/>
          <w:color w:val="auto"/>
        </w:rPr>
        <w:t>assessment to ensure program does not encourage excessive risk-taking</w:t>
      </w:r>
    </w:p>
    <w:p>
      <w:pPr>
        <w:spacing w:after="0" w:line="1" w:lineRule="exact"/>
        <w:rPr>
          <w:sz w:val="20"/>
          <w:szCs w:val="20"/>
          <w:color w:val="auto"/>
        </w:rPr>
      </w:pPr>
    </w:p>
    <w:p>
      <w:pPr>
        <w:ind w:left="560" w:right="100"/>
        <w:spacing w:after="0" w:line="386" w:lineRule="auto"/>
        <w:rPr>
          <w:sz w:val="20"/>
          <w:szCs w:val="20"/>
          <w:color w:val="auto"/>
        </w:rPr>
      </w:pPr>
      <w:r>
        <w:rPr>
          <w:rFonts w:ascii="Arial" w:cs="Arial" w:eastAsia="Arial" w:hAnsi="Arial"/>
          <w:sz w:val="15"/>
          <w:szCs w:val="15"/>
          <w:b w:val="1"/>
          <w:bCs w:val="1"/>
          <w:color w:val="auto"/>
        </w:rPr>
        <w:t xml:space="preserve">Tally Sheets </w:t>
      </w:r>
      <w:r>
        <w:rPr>
          <w:rFonts w:ascii="Arial" w:cs="Arial" w:eastAsia="Arial" w:hAnsi="Arial"/>
          <w:sz w:val="15"/>
          <w:szCs w:val="15"/>
          <w:color w:val="auto"/>
        </w:rPr>
        <w:t>– Tally sheet analysis to better understand</w:t>
      </w:r>
      <w:r>
        <w:rPr>
          <w:rFonts w:ascii="Arial" w:cs="Arial" w:eastAsia="Arial" w:hAnsi="Arial"/>
          <w:sz w:val="15"/>
          <w:szCs w:val="15"/>
          <w:b w:val="1"/>
          <w:bCs w:val="1"/>
          <w:color w:val="auto"/>
        </w:rPr>
        <w:t xml:space="preserve"> </w:t>
      </w:r>
      <w:r>
        <w:rPr>
          <w:rFonts w:ascii="Arial" w:cs="Arial" w:eastAsia="Arial" w:hAnsi="Arial"/>
          <w:sz w:val="15"/>
          <w:szCs w:val="15"/>
          <w:color w:val="auto"/>
        </w:rPr>
        <w:t>current and accumulated compensation and benefits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 xml:space="preserve">No Employment Agreements </w:t>
      </w:r>
      <w:r>
        <w:rPr>
          <w:rFonts w:ascii="Arial" w:cs="Arial" w:eastAsia="Arial" w:hAnsi="Arial"/>
          <w:sz w:val="18"/>
          <w:szCs w:val="18"/>
          <w:color w:val="auto"/>
        </w:rPr>
        <w:t>– All of our NEOs are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on an at-will basis</w:t>
      </w:r>
    </w:p>
    <w:p>
      <w:pPr>
        <w:spacing w:after="0" w:line="200" w:lineRule="exact"/>
        <w:rPr>
          <w:sz w:val="20"/>
          <w:szCs w:val="20"/>
          <w:color w:val="auto"/>
        </w:rPr>
      </w:pPr>
    </w:p>
    <w:p>
      <w:pPr>
        <w:spacing w:after="0" w:line="205" w:lineRule="exact"/>
        <w:rPr>
          <w:sz w:val="20"/>
          <w:szCs w:val="20"/>
          <w:color w:val="auto"/>
        </w:rPr>
      </w:pPr>
    </w:p>
    <w:p>
      <w:pPr>
        <w:ind w:right="840"/>
        <w:spacing w:after="0" w:line="313" w:lineRule="auto"/>
        <w:rPr>
          <w:sz w:val="20"/>
          <w:szCs w:val="20"/>
          <w:color w:val="auto"/>
        </w:rPr>
      </w:pPr>
      <w:r>
        <w:rPr>
          <w:rFonts w:ascii="Arial" w:cs="Arial" w:eastAsia="Arial" w:hAnsi="Arial"/>
          <w:sz w:val="17"/>
          <w:szCs w:val="17"/>
          <w:b w:val="1"/>
          <w:bCs w:val="1"/>
          <w:color w:val="auto"/>
        </w:rPr>
        <w:t xml:space="preserve">No Tax Gross-ups </w:t>
      </w:r>
      <w:r>
        <w:rPr>
          <w:rFonts w:ascii="Arial" w:cs="Arial" w:eastAsia="Arial" w:hAnsi="Arial"/>
          <w:sz w:val="17"/>
          <w:szCs w:val="17"/>
          <w:color w:val="auto"/>
        </w:rPr>
        <w:t>– No excise tax gross-ups on</w:t>
      </w:r>
      <w:r>
        <w:rPr>
          <w:rFonts w:ascii="Arial" w:cs="Arial" w:eastAsia="Arial" w:hAnsi="Arial"/>
          <w:sz w:val="17"/>
          <w:szCs w:val="17"/>
          <w:b w:val="1"/>
          <w:bCs w:val="1"/>
          <w:color w:val="auto"/>
        </w:rPr>
        <w:t xml:space="preserve"> </w:t>
      </w:r>
      <w:r>
        <w:rPr>
          <w:rFonts w:ascii="Arial" w:cs="Arial" w:eastAsia="Arial" w:hAnsi="Arial"/>
          <w:sz w:val="17"/>
          <w:szCs w:val="17"/>
          <w:color w:val="auto"/>
        </w:rPr>
        <w:t>severance or change in control payments</w:t>
      </w:r>
    </w:p>
    <w:p>
      <w:pPr>
        <w:spacing w:after="0" w:line="165" w:lineRule="exact"/>
        <w:rPr>
          <w:sz w:val="20"/>
          <w:szCs w:val="20"/>
          <w:color w:val="auto"/>
        </w:rPr>
      </w:pPr>
    </w:p>
    <w:p>
      <w:pPr>
        <w:ind w:right="400"/>
        <w:spacing w:after="0" w:line="347" w:lineRule="auto"/>
        <w:rPr>
          <w:sz w:val="20"/>
          <w:szCs w:val="20"/>
          <w:color w:val="auto"/>
        </w:rPr>
      </w:pPr>
      <w:r>
        <w:rPr>
          <w:rFonts w:ascii="Arial" w:cs="Arial" w:eastAsia="Arial" w:hAnsi="Arial"/>
          <w:sz w:val="16"/>
          <w:szCs w:val="16"/>
          <w:b w:val="1"/>
          <w:bCs w:val="1"/>
          <w:color w:val="auto"/>
        </w:rPr>
        <w:t xml:space="preserve">No Repricing </w:t>
      </w:r>
      <w:r>
        <w:rPr>
          <w:rFonts w:ascii="Arial" w:cs="Arial" w:eastAsia="Arial" w:hAnsi="Arial"/>
          <w:sz w:val="16"/>
          <w:szCs w:val="16"/>
          <w:color w:val="auto"/>
        </w:rPr>
        <w:t>– No repricing of stock options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equity-based awards without shareholder approval</w:t>
      </w:r>
    </w:p>
    <w:p>
      <w:pPr>
        <w:spacing w:after="0" w:line="359"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b w:val="1"/>
          <w:bCs w:val="1"/>
          <w:color w:val="auto"/>
        </w:rPr>
        <w:t xml:space="preserve">No Unearned Pension Plan/SERP Credit </w:t>
      </w:r>
      <w:r>
        <w:rPr>
          <w:rFonts w:ascii="Arial" w:cs="Arial" w:eastAsia="Arial" w:hAnsi="Arial"/>
          <w:sz w:val="18"/>
          <w:szCs w:val="18"/>
          <w:color w:val="auto"/>
        </w:rPr>
        <w:t>– No pension</w:t>
      </w:r>
      <w:r>
        <w:rPr>
          <w:rFonts w:ascii="Arial" w:cs="Arial" w:eastAsia="Arial" w:hAnsi="Arial"/>
          <w:sz w:val="18"/>
          <w:szCs w:val="18"/>
          <w:b w:val="1"/>
          <w:bCs w:val="1"/>
          <w:color w:val="auto"/>
        </w:rPr>
        <w:t xml:space="preserve"> </w:t>
      </w:r>
      <w:r>
        <w:rPr>
          <w:rFonts w:ascii="Arial" w:cs="Arial" w:eastAsia="Arial" w:hAnsi="Arial"/>
          <w:sz w:val="18"/>
          <w:szCs w:val="18"/>
          <w:color w:val="auto"/>
        </w:rPr>
        <w:t>plan/SERP credit for years not worked with L3 or its predecessor companies</w:t>
      </w:r>
    </w:p>
    <w:p>
      <w:pPr>
        <w:spacing w:after="0" w:line="3"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No Excessive Perquisites </w:t>
      </w:r>
      <w:r>
        <w:rPr>
          <w:rFonts w:ascii="Arial" w:cs="Arial" w:eastAsia="Arial" w:hAnsi="Arial"/>
          <w:sz w:val="18"/>
          <w:szCs w:val="18"/>
          <w:color w:val="auto"/>
        </w:rPr>
        <w:t>– Perquisites are modest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with competitive practices</w:t>
      </w:r>
    </w:p>
    <w:p>
      <w:pPr>
        <w:spacing w:after="0" w:line="200" w:lineRule="exact"/>
        <w:rPr>
          <w:sz w:val="20"/>
          <w:szCs w:val="20"/>
          <w:color w:val="auto"/>
        </w:rPr>
      </w:pPr>
    </w:p>
    <w:p>
      <w:pPr>
        <w:spacing w:after="0" w:line="205"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b w:val="1"/>
          <w:bCs w:val="1"/>
          <w:color w:val="auto"/>
        </w:rPr>
        <w:t xml:space="preserve">No Unearned Dividends </w:t>
      </w:r>
      <w:r>
        <w:rPr>
          <w:rFonts w:ascii="Arial" w:cs="Arial" w:eastAsia="Arial" w:hAnsi="Arial"/>
          <w:sz w:val="18"/>
          <w:szCs w:val="18"/>
          <w:color w:val="auto"/>
        </w:rPr>
        <w:t>– No payment of dividends 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options, or on other equity-based awards prior to vesting</w:t>
      </w:r>
    </w:p>
    <w:p>
      <w:pPr>
        <w:spacing w:after="0" w:line="3" w:lineRule="exact"/>
        <w:rPr>
          <w:sz w:val="20"/>
          <w:szCs w:val="20"/>
          <w:color w:val="auto"/>
        </w:rPr>
      </w:pPr>
    </w:p>
    <w:p>
      <w:pPr>
        <w:jc w:val="both"/>
        <w:ind w:right="400"/>
        <w:spacing w:after="0" w:line="266" w:lineRule="auto"/>
        <w:rPr>
          <w:sz w:val="20"/>
          <w:szCs w:val="20"/>
          <w:color w:val="auto"/>
        </w:rPr>
      </w:pPr>
      <w:r>
        <w:rPr>
          <w:rFonts w:ascii="Arial" w:cs="Arial" w:eastAsia="Arial" w:hAnsi="Arial"/>
          <w:sz w:val="18"/>
          <w:szCs w:val="18"/>
          <w:b w:val="1"/>
          <w:bCs w:val="1"/>
          <w:color w:val="auto"/>
        </w:rPr>
        <w:t xml:space="preserve">No Hedging or Pledging </w:t>
      </w:r>
      <w:r>
        <w:rPr>
          <w:rFonts w:ascii="Arial" w:cs="Arial" w:eastAsia="Arial" w:hAnsi="Arial"/>
          <w:sz w:val="18"/>
          <w:szCs w:val="18"/>
          <w:color w:val="auto"/>
        </w:rPr>
        <w:t>– No hedging or pledging of</w:t>
      </w:r>
      <w:r>
        <w:rPr>
          <w:rFonts w:ascii="Arial" w:cs="Arial" w:eastAsia="Arial" w:hAnsi="Arial"/>
          <w:sz w:val="18"/>
          <w:szCs w:val="18"/>
          <w:b w:val="1"/>
          <w:bCs w:val="1"/>
          <w:color w:val="auto"/>
        </w:rPr>
        <w:t xml:space="preserve"> </w:t>
      </w:r>
      <w:r>
        <w:rPr>
          <w:rFonts w:ascii="Arial" w:cs="Arial" w:eastAsia="Arial" w:hAnsi="Arial"/>
          <w:sz w:val="18"/>
          <w:szCs w:val="18"/>
          <w:color w:val="auto"/>
        </w:rPr>
        <w:t>L3 stock by executives, employees and non-employee directors</w:t>
      </w:r>
    </w:p>
    <w:p>
      <w:pPr>
        <w:spacing w:after="0" w:line="200" w:lineRule="exact"/>
        <w:rPr>
          <w:sz w:val="20"/>
          <w:szCs w:val="20"/>
          <w:color w:val="auto"/>
        </w:rPr>
      </w:pPr>
    </w:p>
    <w:p>
      <w:pPr>
        <w:sectPr>
          <w:pgSz w:w="11900" w:h="16838" w:orient="portrait"/>
          <w:cols w:equalWidth="0" w:num="2">
            <w:col w:w="4640" w:space="580"/>
            <w:col w:w="4340"/>
          </w:cols>
          <w:pgMar w:left="1180" w:top="279" w:right="1159" w:bottom="1440" w:gutter="0" w:footer="0" w:header="0"/>
          <w:type w:val="continuous"/>
        </w:sect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00" w:type="dxa"/>
            <w:vAlign w:val="bottom"/>
          </w:tcPr>
          <w:p>
            <w:pPr>
              <w:ind w:left="7820"/>
              <w:spacing w:after="0"/>
              <w:rPr>
                <w:sz w:val="20"/>
                <w:szCs w:val="20"/>
                <w:color w:val="auto"/>
              </w:rPr>
            </w:pPr>
            <w:r>
              <w:rPr>
                <w:rFonts w:ascii="Arial" w:cs="Arial" w:eastAsia="Arial" w:hAnsi="Arial"/>
                <w:sz w:val="14"/>
                <w:szCs w:val="14"/>
                <w:color w:val="005C7D"/>
                <w:w w:val="97"/>
              </w:rPr>
              <w:t xml:space="preserve">– </w:t>
            </w:r>
            <w:r>
              <w:rPr>
                <w:rFonts w:ascii="Arial" w:cs="Arial" w:eastAsia="Arial" w:hAnsi="Arial"/>
                <w:sz w:val="14"/>
                <w:szCs w:val="14"/>
                <w:i w:val="1"/>
                <w:iCs w:val="1"/>
                <w:color w:val="005C7D"/>
                <w:w w:val="97"/>
              </w:rPr>
              <w:t>2017 Proxy Statement</w:t>
            </w:r>
          </w:p>
        </w:tc>
        <w:tc>
          <w:tcPr>
            <w:tcW w:w="260" w:type="dxa"/>
            <w:vAlign w:val="bottom"/>
          </w:tcPr>
          <w:p>
            <w:pPr>
              <w:jc w:val="right"/>
              <w:spacing w:after="0"/>
              <w:rPr>
                <w:sz w:val="20"/>
                <w:szCs w:val="20"/>
                <w:color w:val="auto"/>
              </w:rPr>
            </w:pPr>
            <w:r>
              <w:rPr>
                <w:rFonts w:ascii="Arial" w:cs="Arial" w:eastAsia="Arial" w:hAnsi="Arial"/>
                <w:sz w:val="18"/>
                <w:szCs w:val="18"/>
                <w:color w:val="005C7D"/>
              </w:rPr>
              <w:t>5</w:t>
            </w:r>
          </w:p>
        </w:tc>
      </w:tr>
      <w:tr>
        <w:trPr>
          <w:trHeight w:val="554"/>
        </w:trPr>
        <w:tc>
          <w:tcPr>
            <w:tcW w:w="9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68"/>
        </w:trPr>
        <w:tc>
          <w:tcPr>
            <w:tcW w:w="930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4742180</wp:posOffset>
            </wp:positionH>
            <wp:positionV relativeFrom="paragraph">
              <wp:posOffset>-530860</wp:posOffset>
            </wp:positionV>
            <wp:extent cx="16319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11" w:name="page12"/>
    <w:bookmarkEnd w:id="11"/>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7"/>
        <w:spacing w:after="0"/>
        <w:rPr>
          <w:sz w:val="20"/>
          <w:szCs w:val="20"/>
          <w:color w:val="auto"/>
        </w:rPr>
      </w:pPr>
      <w:r>
        <w:rPr>
          <w:rFonts w:ascii="Arial" w:cs="Arial" w:eastAsia="Arial" w:hAnsi="Arial"/>
          <w:sz w:val="14"/>
          <w:szCs w:val="14"/>
          <w:color w:val="005C7D"/>
        </w:rPr>
        <w:t>QUESTIONS AND ANSWERS ABOUT THE 2017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0718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149860</wp:posOffset>
            </wp:positionV>
            <wp:extent cx="6071870" cy="3600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71870" cy="360045"/>
                    </a:xfrm>
                    <a:prstGeom prst="rect">
                      <a:avLst/>
                    </a:prstGeom>
                    <a:noFill/>
                  </pic:spPr>
                </pic:pic>
              </a:graphicData>
            </a:graphic>
          </wp:anchor>
        </w:drawing>
      </w:r>
    </w:p>
    <w:p>
      <w:pPr>
        <w:spacing w:after="0" w:line="229" w:lineRule="exact"/>
        <w:rPr>
          <w:sz w:val="20"/>
          <w:szCs w:val="20"/>
          <w:color w:val="auto"/>
        </w:rPr>
      </w:pPr>
    </w:p>
    <w:p>
      <w:pPr>
        <w:ind w:left="2907"/>
        <w:spacing w:after="0"/>
        <w:rPr>
          <w:sz w:val="20"/>
          <w:szCs w:val="20"/>
          <w:color w:val="auto"/>
        </w:rPr>
      </w:pPr>
      <w:r>
        <w:rPr>
          <w:rFonts w:ascii="Arial" w:cs="Arial" w:eastAsia="Arial" w:hAnsi="Arial"/>
          <w:sz w:val="22"/>
          <w:szCs w:val="22"/>
          <w:b w:val="1"/>
          <w:bCs w:val="1"/>
          <w:color w:val="005C7D"/>
        </w:rPr>
        <w:t>QUESTIONS AND ANSWERS ABOUT</w:t>
      </w:r>
    </w:p>
    <w:p>
      <w:pPr>
        <w:spacing w:after="0" w:line="14" w:lineRule="exact"/>
        <w:rPr>
          <w:sz w:val="20"/>
          <w:szCs w:val="20"/>
          <w:color w:val="auto"/>
        </w:rPr>
      </w:pPr>
    </w:p>
    <w:p>
      <w:pPr>
        <w:jc w:val="right"/>
        <w:ind w:right="2580"/>
        <w:spacing w:after="0"/>
        <w:rPr>
          <w:sz w:val="20"/>
          <w:szCs w:val="20"/>
          <w:color w:val="auto"/>
        </w:rPr>
      </w:pPr>
      <w:r>
        <w:rPr>
          <w:rFonts w:ascii="Arial" w:cs="Arial" w:eastAsia="Arial" w:hAnsi="Arial"/>
          <w:sz w:val="22"/>
          <w:szCs w:val="22"/>
          <w:b w:val="1"/>
          <w:bCs w:val="1"/>
          <w:color w:val="005C7D"/>
        </w:rPr>
        <w:t>THE 2017 ANNUAL MEETING AND VOTING</w:t>
      </w:r>
    </w:p>
    <w:p>
      <w:pPr>
        <w:spacing w:after="0" w:line="286" w:lineRule="exact"/>
        <w:rPr>
          <w:sz w:val="20"/>
          <w:szCs w:val="20"/>
          <w:color w:val="auto"/>
        </w:rPr>
      </w:pPr>
    </w:p>
    <w:p>
      <w:pPr>
        <w:ind w:left="347" w:hanging="347"/>
        <w:spacing w:after="0"/>
        <w:tabs>
          <w:tab w:leader="none" w:pos="347"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WHY DID I RECEIVE THESE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0718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p>
      <w:pPr>
        <w:spacing w:after="0" w:line="189" w:lineRule="exact"/>
        <w:rPr>
          <w:sz w:val="20"/>
          <w:szCs w:val="20"/>
          <w:color w:val="auto"/>
        </w:rPr>
      </w:pPr>
    </w:p>
    <w:p>
      <w:pPr>
        <w:ind w:left="7" w:right="160"/>
        <w:spacing w:after="0" w:line="269" w:lineRule="auto"/>
        <w:rPr>
          <w:sz w:val="20"/>
          <w:szCs w:val="20"/>
          <w:color w:val="auto"/>
        </w:rPr>
      </w:pPr>
      <w:r>
        <w:rPr>
          <w:rFonts w:ascii="Arial" w:cs="Arial" w:eastAsia="Arial" w:hAnsi="Arial"/>
          <w:sz w:val="17"/>
          <w:szCs w:val="17"/>
          <w:color w:val="auto"/>
        </w:rPr>
        <w:t>On or about , 2017, we either mailed you a notice (the “Notice”) notifying you how to vote online and how to electronically access a copy of this Proxy Statement, our Summary Annual Report and our Annual Report on Form 10-K for the year ended December 31, 2016 (together referred to as the “Proxy Materials”) or mailed you a complete set of the Proxy Materials. If you have not received but would like to receive printed copies of these documents, including a proxy card in paper format, you should follow the instructions for requesting such materials contained in the Notice.</w:t>
      </w:r>
    </w:p>
    <w:p>
      <w:pPr>
        <w:spacing w:after="0" w:line="233" w:lineRule="exact"/>
        <w:rPr>
          <w:sz w:val="20"/>
          <w:szCs w:val="20"/>
          <w:color w:val="auto"/>
        </w:rPr>
      </w:pPr>
    </w:p>
    <w:p>
      <w:pPr>
        <w:ind w:left="347" w:hanging="347"/>
        <w:spacing w:after="0"/>
        <w:tabs>
          <w:tab w:leader="none" w:pos="347"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PROXY?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Proxy Statement is being made available to the holders of our Common Stock in connection with the solicitation of proxies for use at the Annual Meeting to be held at The Ritz-Carlton New York, Battery Park, located at Two West Street, New York, New York 10004 at 2:30 p.m., Eastern Daylight Time, on Tuesday, May 9, 2017. The proxies are solicited by our Board of Directors on our behalf for use at the Annual Meeting and any adjournments or postponements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-3275965</wp:posOffset>
            </wp:positionH>
            <wp:positionV relativeFrom="paragraph">
              <wp:posOffset>570230</wp:posOffset>
            </wp:positionV>
            <wp:extent cx="60718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059" w:lineRule="exact"/>
        <w:rPr>
          <w:sz w:val="20"/>
          <w:szCs w:val="20"/>
          <w:color w:val="auto"/>
        </w:rPr>
      </w:pPr>
    </w:p>
    <w:p>
      <w:pPr>
        <w:sectPr>
          <w:pgSz w:w="11900" w:h="16838" w:orient="portrait"/>
          <w:cols w:equalWidth="0" w:num="2">
            <w:col w:w="4447" w:space="720"/>
            <w:col w:w="4380"/>
          </w:cols>
          <w:pgMar w:left="1173" w:top="279" w:right="1179" w:bottom="1440" w:gutter="0" w:footer="0" w:header="0"/>
          <w:type w:val="continuous"/>
        </w:sectPr>
      </w:pPr>
    </w:p>
    <w:p>
      <w:pPr>
        <w:ind w:left="7" w:right="100"/>
        <w:spacing w:after="0" w:line="288" w:lineRule="auto"/>
        <w:rPr>
          <w:sz w:val="20"/>
          <w:szCs w:val="20"/>
          <w:color w:val="auto"/>
        </w:rPr>
      </w:pPr>
      <w:r>
        <w:rPr>
          <w:rFonts w:ascii="Arial" w:cs="Arial" w:eastAsia="Arial" w:hAnsi="Arial"/>
          <w:sz w:val="16"/>
          <w:szCs w:val="16"/>
          <w:color w:val="auto"/>
        </w:rPr>
        <w:t>Shareholders not attending our Annual Meeting may choose to vote their shares of Common Stock by allowing someone else to cast votes on their behalf. We are soliciting your voting instructions (that is, your proxy) on behalf of our Board of Directors for use at the Annual Meeting and any adjournments or postponements of the Annual Meeting. The proxies we are soliciting designate Michael T. Strianese, Christopher E. Kubasik, Ralph G. D’Ambrosio and Ann D. Davidson (the “Proxyholders”) as the persons who would individually be authorized to vote your shares in accordance</w:t>
      </w:r>
    </w:p>
    <w:p>
      <w:pPr>
        <w:spacing w:after="0" w:line="20" w:lineRule="exact"/>
        <w:rPr>
          <w:sz w:val="20"/>
          <w:szCs w:val="20"/>
          <w:color w:val="auto"/>
        </w:rPr>
      </w:pPr>
      <w:r>
        <w:rPr>
          <w:sz w:val="20"/>
          <w:szCs w:val="20"/>
          <w:color w:val="auto"/>
        </w:rPr>
        <w:br w:type="column"/>
      </w:r>
    </w:p>
    <w:p>
      <w:pPr>
        <w:ind w:right="40"/>
        <w:spacing w:after="0" w:line="288" w:lineRule="auto"/>
        <w:rPr>
          <w:sz w:val="20"/>
          <w:szCs w:val="20"/>
          <w:color w:val="auto"/>
        </w:rPr>
      </w:pPr>
      <w:r>
        <w:rPr>
          <w:rFonts w:ascii="Arial" w:cs="Arial" w:eastAsia="Arial" w:hAnsi="Arial"/>
          <w:sz w:val="16"/>
          <w:szCs w:val="16"/>
          <w:color w:val="auto"/>
        </w:rPr>
        <w:t>with your instructions. Alternatively, if you own your shares of our Common Stock directly in your name in our stock records (a “shareholder of record”) maintained by Computershare Trust Company, N.A. (“Computershare”), you may appoint a person (who need not be a shareholder), other than the Proxyholders, to represent you at the Annual Meeting by completing another proper proxy. Such completed proxy should be returned in the envelope provided to you for that purpose (if you have requested or received a paper copy of the Proxy Materials).</w:t>
      </w:r>
    </w:p>
    <w:p>
      <w:pPr>
        <w:spacing w:after="0" w:line="200" w:lineRule="exact"/>
        <w:rPr>
          <w:sz w:val="20"/>
          <w:szCs w:val="20"/>
          <w:color w:val="auto"/>
        </w:rPr>
      </w:pPr>
    </w:p>
    <w:p>
      <w:pPr>
        <w:sectPr>
          <w:pgSz w:w="11900" w:h="16838" w:orient="portrait"/>
          <w:cols w:equalWidth="0" w:num="2">
            <w:col w:w="4447" w:space="720"/>
            <w:col w:w="4380"/>
          </w:cols>
          <w:pgMar w:left="1173" w:top="279" w:right="1179" w:bottom="1440" w:gutter="0" w:footer="0" w:header="0"/>
          <w:type w:val="continuous"/>
        </w:sectPr>
      </w:pPr>
    </w:p>
    <w:p>
      <w:pPr>
        <w:spacing w:after="0" w:line="19" w:lineRule="exact"/>
        <w:rPr>
          <w:sz w:val="20"/>
          <w:szCs w:val="20"/>
          <w:color w:val="auto"/>
        </w:rPr>
      </w:pPr>
    </w:p>
    <w:p>
      <w:pPr>
        <w:ind w:left="347" w:hanging="347"/>
        <w:spacing w:after="0"/>
        <w:tabs>
          <w:tab w:leader="none" w:pos="347"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RECORD DATE AND WHAT DOES IT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0718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type w:val="continuous"/>
        </w:sectPr>
      </w:pPr>
    </w:p>
    <w:p>
      <w:pPr>
        <w:spacing w:after="0" w:line="189" w:lineRule="exact"/>
        <w:rPr>
          <w:sz w:val="20"/>
          <w:szCs w:val="20"/>
          <w:color w:val="auto"/>
        </w:rPr>
      </w:pPr>
    </w:p>
    <w:p>
      <w:pPr>
        <w:ind w:left="7" w:right="100"/>
        <w:spacing w:after="0" w:line="255" w:lineRule="auto"/>
        <w:rPr>
          <w:sz w:val="20"/>
          <w:szCs w:val="20"/>
          <w:color w:val="auto"/>
        </w:rPr>
      </w:pPr>
      <w:r>
        <w:rPr>
          <w:rFonts w:ascii="Arial" w:cs="Arial" w:eastAsia="Arial" w:hAnsi="Arial"/>
          <w:sz w:val="18"/>
          <w:szCs w:val="18"/>
          <w:color w:val="auto"/>
        </w:rPr>
        <w:t>Our Board of Directors has fixed the close of business on March 13, 2017 as the Record Date for the Annual Meeting. Only shareholders of record at the Record Date are entitled to notice of, and to vote at, the Annual Meeting or at any adjournments or postponements thereof, in person or by proxy.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At the Record Date, there were 77,810,212 shares of our Common Stock outstanding and entitled to vote at the Annual Meeting. Each holder of Common Stock is entitled to one vote for each share of our Common Stock held by such holder.</w:t>
      </w:r>
    </w:p>
    <w:p>
      <w:pPr>
        <w:spacing w:after="0" w:line="411" w:lineRule="exact"/>
        <w:rPr>
          <w:sz w:val="20"/>
          <w:szCs w:val="20"/>
          <w:color w:val="auto"/>
        </w:rPr>
      </w:pPr>
    </w:p>
    <w:p>
      <w:pPr>
        <w:sectPr>
          <w:pgSz w:w="11900" w:h="16838" w:orient="portrait"/>
          <w:cols w:equalWidth="0" w:num="2">
            <w:col w:w="4447" w:space="720"/>
            <w:col w:w="4380"/>
          </w:cols>
          <w:pgMar w:left="1173" w:top="279" w:right="1179" w:bottom="1440" w:gutter="0" w:footer="0" w:header="0"/>
          <w:type w:val="continuous"/>
        </w:sectPr>
      </w:pPr>
    </w:p>
    <w:p>
      <w:pPr>
        <w:spacing w:after="0" w:line="43" w:lineRule="exact"/>
        <w:rPr>
          <w:sz w:val="20"/>
          <w:szCs w:val="20"/>
          <w:color w:val="auto"/>
        </w:rPr>
      </w:pPr>
    </w:p>
    <w:p>
      <w:pPr>
        <w:ind w:left="347" w:hanging="347"/>
        <w:spacing w:after="0"/>
        <w:tabs>
          <w:tab w:leader="none" w:pos="347"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DIFFERENT METHODS THAT I CAN USE TO VOTE MY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0718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type w:val="continuous"/>
        </w:sectPr>
      </w:pPr>
    </w:p>
    <w:p>
      <w:pPr>
        <w:spacing w:after="0" w:line="189" w:lineRule="exact"/>
        <w:rPr>
          <w:sz w:val="20"/>
          <w:szCs w:val="20"/>
          <w:color w:val="auto"/>
        </w:rPr>
      </w:pPr>
    </w:p>
    <w:p>
      <w:pPr>
        <w:ind w:left="7" w:right="60"/>
        <w:spacing w:after="0" w:line="293" w:lineRule="auto"/>
        <w:rPr>
          <w:sz w:val="20"/>
          <w:szCs w:val="20"/>
          <w:color w:val="auto"/>
        </w:rPr>
      </w:pPr>
      <w:r>
        <w:rPr>
          <w:rFonts w:ascii="Arial" w:cs="Arial" w:eastAsia="Arial" w:hAnsi="Arial"/>
          <w:sz w:val="16"/>
          <w:szCs w:val="16"/>
          <w:b w:val="1"/>
          <w:bCs w:val="1"/>
          <w:i w:val="1"/>
          <w:iCs w:val="1"/>
          <w:color w:val="auto"/>
        </w:rPr>
        <w:t xml:space="preserve">By Internet: </w:t>
      </w:r>
      <w:r>
        <w:rPr>
          <w:rFonts w:ascii="Arial" w:cs="Arial" w:eastAsia="Arial" w:hAnsi="Arial"/>
          <w:sz w:val="16"/>
          <w:szCs w:val="16"/>
          <w:color w:val="auto"/>
        </w:rPr>
        <w:t>If you are a shareholder of record, or if you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 shares of Common Stock through L3’s 401(k) plan, you can vote at www.proxyvote.com, 24 hours a day, seven days a week. You will need the 16-digit Control Number included on your Notice or your paper voting instruction form (if you received a paper copy of the Proxy Materials).</w:t>
      </w:r>
    </w:p>
    <w:p>
      <w:pPr>
        <w:spacing w:after="0" w:line="111" w:lineRule="exact"/>
        <w:rPr>
          <w:sz w:val="20"/>
          <w:szCs w:val="20"/>
          <w:color w:val="auto"/>
        </w:rPr>
      </w:pPr>
    </w:p>
    <w:p>
      <w:pPr>
        <w:ind w:left="7" w:right="60"/>
        <w:spacing w:after="0" w:line="291" w:lineRule="auto"/>
        <w:rPr>
          <w:sz w:val="20"/>
          <w:szCs w:val="20"/>
          <w:color w:val="auto"/>
        </w:rPr>
      </w:pPr>
      <w:r>
        <w:rPr>
          <w:rFonts w:ascii="Arial" w:cs="Arial" w:eastAsia="Arial" w:hAnsi="Arial"/>
          <w:sz w:val="16"/>
          <w:szCs w:val="16"/>
          <w:b w:val="1"/>
          <w:bCs w:val="1"/>
          <w:i w:val="1"/>
          <w:iCs w:val="1"/>
          <w:color w:val="auto"/>
        </w:rPr>
        <w:t xml:space="preserve">By Telephone: </w:t>
      </w:r>
      <w:r>
        <w:rPr>
          <w:rFonts w:ascii="Arial" w:cs="Arial" w:eastAsia="Arial" w:hAnsi="Arial"/>
          <w:sz w:val="16"/>
          <w:szCs w:val="16"/>
          <w:color w:val="auto"/>
        </w:rPr>
        <w:t>If you are a shareholder of record, or if you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 shares of Common Stock through L3’s 401(k) plan, you can vote using a touch-tone telephone by calling 1-800-690-6903, 24 hours a day, seven days a week. You will need the 16-digit Control Number included on your Annual Meeting Notice card or your paper voting instruction form (if you received a paper copy of the Proxy Materials).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i w:val="1"/>
          <w:iCs w:val="1"/>
          <w:color w:val="auto"/>
        </w:rPr>
        <w:t xml:space="preserve">By Mail: </w:t>
      </w:r>
      <w:r>
        <w:rPr>
          <w:rFonts w:ascii="Arial" w:cs="Arial" w:eastAsia="Arial" w:hAnsi="Arial"/>
          <w:sz w:val="17"/>
          <w:szCs w:val="17"/>
          <w:color w:val="auto"/>
        </w:rPr>
        <w:t>If you have received a paper copy of the Proxy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Materials by mail, you may complete, sign, date and return by mail the paper proxy card or voting instruction form sent to you in the envelope provided to you with your Proxy Materials or voting instruction form.</w:t>
      </w:r>
    </w:p>
    <w:p>
      <w:pPr>
        <w:spacing w:after="0" w:line="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 xml:space="preserve">In Person: </w:t>
      </w:r>
      <w:r>
        <w:rPr>
          <w:rFonts w:ascii="Arial" w:cs="Arial" w:eastAsia="Arial" w:hAnsi="Arial"/>
          <w:sz w:val="17"/>
          <w:szCs w:val="17"/>
          <w:color w:val="auto"/>
        </w:rPr>
        <w:t>All shareholders of record may vote in person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meeting. Street name holders must obtain a legal proxy from their broker, bank or other nominee and bring the legal proxy to the meeting in order to vote in person at the meeting. For more detail, please see Question 13.</w:t>
      </w:r>
    </w:p>
    <w:p>
      <w:pPr>
        <w:spacing w:after="0" w:line="7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Internet and telephone voting procedures, which comply with Delaware law and the Securities and Exchange</w:t>
      </w:r>
    </w:p>
    <w:p>
      <w:pPr>
        <w:spacing w:after="0" w:line="291" w:lineRule="exact"/>
        <w:rPr>
          <w:sz w:val="20"/>
          <w:szCs w:val="20"/>
          <w:color w:val="auto"/>
        </w:rPr>
      </w:pPr>
    </w:p>
    <w:p>
      <w:pPr>
        <w:sectPr>
          <w:pgSz w:w="11900" w:h="16838" w:orient="portrait"/>
          <w:cols w:equalWidth="0" w:num="2">
            <w:col w:w="4447" w:space="720"/>
            <w:col w:w="4380"/>
          </w:cols>
          <w:pgMar w:left="1173" w:top="279" w:right="1179" w:bottom="1440" w:gutter="0" w:footer="0" w:header="0"/>
          <w:type w:val="continuous"/>
        </w:sectPr>
      </w:pPr>
    </w:p>
    <w:p>
      <w:pPr>
        <w:spacing w:after="0" w:line="30" w:lineRule="exact"/>
        <w:rPr>
          <w:sz w:val="20"/>
          <w:szCs w:val="20"/>
          <w:color w:val="auto"/>
        </w:rPr>
      </w:pPr>
    </w:p>
    <w:p>
      <w:pPr>
        <w:ind w:left="47"/>
        <w:spacing w:after="0"/>
        <w:tabs>
          <w:tab w:leader="none" w:pos="351" w:val="left"/>
        </w:tabs>
        <w:rPr>
          <w:sz w:val="20"/>
          <w:szCs w:val="20"/>
          <w:color w:val="auto"/>
        </w:rPr>
      </w:pPr>
      <w:r>
        <w:rPr>
          <w:rFonts w:ascii="Arial" w:cs="Arial" w:eastAsia="Arial" w:hAnsi="Arial"/>
          <w:sz w:val="15"/>
          <w:szCs w:val="15"/>
          <w:color w:val="005C7D"/>
        </w:rPr>
        <w:t>6</w:t>
      </w:r>
      <w:r>
        <w:rPr>
          <w:sz w:val="20"/>
          <w:szCs w:val="20"/>
          <w:color w:val="auto"/>
        </w:rPr>
        <w:tab/>
      </w:r>
      <w:r>
        <w:rPr>
          <w:sz w:val="1"/>
          <w:szCs w:val="1"/>
          <w:color w:val="auto"/>
        </w:rPr>
        <w:drawing>
          <wp:inline distT="0" distB="0" distL="0" distR="0">
            <wp:extent cx="154305" cy="1543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r>
        <w:rPr>
          <w:rFonts w:ascii="Arial" w:cs="Arial" w:eastAsia="Arial" w:hAnsi="Arial"/>
          <w:sz w:val="12"/>
          <w:szCs w:val="12"/>
          <w:color w:val="005C7D"/>
        </w:rPr>
        <w:t xml:space="preserve"> – </w:t>
      </w:r>
      <w:r>
        <w:rPr>
          <w:rFonts w:ascii="Arial" w:cs="Arial" w:eastAsia="Arial" w:hAnsi="Arial"/>
          <w:sz w:val="12"/>
          <w:szCs w:val="12"/>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343535</wp:posOffset>
            </wp:positionV>
            <wp:extent cx="607187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type w:val="continuous"/>
        </w:sectPr>
      </w:pPr>
    </w:p>
    <w:bookmarkStart w:id="12" w:name="page13"/>
    <w:bookmarkEnd w:id="12"/>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QUESTIONS AND ANSWERS ABOUT THE 2017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0718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p>
      <w:pPr>
        <w:spacing w:after="0" w:line="222" w:lineRule="exact"/>
        <w:rPr>
          <w:sz w:val="20"/>
          <w:szCs w:val="20"/>
          <w:color w:val="auto"/>
        </w:rPr>
      </w:pPr>
    </w:p>
    <w:p>
      <w:pPr>
        <w:ind w:left="7" w:right="600"/>
        <w:spacing w:after="0" w:line="243" w:lineRule="auto"/>
        <w:rPr>
          <w:sz w:val="20"/>
          <w:szCs w:val="20"/>
          <w:color w:val="auto"/>
        </w:rPr>
      </w:pPr>
      <w:r>
        <w:rPr>
          <w:rFonts w:ascii="Arial" w:cs="Arial" w:eastAsia="Arial" w:hAnsi="Arial"/>
          <w:sz w:val="18"/>
          <w:szCs w:val="18"/>
          <w:color w:val="auto"/>
        </w:rPr>
        <w:t>Commission (the “SEC”) rules, are designed to authenticate shareholders’ identities, to allow shareholders to vote their shares and to confirm that their instructions have been properly recorded.</w:t>
      </w:r>
    </w:p>
    <w:p>
      <w:pPr>
        <w:spacing w:after="0" w:line="94" w:lineRule="exact"/>
        <w:rPr>
          <w:sz w:val="20"/>
          <w:szCs w:val="20"/>
          <w:color w:val="auto"/>
        </w:rPr>
      </w:pPr>
    </w:p>
    <w:p>
      <w:pPr>
        <w:ind w:left="7" w:right="740"/>
        <w:spacing w:after="0" w:line="243" w:lineRule="auto"/>
        <w:rPr>
          <w:sz w:val="20"/>
          <w:szCs w:val="20"/>
          <w:color w:val="auto"/>
        </w:rPr>
      </w:pPr>
      <w:r>
        <w:rPr>
          <w:rFonts w:ascii="Arial" w:cs="Arial" w:eastAsia="Arial" w:hAnsi="Arial"/>
          <w:sz w:val="18"/>
          <w:szCs w:val="18"/>
          <w:b w:val="1"/>
          <w:bCs w:val="1"/>
          <w:i w:val="1"/>
          <w:iCs w:val="1"/>
          <w:color w:val="auto"/>
        </w:rPr>
        <w:t xml:space="preserve">Through your Bank, Broker or Other Nominee: </w:t>
      </w:r>
      <w:r>
        <w:rPr>
          <w:rFonts w:ascii="Arial" w:cs="Arial" w:eastAsia="Arial" w:hAnsi="Arial"/>
          <w:sz w:val="18"/>
          <w:szCs w:val="18"/>
          <w:color w:val="auto"/>
        </w:rPr>
        <w:t>If you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 your shares through a bank or brokerage firm (i.e. in “street name” as you are not a registered holder), you may vote by</w:t>
      </w:r>
    </w:p>
    <w:p>
      <w:pPr>
        <w:spacing w:after="0" w:line="238" w:lineRule="exact"/>
        <w:rPr>
          <w:sz w:val="20"/>
          <w:szCs w:val="20"/>
          <w:color w:val="auto"/>
        </w:rPr>
      </w:pPr>
    </w:p>
    <w:p>
      <w:pPr>
        <w:ind w:left="347" w:hanging="347"/>
        <w:spacing w:after="0"/>
        <w:tabs>
          <w:tab w:leader="none" w:pos="347"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DEADLINE FOR SUBMITTING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0718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submitting your voting instructions to your bank, broker or other nominee. In most instances, you will be able to do this over the Internet, by telephone, or by mail as indicated above. Please refer to the information from your bank, broker or other nominee on how to submit voting instructions.</w:t>
      </w:r>
    </w:p>
    <w:p>
      <w:pPr>
        <w:spacing w:after="0" w:line="95" w:lineRule="exact"/>
        <w:rPr>
          <w:sz w:val="20"/>
          <w:szCs w:val="20"/>
          <w:color w:val="auto"/>
        </w:rPr>
      </w:pPr>
    </w:p>
    <w:p>
      <w:pPr>
        <w:ind w:right="16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See also “Proxy Statement Summary – Casting Your Vote” on page </w:t>
      </w:r>
      <w:hyperlink w:anchor="page7">
        <w:r>
          <w:rPr>
            <w:rFonts w:ascii="Arial" w:cs="Arial" w:eastAsia="Arial" w:hAnsi="Arial"/>
            <w:sz w:val="18"/>
            <w:szCs w:val="18"/>
            <w:u w:val="single" w:color="auto"/>
            <w:color w:val="0000EE"/>
          </w:rPr>
          <w:t>1</w:t>
        </w:r>
      </w:hyperlink>
      <w:r>
        <w:rPr>
          <w:rFonts w:ascii="Arial" w:cs="Arial" w:eastAsia="Arial" w:hAnsi="Arial"/>
          <w:sz w:val="18"/>
          <w:szCs w:val="18"/>
          <w:color w:val="auto"/>
        </w:rPr>
        <w:t>.</w:t>
      </w:r>
    </w:p>
    <w:p>
      <w:pPr>
        <w:spacing w:after="0" w:line="574" w:lineRule="exact"/>
        <w:rPr>
          <w:sz w:val="20"/>
          <w:szCs w:val="20"/>
          <w:color w:val="auto"/>
        </w:rPr>
      </w:pPr>
    </w:p>
    <w:p>
      <w:pPr>
        <w:sectPr>
          <w:pgSz w:w="11900" w:h="16838" w:orient="portrait"/>
          <w:cols w:equalWidth="0" w:num="2">
            <w:col w:w="4927" w:space="240"/>
            <w:col w:w="4400"/>
          </w:cols>
          <w:pgMar w:left="1173" w:top="279" w:right="1159" w:bottom="1440" w:gutter="0" w:footer="0" w:header="0"/>
          <w:type w:val="continuous"/>
        </w:sectPr>
      </w:pPr>
    </w:p>
    <w:p>
      <w:pPr>
        <w:ind w:left="7" w:right="260"/>
        <w:spacing w:after="0" w:line="243" w:lineRule="auto"/>
        <w:rPr>
          <w:sz w:val="20"/>
          <w:szCs w:val="20"/>
          <w:color w:val="auto"/>
        </w:rPr>
      </w:pPr>
      <w:r>
        <w:rPr>
          <w:rFonts w:ascii="Arial" w:cs="Arial" w:eastAsia="Arial" w:hAnsi="Arial"/>
          <w:sz w:val="18"/>
          <w:szCs w:val="18"/>
          <w:color w:val="auto"/>
        </w:rPr>
        <w:t>If you are a shareholder of record, proxies submitted over the Internet or by telephone as described above must be received by 11:59 p.m., Eastern Daylight Time, on May 8, 2017.</w:t>
      </w:r>
    </w:p>
    <w:p>
      <w:pPr>
        <w:spacing w:after="0" w:line="107" w:lineRule="exact"/>
        <w:rPr>
          <w:sz w:val="20"/>
          <w:szCs w:val="20"/>
          <w:color w:val="auto"/>
        </w:rPr>
      </w:pPr>
    </w:p>
    <w:p>
      <w:pPr>
        <w:ind w:left="7" w:right="160"/>
        <w:spacing w:after="0" w:line="263" w:lineRule="auto"/>
        <w:rPr>
          <w:sz w:val="20"/>
          <w:szCs w:val="20"/>
          <w:color w:val="auto"/>
        </w:rPr>
      </w:pPr>
      <w:r>
        <w:rPr>
          <w:rFonts w:ascii="Arial" w:cs="Arial" w:eastAsia="Arial" w:hAnsi="Arial"/>
          <w:sz w:val="17"/>
          <w:szCs w:val="17"/>
          <w:color w:val="auto"/>
        </w:rPr>
        <w:t>If you own your shares of our Common Stock through L3’s 401(k) plan, proxies submitted over the Internet or by telephone as described above must be received by 11:59 p.m., Eastern Daylight Time, on May 5, 2017.</w:t>
      </w:r>
    </w:p>
    <w:p>
      <w:pPr>
        <w:spacing w:after="0" w:line="75" w:lineRule="exact"/>
        <w:rPr>
          <w:sz w:val="20"/>
          <w:szCs w:val="20"/>
          <w:color w:val="auto"/>
        </w:rPr>
      </w:pPr>
    </w:p>
    <w:p>
      <w:pPr>
        <w:ind w:left="7" w:right="80"/>
        <w:spacing w:after="0" w:line="243" w:lineRule="auto"/>
        <w:rPr>
          <w:sz w:val="20"/>
          <w:szCs w:val="20"/>
          <w:color w:val="auto"/>
        </w:rPr>
      </w:pPr>
      <w:r>
        <w:rPr>
          <w:rFonts w:ascii="Arial" w:cs="Arial" w:eastAsia="Arial" w:hAnsi="Arial"/>
          <w:sz w:val="18"/>
          <w:szCs w:val="18"/>
          <w:color w:val="auto"/>
        </w:rPr>
        <w:t>If you hold your shares in street name, proxies submitted over the Internet or by telephone as described above must be received by 11:59 p.m., Eastern Daylight Time, on May 8, 2017.</w:t>
      </w:r>
    </w:p>
    <w:p>
      <w:pPr>
        <w:spacing w:after="0" w:line="20" w:lineRule="exact"/>
        <w:rPr>
          <w:sz w:val="20"/>
          <w:szCs w:val="20"/>
          <w:color w:val="auto"/>
        </w:rPr>
      </w:pPr>
      <w:r>
        <w:rPr>
          <w:sz w:val="20"/>
          <w:szCs w:val="20"/>
          <w:color w:val="auto"/>
        </w:rPr>
        <w:br w:type="column"/>
      </w:r>
    </w:p>
    <w:p>
      <w:pPr>
        <w:ind w:right="40"/>
        <w:spacing w:after="0" w:line="276" w:lineRule="auto"/>
        <w:rPr>
          <w:sz w:val="20"/>
          <w:szCs w:val="20"/>
          <w:color w:val="auto"/>
        </w:rPr>
      </w:pPr>
      <w:r>
        <w:rPr>
          <w:rFonts w:ascii="Arial" w:cs="Arial" w:eastAsia="Arial" w:hAnsi="Arial"/>
          <w:sz w:val="17"/>
          <w:szCs w:val="17"/>
          <w:color w:val="auto"/>
        </w:rPr>
        <w:t>Proxies submitted by mail, as described above, must be received no later than 11:59 p.m., Eastern Daylight Time, on May 8, 2017, if you are a shareholder of record, or by 8:00 a.m., Eastern Daylight Time, on May 5, 2017, if you own your shares through L3’s 401(k) plan.</w:t>
      </w:r>
    </w:p>
    <w:p>
      <w:pPr>
        <w:spacing w:after="0" w:line="9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Notwithstanding the above, if you hold your shares in street name and you submit voting instructions to your bank, broker or other nominee, your instructions must be received by the bank, broker or other nominee prior to the deadline set forth in the information from your bank, broker or other nominee on how to submit voting instructions.</w:t>
      </w:r>
    </w:p>
    <w:p>
      <w:pPr>
        <w:spacing w:after="0" w:line="352" w:lineRule="exact"/>
        <w:rPr>
          <w:sz w:val="20"/>
          <w:szCs w:val="20"/>
          <w:color w:val="auto"/>
        </w:rPr>
      </w:pPr>
    </w:p>
    <w:p>
      <w:pPr>
        <w:sectPr>
          <w:pgSz w:w="11900" w:h="16838" w:orient="portrait"/>
          <w:cols w:equalWidth="0" w:num="2">
            <w:col w:w="4447" w:space="720"/>
            <w:col w:w="4400"/>
          </w:cols>
          <w:pgMar w:left="1173" w:top="279" w:right="1159" w:bottom="1440" w:gutter="0" w:footer="0" w:header="0"/>
          <w:type w:val="continuous"/>
        </w:sectPr>
      </w:pPr>
    </w:p>
    <w:p>
      <w:pPr>
        <w:spacing w:after="0" w:line="38" w:lineRule="exact"/>
        <w:rPr>
          <w:sz w:val="20"/>
          <w:szCs w:val="20"/>
          <w:color w:val="auto"/>
        </w:rPr>
      </w:pPr>
    </w:p>
    <w:p>
      <w:pPr>
        <w:ind w:left="347" w:hanging="347"/>
        <w:spacing w:after="0"/>
        <w:tabs>
          <w:tab w:leader="none" w:pos="347"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MUST BE PRESENT TO HOLD THE 2017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0718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type w:val="continuous"/>
        </w:sectPr>
      </w:pPr>
    </w:p>
    <w:p>
      <w:pPr>
        <w:spacing w:after="0" w:line="148" w:lineRule="exact"/>
        <w:rPr>
          <w:sz w:val="20"/>
          <w:szCs w:val="20"/>
          <w:color w:val="auto"/>
        </w:rPr>
      </w:pPr>
    </w:p>
    <w:p>
      <w:pPr>
        <w:ind w:left="7" w:right="160"/>
        <w:spacing w:after="0" w:line="243" w:lineRule="auto"/>
        <w:rPr>
          <w:sz w:val="20"/>
          <w:szCs w:val="20"/>
          <w:color w:val="auto"/>
        </w:rPr>
      </w:pPr>
      <w:r>
        <w:rPr>
          <w:rFonts w:ascii="Arial" w:cs="Arial" w:eastAsia="Arial" w:hAnsi="Arial"/>
          <w:sz w:val="18"/>
          <w:szCs w:val="18"/>
          <w:color w:val="auto"/>
        </w:rPr>
        <w:t>In order for us to conduct the meeting, the holders of a majority of the outstanding shares of our Common Stock represented in person or by proxy shall constitute a quorum at the Annual Meeting.</w:t>
      </w:r>
    </w:p>
    <w:p>
      <w:pPr>
        <w:spacing w:after="0" w:line="107" w:lineRule="exact"/>
        <w:rPr>
          <w:sz w:val="20"/>
          <w:szCs w:val="20"/>
          <w:color w:val="auto"/>
        </w:rPr>
      </w:pPr>
    </w:p>
    <w:p>
      <w:pPr>
        <w:jc w:val="both"/>
        <w:ind w:left="7" w:right="420"/>
        <w:spacing w:after="0" w:line="270" w:lineRule="auto"/>
        <w:rPr>
          <w:sz w:val="20"/>
          <w:szCs w:val="20"/>
          <w:color w:val="auto"/>
        </w:rPr>
      </w:pPr>
      <w:r>
        <w:rPr>
          <w:rFonts w:ascii="Arial" w:cs="Arial" w:eastAsia="Arial" w:hAnsi="Arial"/>
          <w:sz w:val="17"/>
          <w:szCs w:val="17"/>
          <w:color w:val="auto"/>
        </w:rPr>
        <w:t>Your shares are counted as present at the meeting if you attend the meeting and vote in person or if you properly return a proxy by Internet, telephone or mail.</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Abstentions and instances where brokers are prohibited from exercising discretionary authority for beneficial owners who have not returned a proxy (so-called “broker non-votes”) will be counted for purposes of determining a quorum.</w:t>
      </w:r>
    </w:p>
    <w:p>
      <w:pPr>
        <w:spacing w:after="0" w:line="879" w:lineRule="exact"/>
        <w:rPr>
          <w:sz w:val="20"/>
          <w:szCs w:val="20"/>
          <w:color w:val="auto"/>
        </w:rPr>
      </w:pPr>
    </w:p>
    <w:p>
      <w:pPr>
        <w:sectPr>
          <w:pgSz w:w="11900" w:h="16838" w:orient="portrait"/>
          <w:cols w:equalWidth="0" w:num="2">
            <w:col w:w="4447" w:space="720"/>
            <w:col w:w="4400"/>
          </w:cols>
          <w:pgMar w:left="1173" w:top="279" w:right="1159" w:bottom="1440" w:gutter="0" w:footer="0" w:header="0"/>
          <w:type w:val="continuous"/>
        </w:sectPr>
      </w:pPr>
    </w:p>
    <w:p>
      <w:pPr>
        <w:spacing w:after="0" w:line="14" w:lineRule="exact"/>
        <w:rPr>
          <w:sz w:val="20"/>
          <w:szCs w:val="20"/>
          <w:color w:val="auto"/>
        </w:rPr>
      </w:pPr>
    </w:p>
    <w:p>
      <w:pPr>
        <w:ind w:left="347" w:hanging="347"/>
        <w:spacing w:after="0"/>
        <w:tabs>
          <w:tab w:leader="none" w:pos="347"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WILL MY SHARES BE VOTED IF I DO NOT PROVIDE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0718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type w:val="continuous"/>
        </w:sectPr>
      </w:pPr>
    </w:p>
    <w:p>
      <w:pPr>
        <w:spacing w:after="0" w:line="148" w:lineRule="exact"/>
        <w:rPr>
          <w:sz w:val="20"/>
          <w:szCs w:val="20"/>
          <w:color w:val="auto"/>
        </w:rPr>
      </w:pPr>
    </w:p>
    <w:p>
      <w:pPr>
        <w:jc w:val="both"/>
        <w:ind w:left="7" w:right="80"/>
        <w:spacing w:after="0" w:line="263" w:lineRule="auto"/>
        <w:rPr>
          <w:sz w:val="20"/>
          <w:szCs w:val="20"/>
          <w:color w:val="auto"/>
        </w:rPr>
      </w:pPr>
      <w:r>
        <w:rPr>
          <w:rFonts w:ascii="Arial" w:cs="Arial" w:eastAsia="Arial" w:hAnsi="Arial"/>
          <w:sz w:val="17"/>
          <w:szCs w:val="17"/>
          <w:b w:val="1"/>
          <w:bCs w:val="1"/>
          <w:i w:val="1"/>
          <w:iCs w:val="1"/>
          <w:color w:val="auto"/>
        </w:rPr>
        <w:t xml:space="preserve">Shareholders of Record: </w:t>
      </w:r>
      <w:r>
        <w:rPr>
          <w:rFonts w:ascii="Arial" w:cs="Arial" w:eastAsia="Arial" w:hAnsi="Arial"/>
          <w:sz w:val="17"/>
          <w:szCs w:val="17"/>
          <w:color w:val="auto"/>
        </w:rPr>
        <w:t>If you are a shareholder of record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(see Question 3), your shares will not be voted if you do not provide your proxy unless you vote in person at the meeting. It is important that you vote your shares.</w:t>
      </w:r>
    </w:p>
    <w:p>
      <w:pPr>
        <w:spacing w:after="0" w:line="75" w:lineRule="exact"/>
        <w:rPr>
          <w:sz w:val="20"/>
          <w:szCs w:val="20"/>
          <w:color w:val="auto"/>
        </w:rPr>
      </w:pPr>
    </w:p>
    <w:p>
      <w:pPr>
        <w:ind w:left="7" w:right="60"/>
        <w:spacing w:after="0" w:line="254" w:lineRule="auto"/>
        <w:rPr>
          <w:sz w:val="20"/>
          <w:szCs w:val="20"/>
          <w:color w:val="auto"/>
        </w:rPr>
      </w:pPr>
      <w:r>
        <w:rPr>
          <w:rFonts w:ascii="Arial" w:cs="Arial" w:eastAsia="Arial" w:hAnsi="Arial"/>
          <w:sz w:val="17"/>
          <w:szCs w:val="17"/>
          <w:b w:val="1"/>
          <w:bCs w:val="1"/>
          <w:i w:val="1"/>
          <w:iCs w:val="1"/>
          <w:color w:val="auto"/>
        </w:rPr>
        <w:t xml:space="preserve">Holders of Common Stock through L3’s 401(k) plan: </w:t>
      </w:r>
      <w:r>
        <w:rPr>
          <w:rFonts w:ascii="Arial" w:cs="Arial" w:eastAsia="Arial" w:hAnsi="Arial"/>
          <w:sz w:val="17"/>
          <w:szCs w:val="17"/>
          <w:color w:val="auto"/>
        </w:rPr>
        <w:t>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you own shares of our Common Stock through L3’s 401(k) plan and you do not provide voting instructions, the shares in your 401(k) plan account will be voted by the trustee of the 401(k) plan in the same proportion as the shares of Common Stock held by the 401(k) plan for which voting instructions have been received from other participants in the plan, except as otherwise required by law. </w:t>
      </w:r>
      <w:r>
        <w:rPr>
          <w:rFonts w:ascii="Arial" w:cs="Arial" w:eastAsia="Arial" w:hAnsi="Arial"/>
          <w:sz w:val="17"/>
          <w:szCs w:val="17"/>
          <w:i w:val="1"/>
          <w:iCs w:val="1"/>
          <w:color w:val="auto"/>
        </w:rPr>
        <w:t>It is, therefore,</w:t>
      </w:r>
      <w:r>
        <w:rPr>
          <w:rFonts w:ascii="Arial" w:cs="Arial" w:eastAsia="Arial" w:hAnsi="Arial"/>
          <w:sz w:val="17"/>
          <w:szCs w:val="17"/>
          <w:color w:val="auto"/>
        </w:rPr>
        <w:t xml:space="preserve"> </w:t>
      </w:r>
      <w:r>
        <w:rPr>
          <w:rFonts w:ascii="Arial" w:cs="Arial" w:eastAsia="Arial" w:hAnsi="Arial"/>
          <w:sz w:val="17"/>
          <w:szCs w:val="17"/>
          <w:i w:val="1"/>
          <w:iCs w:val="1"/>
          <w:color w:val="auto"/>
        </w:rPr>
        <w:t>important that you vote your shares.</w:t>
      </w:r>
    </w:p>
    <w:p>
      <w:pPr>
        <w:spacing w:after="0" w:line="96" w:lineRule="exact"/>
        <w:rPr>
          <w:sz w:val="20"/>
          <w:szCs w:val="20"/>
          <w:color w:val="auto"/>
        </w:rPr>
      </w:pPr>
    </w:p>
    <w:p>
      <w:pPr>
        <w:ind w:left="7" w:right="120"/>
        <w:spacing w:after="0" w:line="308" w:lineRule="auto"/>
        <w:rPr>
          <w:sz w:val="20"/>
          <w:szCs w:val="20"/>
          <w:color w:val="auto"/>
        </w:rPr>
      </w:pPr>
      <w:r>
        <w:rPr>
          <w:rFonts w:ascii="Arial" w:cs="Arial" w:eastAsia="Arial" w:hAnsi="Arial"/>
          <w:sz w:val="15"/>
          <w:szCs w:val="15"/>
          <w:b w:val="1"/>
          <w:bCs w:val="1"/>
          <w:i w:val="1"/>
          <w:iCs w:val="1"/>
          <w:color w:val="auto"/>
        </w:rPr>
        <w:t xml:space="preserve">Street Name Holders: </w:t>
      </w:r>
      <w:r>
        <w:rPr>
          <w:rFonts w:ascii="Arial" w:cs="Arial" w:eastAsia="Arial" w:hAnsi="Arial"/>
          <w:sz w:val="15"/>
          <w:szCs w:val="15"/>
          <w:color w:val="auto"/>
        </w:rPr>
        <w:t>If your shares are held in street name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(see Question 4) and you do not provide voting instructions, your shares may be voted by your broker, bank or other nominee but only under certain circumstances. Specifically,</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 xml:space="preserve">under New York Stock Exchange (“NYSE”) rules, shares held in the name of your broker, bank or other nominee may be voted by your broker, bank or other nominee on certain “routine” matters if you do not provide voting instructions. Only the Auditor Ratification Proposal is considered a “routine” matter for which brokers, banks or other nominees may vote uninstructed shares. The other proposals to be voted on at the meeting (specifically, the election of director nominees, the Supermajority Proposal, the Cash Incentive Plan Proposal, the Say-on-Pay Proposal, and the Say-on-Frequency Proposal) are not considered “routine” under NYSE rules, so the broker, bank or other nominee cannot vote your shares on any of these proposals unless you provide voting instructions for each of these matters. If you do not provide voting instructions on a “non-routine” matter, your shares will not be voted on that matter, which is referred to as a “broker non-vote.” </w:t>
      </w:r>
      <w:r>
        <w:rPr>
          <w:rFonts w:ascii="Arial" w:cs="Arial" w:eastAsia="Arial" w:hAnsi="Arial"/>
          <w:sz w:val="16"/>
          <w:szCs w:val="16"/>
          <w:i w:val="1"/>
          <w:iCs w:val="1"/>
          <w:color w:val="auto"/>
        </w:rPr>
        <w:t>It is, therefore, important</w:t>
      </w:r>
      <w:r>
        <w:rPr>
          <w:rFonts w:ascii="Arial" w:cs="Arial" w:eastAsia="Arial" w:hAnsi="Arial"/>
          <w:sz w:val="16"/>
          <w:szCs w:val="16"/>
          <w:color w:val="auto"/>
        </w:rPr>
        <w:t xml:space="preserve"> </w:t>
      </w:r>
      <w:r>
        <w:rPr>
          <w:rFonts w:ascii="Arial" w:cs="Arial" w:eastAsia="Arial" w:hAnsi="Arial"/>
          <w:sz w:val="16"/>
          <w:szCs w:val="16"/>
          <w:i w:val="1"/>
          <w:iCs w:val="1"/>
          <w:color w:val="auto"/>
        </w:rPr>
        <w:t>that you vote your shares.</w:t>
      </w:r>
    </w:p>
    <w:p>
      <w:pPr>
        <w:spacing w:after="0" w:line="272" w:lineRule="exact"/>
        <w:rPr>
          <w:sz w:val="20"/>
          <w:szCs w:val="20"/>
          <w:color w:val="auto"/>
        </w:rPr>
      </w:pPr>
    </w:p>
    <w:p>
      <w:pPr>
        <w:sectPr>
          <w:pgSz w:w="11900" w:h="16838" w:orient="portrait"/>
          <w:cols w:equalWidth="0" w:num="2">
            <w:col w:w="4447" w:space="720"/>
            <w:col w:w="4400"/>
          </w:cols>
          <w:pgMar w:left="1173" w:top="279" w:right="1159" w:bottom="1440" w:gutter="0" w:footer="0" w:header="0"/>
          <w:type w:val="continuous"/>
        </w:sectPr>
      </w:pPr>
    </w:p>
    <w:tbl>
      <w:tblPr>
        <w:tblLayout w:type="fixed"/>
        <w:tblInd w:w="7" w:type="dxa"/>
        <w:tblCellMar>
          <w:top w:w="0" w:type="dxa"/>
          <w:left w:w="0" w:type="dxa"/>
          <w:bottom w:w="0" w:type="dxa"/>
          <w:right w:w="0" w:type="dxa"/>
        </w:tblCellMar>
      </w:tblPr>
      <w:tr>
        <w:trPr>
          <w:trHeight w:val="230"/>
        </w:trPr>
        <w:tc>
          <w:tcPr>
            <w:tcW w:w="9300" w:type="dxa"/>
            <w:vAlign w:val="bottom"/>
          </w:tcPr>
          <w:p>
            <w:pPr>
              <w:ind w:left="7820"/>
              <w:spacing w:after="0"/>
              <w:rPr>
                <w:sz w:val="20"/>
                <w:szCs w:val="20"/>
                <w:color w:val="auto"/>
              </w:rPr>
            </w:pPr>
            <w:r>
              <w:rPr>
                <w:rFonts w:ascii="Arial" w:cs="Arial" w:eastAsia="Arial" w:hAnsi="Arial"/>
                <w:sz w:val="14"/>
                <w:szCs w:val="14"/>
                <w:color w:val="005C7D"/>
                <w:w w:val="97"/>
              </w:rPr>
              <w:t xml:space="preserve">– </w:t>
            </w:r>
            <w:r>
              <w:rPr>
                <w:rFonts w:ascii="Arial" w:cs="Arial" w:eastAsia="Arial" w:hAnsi="Arial"/>
                <w:sz w:val="14"/>
                <w:szCs w:val="14"/>
                <w:i w:val="1"/>
                <w:iCs w:val="1"/>
                <w:color w:val="005C7D"/>
                <w:w w:val="97"/>
              </w:rPr>
              <w:t>2017 Proxy Statement</w:t>
            </w:r>
          </w:p>
        </w:tc>
        <w:tc>
          <w:tcPr>
            <w:tcW w:w="260" w:type="dxa"/>
            <w:vAlign w:val="bottom"/>
          </w:tcPr>
          <w:p>
            <w:pPr>
              <w:jc w:val="right"/>
              <w:spacing w:after="0"/>
              <w:rPr>
                <w:sz w:val="20"/>
                <w:szCs w:val="20"/>
                <w:color w:val="auto"/>
              </w:rPr>
            </w:pPr>
            <w:r>
              <w:rPr>
                <w:rFonts w:ascii="Arial" w:cs="Arial" w:eastAsia="Arial" w:hAnsi="Arial"/>
                <w:sz w:val="18"/>
                <w:szCs w:val="18"/>
                <w:color w:val="005C7D"/>
              </w:rPr>
              <w:t>7</w:t>
            </w:r>
          </w:p>
        </w:tc>
      </w:tr>
      <w:tr>
        <w:trPr>
          <w:trHeight w:val="554"/>
        </w:trPr>
        <w:tc>
          <w:tcPr>
            <w:tcW w:w="9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68"/>
        </w:trPr>
        <w:tc>
          <w:tcPr>
            <w:tcW w:w="930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4746625</wp:posOffset>
            </wp:positionH>
            <wp:positionV relativeFrom="paragraph">
              <wp:posOffset>-530860</wp:posOffset>
            </wp:positionV>
            <wp:extent cx="163195"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type w:val="continuous"/>
        </w:sectPr>
      </w:pPr>
    </w:p>
    <w:bookmarkStart w:id="13" w:name="page14"/>
    <w:bookmarkEnd w:id="13"/>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7"/>
        <w:spacing w:after="0"/>
        <w:rPr>
          <w:sz w:val="20"/>
          <w:szCs w:val="20"/>
          <w:color w:val="auto"/>
        </w:rPr>
      </w:pPr>
      <w:r>
        <w:rPr>
          <w:rFonts w:ascii="Arial" w:cs="Arial" w:eastAsia="Arial" w:hAnsi="Arial"/>
          <w:sz w:val="14"/>
          <w:szCs w:val="14"/>
          <w:color w:val="005C7D"/>
        </w:rPr>
        <w:t>QUESTIONS AND ANSWERS ABOUT THE 2017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0718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60" w:lineRule="exact"/>
        <w:rPr>
          <w:sz w:val="20"/>
          <w:szCs w:val="20"/>
          <w:color w:val="auto"/>
        </w:rPr>
      </w:pPr>
    </w:p>
    <w:p>
      <w:pPr>
        <w:ind w:left="347" w:hanging="347"/>
        <w:spacing w:after="0"/>
        <w:tabs>
          <w:tab w:leader="none" w:pos="347"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DO NOT SPECIFY A CHOICE FOR A MATTER WHEN RETURNING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0718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p>
      <w:pPr>
        <w:spacing w:after="0" w:line="189" w:lineRule="exact"/>
        <w:rPr>
          <w:sz w:val="20"/>
          <w:szCs w:val="20"/>
          <w:color w:val="auto"/>
        </w:rPr>
      </w:pPr>
    </w:p>
    <w:p>
      <w:pPr>
        <w:ind w:left="7" w:right="120"/>
        <w:spacing w:after="0" w:line="279" w:lineRule="auto"/>
        <w:rPr>
          <w:sz w:val="20"/>
          <w:szCs w:val="20"/>
          <w:color w:val="auto"/>
        </w:rPr>
      </w:pPr>
      <w:r>
        <w:rPr>
          <w:rFonts w:ascii="Arial" w:cs="Arial" w:eastAsia="Arial" w:hAnsi="Arial"/>
          <w:sz w:val="16"/>
          <w:szCs w:val="16"/>
          <w:color w:val="auto"/>
        </w:rPr>
        <w:t>If a shareholder delivers a proxy pursuant to this solicitation but does not specify a choice with respect to any proposal set forth in this Proxy Statement, the underlying shares will be voted on that proposal in accordance with the recommendation of our Board of Directors. With respect to</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any other matters that may properly come before the Annual Meeting, or any adjournment or postponement thereof, the underlying shares will be voted in accordance with the discretion of the Proxyholders.</w:t>
      </w:r>
    </w:p>
    <w:p>
      <w:pPr>
        <w:spacing w:after="0" w:line="431" w:lineRule="exact"/>
        <w:rPr>
          <w:sz w:val="20"/>
          <w:szCs w:val="20"/>
          <w:color w:val="auto"/>
        </w:rPr>
      </w:pPr>
    </w:p>
    <w:p>
      <w:pPr>
        <w:sectPr>
          <w:pgSz w:w="11900" w:h="16838" w:orient="portrait"/>
          <w:cols w:equalWidth="0" w:num="2">
            <w:col w:w="4447" w:space="720"/>
            <w:col w:w="4400"/>
          </w:cols>
          <w:pgMar w:left="1173" w:top="279" w:right="1159" w:bottom="1440" w:gutter="0" w:footer="0" w:header="0"/>
          <w:type w:val="continuous"/>
        </w:sectPr>
      </w:pPr>
    </w:p>
    <w:p>
      <w:pPr>
        <w:spacing w:after="0" w:line="10" w:lineRule="exact"/>
        <w:rPr>
          <w:sz w:val="20"/>
          <w:szCs w:val="20"/>
          <w:color w:val="auto"/>
        </w:rPr>
      </w:pPr>
    </w:p>
    <w:p>
      <w:pPr>
        <w:ind w:left="347" w:hanging="347"/>
        <w:spacing w:after="0"/>
        <w:tabs>
          <w:tab w:leader="none" w:pos="347"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REVOKE A PROXY OR CHANGE MY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0718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type w:val="continuous"/>
        </w:sectPr>
      </w:pPr>
    </w:p>
    <w:p>
      <w:pPr>
        <w:spacing w:after="0" w:line="189" w:lineRule="exact"/>
        <w:rPr>
          <w:sz w:val="20"/>
          <w:szCs w:val="20"/>
          <w:color w:val="auto"/>
        </w:rPr>
      </w:pPr>
    </w:p>
    <w:p>
      <w:pPr>
        <w:ind w:left="7" w:right="60"/>
        <w:spacing w:after="0" w:line="270" w:lineRule="auto"/>
        <w:rPr>
          <w:sz w:val="20"/>
          <w:szCs w:val="20"/>
          <w:color w:val="auto"/>
        </w:rPr>
      </w:pPr>
      <w:r>
        <w:rPr>
          <w:rFonts w:ascii="Arial" w:cs="Arial" w:eastAsia="Arial" w:hAnsi="Arial"/>
          <w:sz w:val="16"/>
          <w:szCs w:val="16"/>
          <w:color w:val="auto"/>
        </w:rPr>
        <w:t>Any proxy delivered pursuant to this solicitation is revocable at the option of the person(s) executing the proxy upon our receipt, prior to the time the proxy is voted, of a duly executed instrument revoking it, or of a duly executed proxy bearing a later date, or by such person(s) voting in person at the Annual Meeting. Unless revoked, all proxies representing shares entitled to vote that are delivered pursuant to this solicitation will be voted at the Annual Meeting and, where a choice has been specified on the proxy card, will be voted in accordance with such specification.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To revoke a proxy previously submitted over the Internet, by telephone or by mail, you may simply vote again at a later date, using the same procedures, in which case your later submitted vote will be recorded and your earlier vote revoked. You may also attend the Annual Meeting and vote in person.</w:t>
      </w:r>
    </w:p>
    <w:p>
      <w:pPr>
        <w:spacing w:after="0" w:line="8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If your shares are held in street name and you previously provided voting instructions to your broker, bank or other nominee, you should follow the instructions provided by your broker, bank or other nominee to revoke or change your voting instructions.</w:t>
      </w:r>
    </w:p>
    <w:p>
      <w:pPr>
        <w:spacing w:after="0" w:line="200" w:lineRule="exact"/>
        <w:rPr>
          <w:sz w:val="20"/>
          <w:szCs w:val="20"/>
          <w:color w:val="auto"/>
        </w:rPr>
      </w:pPr>
    </w:p>
    <w:p>
      <w:pPr>
        <w:sectPr>
          <w:pgSz w:w="11900" w:h="16838" w:orient="portrait"/>
          <w:cols w:equalWidth="0" w:num="2">
            <w:col w:w="4447" w:space="720"/>
            <w:col w:w="4400"/>
          </w:cols>
          <w:pgMar w:left="1173" w:top="279" w:right="1159" w:bottom="1440" w:gutter="0" w:footer="0" w:header="0"/>
          <w:type w:val="continuous"/>
        </w:sectPr>
      </w:pPr>
    </w:p>
    <w:p>
      <w:pPr>
        <w:spacing w:after="0" w:line="40" w:lineRule="exact"/>
        <w:rPr>
          <w:sz w:val="20"/>
          <w:szCs w:val="20"/>
          <w:color w:val="auto"/>
        </w:rPr>
      </w:pPr>
    </w:p>
    <w:p>
      <w:pPr>
        <w:ind w:left="7" w:right="40"/>
        <w:spacing w:after="0" w:line="375" w:lineRule="auto"/>
        <w:rPr>
          <w:sz w:val="20"/>
          <w:szCs w:val="20"/>
          <w:color w:val="auto"/>
        </w:rPr>
      </w:pPr>
      <w:r>
        <w:rPr>
          <w:rFonts w:ascii="Arial" w:cs="Arial" w:eastAsia="Arial" w:hAnsi="Arial"/>
          <w:sz w:val="18"/>
          <w:szCs w:val="18"/>
          <w:b w:val="1"/>
          <w:bCs w:val="1"/>
          <w:color w:val="auto"/>
        </w:rPr>
        <w:t xml:space="preserve">10. WHAT ITEMS WILL BE VOTED ON AT THE 2017 ANNUAL MEETING AND WHAT IS THE VOTE REQUIRED? </w:t>
      </w:r>
      <w:r>
        <w:rPr>
          <w:rFonts w:ascii="Arial" w:cs="Arial" w:eastAsia="Arial" w:hAnsi="Arial"/>
          <w:sz w:val="18"/>
          <w:szCs w:val="18"/>
          <w:color w:val="auto"/>
        </w:rPr>
        <w:t>The vote required to approve all of the proposals listed herein assumes the presence of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-260985</wp:posOffset>
            </wp:positionV>
            <wp:extent cx="6071870" cy="36449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3644900"/>
                    </a:xfrm>
                    <a:prstGeom prst="rect">
                      <a:avLst/>
                    </a:prstGeom>
                    <a:noFill/>
                  </pic:spPr>
                </pic:pic>
              </a:graphicData>
            </a:graphic>
          </wp:anchor>
        </w:drawing>
      </w:r>
    </w:p>
    <w:p>
      <w:pPr>
        <w:ind w:left="587" w:right="80" w:hanging="380"/>
        <w:spacing w:after="0" w:line="260" w:lineRule="auto"/>
        <w:tabs>
          <w:tab w:leader="none" w:pos="587" w:val="left"/>
        </w:tabs>
        <w:numPr>
          <w:ilvl w:val="0"/>
          <w:numId w:val="19"/>
        </w:numPr>
        <w:rPr>
          <w:rFonts w:ascii="Arial" w:cs="Arial" w:eastAsia="Arial" w:hAnsi="Arial"/>
          <w:sz w:val="18"/>
          <w:szCs w:val="18"/>
          <w:color w:val="005C7D"/>
        </w:rPr>
      </w:pPr>
      <w:r>
        <w:rPr>
          <w:rFonts w:ascii="Arial" w:cs="Arial" w:eastAsia="Arial" w:hAnsi="Arial"/>
          <w:sz w:val="18"/>
          <w:szCs w:val="18"/>
          <w:b w:val="1"/>
          <w:bCs w:val="1"/>
          <w:color w:val="auto"/>
        </w:rPr>
        <w:t xml:space="preserve">Proposal 1 – Election of the 10 Directors listed herein: </w:t>
      </w:r>
      <w:r>
        <w:rPr>
          <w:rFonts w:ascii="Arial" w:cs="Arial" w:eastAsia="Arial" w:hAnsi="Arial"/>
          <w:sz w:val="18"/>
          <w:szCs w:val="18"/>
          <w:color w:val="auto"/>
        </w:rPr>
        <w:t>A majority of the votes cast at the Annual Meeting is required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election of each nominee for director. Abstentions and “broker non-votes” will have no effect on the outcome of this proposal.</w:t>
      </w:r>
    </w:p>
    <w:p>
      <w:pPr>
        <w:spacing w:after="0" w:line="2" w:lineRule="exact"/>
        <w:rPr>
          <w:rFonts w:ascii="Arial" w:cs="Arial" w:eastAsia="Arial" w:hAnsi="Arial"/>
          <w:sz w:val="18"/>
          <w:szCs w:val="18"/>
          <w:color w:val="005C7D"/>
        </w:rPr>
      </w:pPr>
    </w:p>
    <w:p>
      <w:pPr>
        <w:ind w:left="1247" w:hanging="362"/>
        <w:spacing w:after="0"/>
        <w:tabs>
          <w:tab w:leader="none" w:pos="1247" w:val="left"/>
        </w:tabs>
        <w:numPr>
          <w:ilvl w:val="1"/>
          <w:numId w:val="19"/>
        </w:numPr>
        <w:rPr>
          <w:rFonts w:ascii="Arial" w:cs="Arial" w:eastAsia="Arial" w:hAnsi="Arial"/>
          <w:sz w:val="9"/>
          <w:szCs w:val="9"/>
          <w:color w:val="auto"/>
        </w:rPr>
      </w:pPr>
      <w:r>
        <w:rPr>
          <w:rFonts w:ascii="Arial" w:cs="Arial" w:eastAsia="Arial" w:hAnsi="Arial"/>
          <w:sz w:val="18"/>
          <w:szCs w:val="18"/>
          <w:b w:val="1"/>
          <w:bCs w:val="1"/>
          <w:color w:val="auto"/>
        </w:rPr>
        <w:t>The Board recommends a vote “FOR” each of the nominees named in the Proxy Statement.</w:t>
      </w:r>
    </w:p>
    <w:p>
      <w:pPr>
        <w:spacing w:after="0" w:line="36" w:lineRule="exact"/>
        <w:rPr>
          <w:rFonts w:ascii="Arial" w:cs="Arial" w:eastAsia="Arial" w:hAnsi="Arial"/>
          <w:sz w:val="9"/>
          <w:szCs w:val="9"/>
          <w:color w:val="auto"/>
        </w:rPr>
      </w:pPr>
    </w:p>
    <w:p>
      <w:pPr>
        <w:ind w:left="587" w:right="540" w:hanging="380"/>
        <w:spacing w:after="0" w:line="260" w:lineRule="auto"/>
        <w:tabs>
          <w:tab w:leader="none" w:pos="587" w:val="left"/>
        </w:tabs>
        <w:numPr>
          <w:ilvl w:val="0"/>
          <w:numId w:val="19"/>
        </w:numPr>
        <w:rPr>
          <w:rFonts w:ascii="Arial" w:cs="Arial" w:eastAsia="Arial" w:hAnsi="Arial"/>
          <w:sz w:val="18"/>
          <w:szCs w:val="18"/>
          <w:color w:val="005C7D"/>
        </w:rPr>
      </w:pPr>
      <w:r>
        <w:rPr>
          <w:rFonts w:ascii="Arial" w:cs="Arial" w:eastAsia="Arial" w:hAnsi="Arial"/>
          <w:sz w:val="18"/>
          <w:szCs w:val="18"/>
          <w:b w:val="1"/>
          <w:bCs w:val="1"/>
          <w:color w:val="auto"/>
        </w:rPr>
        <w:t xml:space="preserve">Proposal 2 – Auditor Ratification Proposal: </w:t>
      </w:r>
      <w:r>
        <w:rPr>
          <w:rFonts w:ascii="Arial" w:cs="Arial" w:eastAsia="Arial" w:hAnsi="Arial"/>
          <w:sz w:val="18"/>
          <w:szCs w:val="18"/>
          <w:color w:val="auto"/>
        </w:rPr>
        <w:t>A majority of the votes cast at the Annual Meeting is required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Auditor Ratification Proposal. Abstentions will have no effect on the outcome of this proposal. Your broker will have discretion to vote your uninstructed shares on this proposal.</w:t>
      </w:r>
    </w:p>
    <w:p>
      <w:pPr>
        <w:spacing w:after="0" w:line="2" w:lineRule="exact"/>
        <w:rPr>
          <w:rFonts w:ascii="Arial" w:cs="Arial" w:eastAsia="Arial" w:hAnsi="Arial"/>
          <w:sz w:val="18"/>
          <w:szCs w:val="18"/>
          <w:color w:val="005C7D"/>
        </w:rPr>
      </w:pPr>
    </w:p>
    <w:p>
      <w:pPr>
        <w:ind w:left="1247" w:hanging="362"/>
        <w:spacing w:after="0"/>
        <w:tabs>
          <w:tab w:leader="none" w:pos="1247" w:val="left"/>
        </w:tabs>
        <w:numPr>
          <w:ilvl w:val="1"/>
          <w:numId w:val="19"/>
        </w:numPr>
        <w:rPr>
          <w:rFonts w:ascii="Arial" w:cs="Arial" w:eastAsia="Arial" w:hAnsi="Arial"/>
          <w:sz w:val="9"/>
          <w:szCs w:val="9"/>
          <w:color w:val="auto"/>
        </w:rPr>
      </w:pPr>
      <w:r>
        <w:rPr>
          <w:rFonts w:ascii="Arial" w:cs="Arial" w:eastAsia="Arial" w:hAnsi="Arial"/>
          <w:sz w:val="18"/>
          <w:szCs w:val="18"/>
          <w:b w:val="1"/>
          <w:bCs w:val="1"/>
          <w:color w:val="auto"/>
        </w:rPr>
        <w:t>The Board recommends a vote “FOR” this proposal.</w:t>
      </w:r>
    </w:p>
    <w:p>
      <w:pPr>
        <w:spacing w:after="0" w:line="36" w:lineRule="exact"/>
        <w:rPr>
          <w:rFonts w:ascii="Arial" w:cs="Arial" w:eastAsia="Arial" w:hAnsi="Arial"/>
          <w:sz w:val="9"/>
          <w:szCs w:val="9"/>
          <w:color w:val="auto"/>
        </w:rPr>
      </w:pPr>
    </w:p>
    <w:p>
      <w:pPr>
        <w:ind w:left="587" w:right="260" w:hanging="380"/>
        <w:spacing w:after="0" w:line="260" w:lineRule="auto"/>
        <w:tabs>
          <w:tab w:leader="none" w:pos="587" w:val="left"/>
        </w:tabs>
        <w:numPr>
          <w:ilvl w:val="0"/>
          <w:numId w:val="19"/>
        </w:numPr>
        <w:rPr>
          <w:rFonts w:ascii="Arial" w:cs="Arial" w:eastAsia="Arial" w:hAnsi="Arial"/>
          <w:sz w:val="18"/>
          <w:szCs w:val="18"/>
          <w:color w:val="005C7D"/>
        </w:rPr>
      </w:pPr>
      <w:r>
        <w:rPr>
          <w:rFonts w:ascii="Arial" w:cs="Arial" w:eastAsia="Arial" w:hAnsi="Arial"/>
          <w:sz w:val="18"/>
          <w:szCs w:val="18"/>
          <w:b w:val="1"/>
          <w:bCs w:val="1"/>
          <w:color w:val="auto"/>
        </w:rPr>
        <w:t xml:space="preserve">Proposal 3 – Supermajority Proposal: </w:t>
      </w:r>
      <w:r>
        <w:rPr>
          <w:rFonts w:ascii="Arial" w:cs="Arial" w:eastAsia="Arial" w:hAnsi="Arial"/>
          <w:sz w:val="18"/>
          <w:szCs w:val="18"/>
          <w:color w:val="auto"/>
        </w:rPr>
        <w:t>The affirmative vote of all of the outstanding Common Stock of the Company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approve the Supermajority Proposal. Abstentions and “broker non-votes” will have the same effect as votes “against” this proposal.</w:t>
      </w:r>
    </w:p>
    <w:p>
      <w:pPr>
        <w:spacing w:after="0" w:line="2" w:lineRule="exact"/>
        <w:rPr>
          <w:rFonts w:ascii="Arial" w:cs="Arial" w:eastAsia="Arial" w:hAnsi="Arial"/>
          <w:sz w:val="18"/>
          <w:szCs w:val="18"/>
          <w:color w:val="005C7D"/>
        </w:rPr>
      </w:pPr>
    </w:p>
    <w:p>
      <w:pPr>
        <w:ind w:left="1247" w:hanging="362"/>
        <w:spacing w:after="0"/>
        <w:tabs>
          <w:tab w:leader="none" w:pos="1247" w:val="left"/>
        </w:tabs>
        <w:numPr>
          <w:ilvl w:val="1"/>
          <w:numId w:val="19"/>
        </w:numPr>
        <w:rPr>
          <w:rFonts w:ascii="Arial" w:cs="Arial" w:eastAsia="Arial" w:hAnsi="Arial"/>
          <w:sz w:val="9"/>
          <w:szCs w:val="9"/>
          <w:color w:val="auto"/>
        </w:rPr>
      </w:pPr>
      <w:r>
        <w:rPr>
          <w:rFonts w:ascii="Arial" w:cs="Arial" w:eastAsia="Arial" w:hAnsi="Arial"/>
          <w:sz w:val="18"/>
          <w:szCs w:val="18"/>
          <w:b w:val="1"/>
          <w:bCs w:val="1"/>
          <w:color w:val="auto"/>
        </w:rPr>
        <w:t>The Board recommends a vote “FOR” this proposal.</w:t>
      </w:r>
    </w:p>
    <w:p>
      <w:pPr>
        <w:spacing w:after="0" w:line="36" w:lineRule="exact"/>
        <w:rPr>
          <w:rFonts w:ascii="Arial" w:cs="Arial" w:eastAsia="Arial" w:hAnsi="Arial"/>
          <w:sz w:val="9"/>
          <w:szCs w:val="9"/>
          <w:color w:val="auto"/>
        </w:rPr>
      </w:pPr>
    </w:p>
    <w:p>
      <w:pPr>
        <w:ind w:left="587" w:right="80" w:hanging="380"/>
        <w:spacing w:after="0" w:line="260" w:lineRule="auto"/>
        <w:tabs>
          <w:tab w:leader="none" w:pos="587" w:val="left"/>
        </w:tabs>
        <w:numPr>
          <w:ilvl w:val="0"/>
          <w:numId w:val="19"/>
        </w:numPr>
        <w:rPr>
          <w:rFonts w:ascii="Arial" w:cs="Arial" w:eastAsia="Arial" w:hAnsi="Arial"/>
          <w:sz w:val="18"/>
          <w:szCs w:val="18"/>
          <w:color w:val="005C7D"/>
        </w:rPr>
      </w:pPr>
      <w:r>
        <w:rPr>
          <w:rFonts w:ascii="Arial" w:cs="Arial" w:eastAsia="Arial" w:hAnsi="Arial"/>
          <w:sz w:val="18"/>
          <w:szCs w:val="18"/>
          <w:b w:val="1"/>
          <w:bCs w:val="1"/>
          <w:color w:val="auto"/>
        </w:rPr>
        <w:t xml:space="preserve">Proposal 4 – Cash Incentive Plan Proposal: </w:t>
      </w:r>
      <w:r>
        <w:rPr>
          <w:rFonts w:ascii="Arial" w:cs="Arial" w:eastAsia="Arial" w:hAnsi="Arial"/>
          <w:sz w:val="18"/>
          <w:szCs w:val="18"/>
          <w:color w:val="auto"/>
        </w:rPr>
        <w:t>A majority of the votes cast at the Annual Meeting is required to approve the</w:t>
      </w:r>
      <w:r>
        <w:rPr>
          <w:rFonts w:ascii="Arial" w:cs="Arial" w:eastAsia="Arial" w:hAnsi="Arial"/>
          <w:sz w:val="18"/>
          <w:szCs w:val="18"/>
          <w:b w:val="1"/>
          <w:bCs w:val="1"/>
          <w:color w:val="auto"/>
        </w:rPr>
        <w:t xml:space="preserve"> </w:t>
      </w:r>
      <w:r>
        <w:rPr>
          <w:rFonts w:ascii="Arial" w:cs="Arial" w:eastAsia="Arial" w:hAnsi="Arial"/>
          <w:sz w:val="18"/>
          <w:szCs w:val="18"/>
          <w:color w:val="auto"/>
        </w:rPr>
        <w:t>Cash Incentive Plan Proposal. Abstentions will have the same effect as a vote “against” this proposal and “broker non-votes” will have no effect on the outcome of this proposal.</w:t>
      </w:r>
    </w:p>
    <w:p>
      <w:pPr>
        <w:spacing w:after="0" w:line="2" w:lineRule="exact"/>
        <w:rPr>
          <w:rFonts w:ascii="Arial" w:cs="Arial" w:eastAsia="Arial" w:hAnsi="Arial"/>
          <w:sz w:val="18"/>
          <w:szCs w:val="18"/>
          <w:color w:val="005C7D"/>
        </w:rPr>
      </w:pPr>
    </w:p>
    <w:p>
      <w:pPr>
        <w:ind w:left="1247" w:hanging="358"/>
        <w:spacing w:after="0"/>
        <w:tabs>
          <w:tab w:leader="none" w:pos="1247" w:val="left"/>
        </w:tabs>
        <w:numPr>
          <w:ilvl w:val="1"/>
          <w:numId w:val="19"/>
        </w:numPr>
        <w:rPr>
          <w:rFonts w:ascii="Arial" w:cs="Arial" w:eastAsia="Arial" w:hAnsi="Arial"/>
          <w:sz w:val="15"/>
          <w:szCs w:val="15"/>
          <w:color w:val="auto"/>
          <w:vertAlign w:val="superscript"/>
        </w:rPr>
      </w:pPr>
      <w:r>
        <w:rPr>
          <w:rFonts w:ascii="Arial" w:cs="Arial" w:eastAsia="Arial" w:hAnsi="Arial"/>
          <w:sz w:val="18"/>
          <w:szCs w:val="18"/>
          <w:b w:val="1"/>
          <w:bCs w:val="1"/>
          <w:color w:val="auto"/>
        </w:rPr>
        <w:t>The Board recommends a vote “FOR” this proposal.</w:t>
      </w:r>
    </w:p>
    <w:p>
      <w:pPr>
        <w:spacing w:after="0" w:line="36" w:lineRule="exact"/>
        <w:rPr>
          <w:rFonts w:ascii="Arial" w:cs="Arial" w:eastAsia="Arial" w:hAnsi="Arial"/>
          <w:sz w:val="15"/>
          <w:szCs w:val="15"/>
          <w:color w:val="auto"/>
          <w:vertAlign w:val="superscript"/>
        </w:rPr>
      </w:pPr>
    </w:p>
    <w:p>
      <w:pPr>
        <w:ind w:left="587" w:right="140" w:hanging="380"/>
        <w:spacing w:after="0" w:line="281" w:lineRule="auto"/>
        <w:tabs>
          <w:tab w:leader="none" w:pos="587" w:val="left"/>
        </w:tabs>
        <w:numPr>
          <w:ilvl w:val="0"/>
          <w:numId w:val="19"/>
        </w:numPr>
        <w:rPr>
          <w:rFonts w:ascii="Arial" w:cs="Arial" w:eastAsia="Arial" w:hAnsi="Arial"/>
          <w:sz w:val="17"/>
          <w:szCs w:val="17"/>
          <w:color w:val="005C7D"/>
        </w:rPr>
      </w:pPr>
      <w:r>
        <w:rPr>
          <w:rFonts w:ascii="Arial" w:cs="Arial" w:eastAsia="Arial" w:hAnsi="Arial"/>
          <w:sz w:val="17"/>
          <w:szCs w:val="17"/>
          <w:b w:val="1"/>
          <w:bCs w:val="1"/>
          <w:color w:val="auto"/>
        </w:rPr>
        <w:t xml:space="preserve">Proposal 5 – Say-on-Pay Proposal: </w:t>
      </w:r>
      <w:r>
        <w:rPr>
          <w:rFonts w:ascii="Arial" w:cs="Arial" w:eastAsia="Arial" w:hAnsi="Arial"/>
          <w:sz w:val="17"/>
          <w:szCs w:val="17"/>
          <w:color w:val="auto"/>
        </w:rPr>
        <w:t>A majority of the votes cast at the Annual Meeting is required to approve the Say-on-Pay Proposal. Abstentions and “broker non-votes” will have no effect on the outcome of this proposal.</w:t>
      </w:r>
    </w:p>
    <w:p>
      <w:pPr>
        <w:spacing w:after="0" w:line="1" w:lineRule="exact"/>
        <w:rPr>
          <w:rFonts w:ascii="Arial" w:cs="Arial" w:eastAsia="Arial" w:hAnsi="Arial"/>
          <w:sz w:val="17"/>
          <w:szCs w:val="17"/>
          <w:color w:val="005C7D"/>
        </w:rPr>
      </w:pPr>
    </w:p>
    <w:p>
      <w:pPr>
        <w:ind w:left="1247" w:hanging="362"/>
        <w:spacing w:after="0"/>
        <w:tabs>
          <w:tab w:leader="none" w:pos="1247" w:val="left"/>
        </w:tabs>
        <w:numPr>
          <w:ilvl w:val="1"/>
          <w:numId w:val="19"/>
        </w:numPr>
        <w:rPr>
          <w:rFonts w:ascii="Arial" w:cs="Arial" w:eastAsia="Arial" w:hAnsi="Arial"/>
          <w:sz w:val="9"/>
          <w:szCs w:val="9"/>
          <w:color w:val="auto"/>
        </w:rPr>
      </w:pPr>
      <w:r>
        <w:rPr>
          <w:rFonts w:ascii="Arial" w:cs="Arial" w:eastAsia="Arial" w:hAnsi="Arial"/>
          <w:sz w:val="18"/>
          <w:szCs w:val="18"/>
          <w:b w:val="1"/>
          <w:bCs w:val="1"/>
          <w:color w:val="auto"/>
        </w:rPr>
        <w:t>The Board recommends a vote “FOR” this proposal.</w:t>
      </w:r>
    </w:p>
    <w:p>
      <w:pPr>
        <w:spacing w:after="0" w:line="36" w:lineRule="exact"/>
        <w:rPr>
          <w:rFonts w:ascii="Arial" w:cs="Arial" w:eastAsia="Arial" w:hAnsi="Arial"/>
          <w:sz w:val="9"/>
          <w:szCs w:val="9"/>
          <w:color w:val="auto"/>
        </w:rPr>
      </w:pPr>
    </w:p>
    <w:p>
      <w:pPr>
        <w:ind w:left="587" w:right="200" w:hanging="380"/>
        <w:spacing w:after="0" w:line="260" w:lineRule="auto"/>
        <w:tabs>
          <w:tab w:leader="none" w:pos="587" w:val="left"/>
        </w:tabs>
        <w:numPr>
          <w:ilvl w:val="0"/>
          <w:numId w:val="19"/>
        </w:numPr>
        <w:rPr>
          <w:rFonts w:ascii="Arial" w:cs="Arial" w:eastAsia="Arial" w:hAnsi="Arial"/>
          <w:sz w:val="18"/>
          <w:szCs w:val="18"/>
          <w:color w:val="005C7D"/>
        </w:rPr>
      </w:pPr>
      <w:r>
        <w:rPr>
          <w:rFonts w:ascii="Arial" w:cs="Arial" w:eastAsia="Arial" w:hAnsi="Arial"/>
          <w:sz w:val="18"/>
          <w:szCs w:val="18"/>
          <w:b w:val="1"/>
          <w:bCs w:val="1"/>
          <w:color w:val="auto"/>
        </w:rPr>
        <w:t xml:space="preserve">Proposal 6 – Say-on-Frequency Proposal: </w:t>
      </w:r>
      <w:r>
        <w:rPr>
          <w:rFonts w:ascii="Arial" w:cs="Arial" w:eastAsia="Arial" w:hAnsi="Arial"/>
          <w:sz w:val="18"/>
          <w:szCs w:val="18"/>
          <w:color w:val="auto"/>
        </w:rPr>
        <w:t>The frequency option receiving the most affirmative votes will be considered</w:t>
      </w:r>
      <w:r>
        <w:rPr>
          <w:rFonts w:ascii="Arial" w:cs="Arial" w:eastAsia="Arial" w:hAnsi="Arial"/>
          <w:sz w:val="18"/>
          <w:szCs w:val="18"/>
          <w:b w:val="1"/>
          <w:bCs w:val="1"/>
          <w:color w:val="auto"/>
        </w:rPr>
        <w:t xml:space="preserve"> </w:t>
      </w:r>
      <w:r>
        <w:rPr>
          <w:rFonts w:ascii="Arial" w:cs="Arial" w:eastAsia="Arial" w:hAnsi="Arial"/>
          <w:sz w:val="18"/>
          <w:szCs w:val="18"/>
          <w:color w:val="auto"/>
        </w:rPr>
        <w:t>the advisory vote of the shareholders. Abstentions and “broker non-votes” will have no effect on the outcome of this proposal.</w:t>
      </w:r>
    </w:p>
    <w:p>
      <w:pPr>
        <w:spacing w:after="0" w:line="2" w:lineRule="exact"/>
        <w:rPr>
          <w:rFonts w:ascii="Arial" w:cs="Arial" w:eastAsia="Arial" w:hAnsi="Arial"/>
          <w:sz w:val="18"/>
          <w:szCs w:val="18"/>
          <w:color w:val="005C7D"/>
        </w:rPr>
      </w:pPr>
    </w:p>
    <w:p>
      <w:pPr>
        <w:ind w:left="1247" w:hanging="362"/>
        <w:spacing w:after="0"/>
        <w:tabs>
          <w:tab w:leader="none" w:pos="1247" w:val="left"/>
        </w:tabs>
        <w:numPr>
          <w:ilvl w:val="1"/>
          <w:numId w:val="19"/>
        </w:numPr>
        <w:rPr>
          <w:rFonts w:ascii="Arial" w:cs="Arial" w:eastAsia="Arial" w:hAnsi="Arial"/>
          <w:sz w:val="9"/>
          <w:szCs w:val="9"/>
          <w:color w:val="auto"/>
        </w:rPr>
      </w:pPr>
      <w:r>
        <w:rPr>
          <w:rFonts w:ascii="Arial" w:cs="Arial" w:eastAsia="Arial" w:hAnsi="Arial"/>
          <w:sz w:val="18"/>
          <w:szCs w:val="18"/>
          <w:b w:val="1"/>
          <w:bCs w:val="1"/>
          <w:color w:val="auto"/>
        </w:rPr>
        <w:t>The Board recommends a vote of “ONE YEAR” for this proposal.</w:t>
      </w:r>
    </w:p>
    <w:p>
      <w:pPr>
        <w:spacing w:after="0" w:line="326" w:lineRule="exact"/>
        <w:rPr>
          <w:sz w:val="20"/>
          <w:szCs w:val="20"/>
          <w:color w:val="auto"/>
        </w:rPr>
      </w:pPr>
    </w:p>
    <w:p>
      <w:pPr>
        <w:ind w:left="47"/>
        <w:spacing w:after="0"/>
        <w:tabs>
          <w:tab w:leader="none" w:pos="351" w:val="left"/>
        </w:tabs>
        <w:rPr>
          <w:sz w:val="20"/>
          <w:szCs w:val="20"/>
          <w:color w:val="auto"/>
        </w:rPr>
      </w:pPr>
      <w:r>
        <w:rPr>
          <w:rFonts w:ascii="Arial" w:cs="Arial" w:eastAsia="Arial" w:hAnsi="Arial"/>
          <w:sz w:val="18"/>
          <w:szCs w:val="18"/>
          <w:color w:val="005C7D"/>
        </w:rPr>
        <w:t>8</w:t>
      </w:r>
      <w:r>
        <w:rPr>
          <w:sz w:val="20"/>
          <w:szCs w:val="20"/>
          <w:color w:val="auto"/>
        </w:rPr>
        <w:tab/>
      </w:r>
      <w:r>
        <w:rPr>
          <w:sz w:val="1"/>
          <w:szCs w:val="1"/>
          <w:color w:val="auto"/>
        </w:rPr>
        <w:drawing>
          <wp:inline distT="0" distB="0" distL="0" distR="0">
            <wp:extent cx="154305" cy="1543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r>
        <w:rPr>
          <w:rFonts w:ascii="Arial" w:cs="Arial" w:eastAsia="Arial" w:hAnsi="Arial"/>
          <w:sz w:val="14"/>
          <w:szCs w:val="14"/>
          <w:color w:val="005C7D"/>
        </w:rPr>
        <w:t xml:space="preserve"> –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343535</wp:posOffset>
            </wp:positionV>
            <wp:extent cx="607187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type w:val="continuous"/>
        </w:sectPr>
      </w:pPr>
    </w:p>
    <w:bookmarkStart w:id="14" w:name="page15"/>
    <w:bookmarkEnd w:id="1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QUESTIONS AND ANSWERS ABOUT THE 2017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WHAT DOES IT MEAN IF I RECEIVE MULTIPLE COPIES OF THE NOTICE OR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0718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p>
      <w:pPr>
        <w:spacing w:after="0" w:line="189"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Please note that you may receive multiple copies of the Notice or Proxy Materials (electronically and/or by mail). These materials may not be duplicates as you may receive separate copies of the Notice or Proxy Materials for each type of account in which you hold shares of our Common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Stock. Please be sure to vote all of your shares in each of your accounts in accordance with the directions on the proxy card(s) and/or voting instruction form(s) that you receive. In the case of duplicate votes for shares in a particular account, your last vote is the one that counts.</w:t>
      </w:r>
    </w:p>
    <w:p>
      <w:pPr>
        <w:spacing w:after="0" w:line="214" w:lineRule="exact"/>
        <w:rPr>
          <w:sz w:val="20"/>
          <w:szCs w:val="20"/>
          <w:color w:val="auto"/>
        </w:rPr>
      </w:pPr>
    </w:p>
    <w:p>
      <w:pPr>
        <w:sectPr>
          <w:pgSz w:w="11900" w:h="16838" w:orient="portrait"/>
          <w:cols w:equalWidth="0" w:num="2">
            <w:col w:w="4440" w:space="720"/>
            <w:col w:w="4400"/>
          </w:cols>
          <w:pgMar w:left="1180" w:top="279" w:right="115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WHO WILL PAY THE COST OF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0718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p>
      <w:pPr>
        <w:spacing w:after="0" w:line="18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cost of this solicitation of proxies will be paid by the Company. The solicitation will be made primarily via the Internet and by mail, but our officers and regular employees may also solicit proxies by telephone, telegraph, facsimile,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or in person. We also have retained Georgeson Inc. to assist in soliciting proxies. We expect to pay Georgeson Inc. approximately $10,000 plus expenses in connection with its solicitation of proxies.</w:t>
      </w:r>
    </w:p>
    <w:p>
      <w:pPr>
        <w:spacing w:after="0" w:line="232" w:lineRule="exact"/>
        <w:rPr>
          <w:sz w:val="20"/>
          <w:szCs w:val="20"/>
          <w:color w:val="auto"/>
        </w:rPr>
      </w:pPr>
    </w:p>
    <w:p>
      <w:pPr>
        <w:sectPr>
          <w:pgSz w:w="11900" w:h="16838" w:orient="portrait"/>
          <w:cols w:equalWidth="0" w:num="2">
            <w:col w:w="4440" w:space="720"/>
            <w:col w:w="4400"/>
          </w:cols>
          <w:pgMar w:left="1180" w:top="279" w:right="115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HOW DO I OBTAIN ADMISSION TO THE 2017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0718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p>
      <w:pPr>
        <w:spacing w:after="0" w:line="189"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If you wish to attend the Annual Meeting and vote in person, you must be a shareholder on the Record Date and you must register and request an admission ticket in advance.</w:t>
      </w:r>
    </w:p>
    <w:p>
      <w:pPr>
        <w:spacing w:after="0" w:line="9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Tickets will be issued to registered and beneficial owners. If you hold your shares of our Common Stock through a bank or brokerage firm (i.e., you are not a registered holder), you may register and request an admission ticket by visiting www.proxyvote.com and following the instructions provided (you will need the 16-digit Control Number included on your Notice or your paper voting instruction form (if you received a paper copy of the Proxy Materials)). If you own your shares of our Common Stock directly in your name in our stock records maintained by Computershare, you may register and request an admission ticket by visiting www.proxyvote.com and following the instructions provided (you will need the 16-digit Control Number included on your Annual Meeting Notice card).</w:t>
      </w:r>
    </w:p>
    <w:p>
      <w:pPr>
        <w:spacing w:after="0" w:line="11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Requests for admission tickets will be processed in the order in which they are received and must be requested no later than May 8, 2017. Please note that seating is limited and admission to the meeting will be on a first-come, first-served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basis. On the day of the meeting, each shareholder will be required to present valid picture identification such as a driver’s license or passport with their admission ticket. Seating will begin at 2:00 p.m. and the meeting will begin at 2:30 p.m. Cameras (including cell phones with photographic capabilities), recording devices and other electronic devices will not be permitted at the in-person Annual Meeting. You will be required to enter through a security check point before being granted access to the Annual Meeting.</w:t>
      </w:r>
    </w:p>
    <w:p>
      <w:pPr>
        <w:spacing w:after="0" w:line="11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Even if you plan to attend the Annual Meeting, we encourage you to vote in advance by Internet, telephone or (if you received a paper copy of the Proxy Materials) by mail so that your vote will be counted even if you later decide not to attend the Annual Meeting. Voting your proxy by the Internet, telephone or mail will not limit your right to vote at the Annual Meeting if you later decide to attend in person. If you own your shares of our Common Stock in street name and wish to vote in person at the Annual Meeting, you must request a legal proxy from your bank or broker or obtain a proxy from the record holder.</w:t>
      </w:r>
    </w:p>
    <w:p>
      <w:pPr>
        <w:spacing w:after="0" w:line="596" w:lineRule="exact"/>
        <w:rPr>
          <w:sz w:val="20"/>
          <w:szCs w:val="20"/>
          <w:color w:val="auto"/>
        </w:rPr>
      </w:pPr>
    </w:p>
    <w:p>
      <w:pPr>
        <w:sectPr>
          <w:pgSz w:w="11900" w:h="16838" w:orient="portrait"/>
          <w:cols w:equalWidth="0" w:num="2">
            <w:col w:w="4440" w:space="720"/>
            <w:col w:w="4400"/>
          </w:cols>
          <w:pgMar w:left="1180" w:top="279" w:right="115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CAN I ATTEND THIS ANNUAL MEETING VIRTUALLY?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0718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p>
      <w:pPr>
        <w:spacing w:after="0" w:line="18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You may attend this year’s Annual Meeting via the Internet by visiting LLL.onlineshareholdermeeting.com. The accompanying Proxy Materials include instructions on how to enter and participate in the meeting and how you may vote your shares of our Common Stock. To submit your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question in advance, please log on to www.proxyvote.com. You will need your 16-digit control number included on your Notice or your paper voting instruction form (if you received a paper copy of the Proxy Materials) to enter and participate at the meeting.</w:t>
      </w:r>
    </w:p>
    <w:p>
      <w:pPr>
        <w:spacing w:after="0" w:line="213" w:lineRule="exact"/>
        <w:rPr>
          <w:sz w:val="20"/>
          <w:szCs w:val="20"/>
          <w:color w:val="auto"/>
        </w:rPr>
      </w:pPr>
    </w:p>
    <w:p>
      <w:pPr>
        <w:sectPr>
          <w:pgSz w:w="11900" w:h="16838" w:orient="portrait"/>
          <w:cols w:equalWidth="0" w:num="2">
            <w:col w:w="4440" w:space="720"/>
            <w:col w:w="4400"/>
          </w:cols>
          <w:pgMar w:left="1180" w:top="279" w:right="115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9300" w:type="dxa"/>
            <w:vAlign w:val="bottom"/>
          </w:tcPr>
          <w:p>
            <w:pPr>
              <w:ind w:left="7820"/>
              <w:spacing w:after="0"/>
              <w:rPr>
                <w:sz w:val="20"/>
                <w:szCs w:val="20"/>
                <w:color w:val="auto"/>
              </w:rPr>
            </w:pPr>
            <w:r>
              <w:rPr>
                <w:rFonts w:ascii="Arial" w:cs="Arial" w:eastAsia="Arial" w:hAnsi="Arial"/>
                <w:sz w:val="14"/>
                <w:szCs w:val="14"/>
                <w:color w:val="005C7D"/>
                <w:w w:val="97"/>
              </w:rPr>
              <w:t xml:space="preserve">– </w:t>
            </w:r>
            <w:r>
              <w:rPr>
                <w:rFonts w:ascii="Arial" w:cs="Arial" w:eastAsia="Arial" w:hAnsi="Arial"/>
                <w:sz w:val="14"/>
                <w:szCs w:val="14"/>
                <w:i w:val="1"/>
                <w:iCs w:val="1"/>
                <w:color w:val="005C7D"/>
                <w:w w:val="97"/>
              </w:rPr>
              <w:t>2017 Proxy Statement</w:t>
            </w:r>
          </w:p>
        </w:tc>
        <w:tc>
          <w:tcPr>
            <w:tcW w:w="260" w:type="dxa"/>
            <w:vAlign w:val="bottom"/>
          </w:tcPr>
          <w:p>
            <w:pPr>
              <w:jc w:val="right"/>
              <w:spacing w:after="0"/>
              <w:rPr>
                <w:sz w:val="20"/>
                <w:szCs w:val="20"/>
                <w:color w:val="auto"/>
              </w:rPr>
            </w:pPr>
            <w:r>
              <w:rPr>
                <w:rFonts w:ascii="Arial" w:cs="Arial" w:eastAsia="Arial" w:hAnsi="Arial"/>
                <w:sz w:val="18"/>
                <w:szCs w:val="18"/>
                <w:color w:val="005C7D"/>
              </w:rPr>
              <w:t>9</w:t>
            </w:r>
          </w:p>
        </w:tc>
      </w:tr>
      <w:tr>
        <w:trPr>
          <w:trHeight w:val="554"/>
        </w:trPr>
        <w:tc>
          <w:tcPr>
            <w:tcW w:w="9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68"/>
        </w:trPr>
        <w:tc>
          <w:tcPr>
            <w:tcW w:w="930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4742180</wp:posOffset>
            </wp:positionH>
            <wp:positionV relativeFrom="paragraph">
              <wp:posOffset>-530860</wp:posOffset>
            </wp:positionV>
            <wp:extent cx="163195"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15" w:name="page16"/>
    <w:bookmarkEnd w:id="1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005C7D"/>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149860</wp:posOffset>
            </wp:positionV>
            <wp:extent cx="6071870" cy="205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1870" cy="205740"/>
                    </a:xfrm>
                    <a:prstGeom prst="rect">
                      <a:avLst/>
                    </a:prstGeom>
                    <a:noFill/>
                  </pic:spPr>
                </pic:pic>
              </a:graphicData>
            </a:graphic>
          </wp:anchor>
        </w:drawing>
      </w:r>
    </w:p>
    <w:p>
      <w:pPr>
        <w:spacing w:after="0" w:line="229"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005C7D"/>
        </w:rPr>
        <w:t>PROPOSALS REQUIRING YOUR VOTE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full Board of Directors has considered and nominated the following slate of nominees for a one-year term expiring in 2018: Claude R. Canizares, Thomas A. Corcoran, Ann E. Dunwoody, Lewis Kramer, Robert B. Millard, Lloyd W. Newton, Vincent Pagano, Jr., H. Hugh Shelton, Arthur L. Simon and Michael T. Strianese. Action will be taken at the Annual Meeting for the election of these 10 nominees.</w:t>
      </w:r>
    </w:p>
    <w:p>
      <w:pPr>
        <w:spacing w:after="0" w:line="13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It is intended that the proxies delivered pursuant to this solicitation will be voted in favor of the election of each of Claude R. Canizares, Thomas A. Corcoran, Ann E. Dunwoody, Lewis Kramer, Robert B. Millard, Lloyd W. Newton, Vincent Pagano, Jr., H. Hugh Shelton, Arthur L. Simon and Michael T. Strianese except in cases of proxies bearing contrary instructions. In the event that these nominees should become unavailable for election due to any presently unforeseen reason, the persons named in the proxy will have the right to use their discretion to vote for a substitute.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to the Board of Directors in 2017</w:t>
      </w:r>
    </w:p>
    <w:p>
      <w:pPr>
        <w:spacing w:after="0" w:line="175" w:lineRule="exact"/>
        <w:rPr>
          <w:sz w:val="20"/>
          <w:szCs w:val="20"/>
          <w:color w:val="auto"/>
        </w:rPr>
      </w:pPr>
    </w:p>
    <w:p>
      <w:pPr>
        <w:ind w:right="3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following information describes the offices held and other business directorships of each nominee. Beneficial ownership of equity securities of the nominees is described in “Security Ownership of Management” on page </w:t>
      </w:r>
      <w:hyperlink w:anchor="page44">
        <w:r>
          <w:rPr>
            <w:rFonts w:ascii="Arial" w:cs="Arial" w:eastAsia="Arial" w:hAnsi="Arial"/>
            <w:sz w:val="18"/>
            <w:szCs w:val="18"/>
            <w:u w:val="single" w:color="auto"/>
            <w:color w:val="0000EE"/>
          </w:rPr>
          <w:t>38</w:t>
        </w:r>
      </w:hyperlink>
      <w:r>
        <w:rPr>
          <w:rFonts w:ascii="Arial" w:cs="Arial" w:eastAsia="Arial" w:hAnsi="Arial"/>
          <w:sz w:val="18"/>
          <w:szCs w:val="18"/>
          <w:color w:val="auto"/>
        </w:rPr>
        <w:t>.</w:t>
      </w:r>
    </w:p>
    <w:p>
      <w:pPr>
        <w:spacing w:after="0" w:line="11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particular experiences, qualifications, attributes or skills of each nominee that the Nominating/Corporate Governance Committee believes will advance the Company’s goals are included in the individual biographies below. The Nominating/Corporate Governance Committee and the Board believe that each of the nominees for election at the 2017 Annual Meeting possesses a strong and unique set of attributes. The Nominating/Corporate Governance Committee and the Board believe that, as a group, these nominees provide the Board with an optimal balance of experience, leadership, competencies, qualifications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6071870" cy="4039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71870" cy="4039235"/>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5C7D"/>
        </w:rPr>
        <w:t xml:space="preserve">Director Since: </w:t>
      </w:r>
      <w:r>
        <w:rPr>
          <w:rFonts w:ascii="Arial" w:cs="Arial" w:eastAsia="Arial" w:hAnsi="Arial"/>
          <w:sz w:val="14"/>
          <w:szCs w:val="14"/>
          <w:color w:val="000000"/>
        </w:rPr>
        <w:t>2003</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005C7D"/>
        </w:rPr>
        <w:t>Board Committees:</w:t>
      </w:r>
    </w:p>
    <w:p>
      <w:pPr>
        <w:spacing w:after="0" w:line="38" w:lineRule="exact"/>
        <w:rPr>
          <w:sz w:val="20"/>
          <w:szCs w:val="20"/>
          <w:color w:val="auto"/>
        </w:rPr>
      </w:pPr>
    </w:p>
    <w:p>
      <w:pPr>
        <w:ind w:left="240" w:hanging="85"/>
        <w:spacing w:after="0"/>
        <w:tabs>
          <w:tab w:leader="none" w:pos="240" w:val="left"/>
        </w:tabs>
        <w:numPr>
          <w:ilvl w:val="0"/>
          <w:numId w:val="20"/>
        </w:numPr>
        <w:rPr>
          <w:rFonts w:ascii="Arial" w:cs="Arial" w:eastAsia="Arial" w:hAnsi="Arial"/>
          <w:sz w:val="16"/>
          <w:szCs w:val="16"/>
          <w:color w:val="005C7D"/>
        </w:rPr>
      </w:pPr>
      <w:r>
        <w:rPr>
          <w:rFonts w:ascii="Arial" w:cs="Arial" w:eastAsia="Arial" w:hAnsi="Arial"/>
          <w:sz w:val="16"/>
          <w:szCs w:val="16"/>
          <w:color w:val="auto"/>
        </w:rPr>
        <w:t>Audit</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7D"/>
        </w:rPr>
        <w:t xml:space="preserve">Age: </w:t>
      </w:r>
      <w:r>
        <w:rPr>
          <w:rFonts w:ascii="Arial" w:cs="Arial" w:eastAsia="Arial" w:hAnsi="Arial"/>
          <w:sz w:val="16"/>
          <w:szCs w:val="16"/>
          <w:color w:val="000000"/>
        </w:rPr>
        <w:t>71</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CLAUDE R. CANIZARES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41852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18528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005C7D"/>
        </w:rPr>
        <w:t>Position, Principal Occupation and Professional Experience:</w:t>
      </w:r>
    </w:p>
    <w:p>
      <w:pPr>
        <w:spacing w:after="0" w:line="5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 xml:space="preserve">Bruno Rossi Professor of Physics, Massachusetts Institute of Technology. </w:t>
      </w:r>
      <w:r>
        <w:rPr>
          <w:rFonts w:ascii="Arial" w:cs="Arial" w:eastAsia="Arial" w:hAnsi="Arial"/>
          <w:sz w:val="17"/>
          <w:szCs w:val="17"/>
          <w:color w:val="auto"/>
        </w:rPr>
        <w:t>Since 1971,</w:t>
      </w:r>
      <w:r>
        <w:rPr>
          <w:rFonts w:ascii="Arial" w:cs="Arial" w:eastAsia="Arial" w:hAnsi="Arial"/>
          <w:sz w:val="17"/>
          <w:szCs w:val="17"/>
          <w:i w:val="1"/>
          <w:iCs w:val="1"/>
          <w:color w:val="auto"/>
        </w:rPr>
        <w:t xml:space="preserve"> </w:t>
      </w:r>
      <w:r>
        <w:rPr>
          <w:rFonts w:ascii="Arial" w:cs="Arial" w:eastAsia="Arial" w:hAnsi="Arial"/>
          <w:sz w:val="17"/>
          <w:szCs w:val="17"/>
          <w:color w:val="auto"/>
        </w:rPr>
        <w:t>Professor Canizares has been at MIT, where until recently he served as Vice President. Prior positions include Vice President for Research, Associate Provost, and Director of the Center for Space Research. In addition, he is a principal investigator on NASA’s Chandra X-ray Observatory and Associate Director of its science center.</w:t>
      </w:r>
    </w:p>
    <w:p>
      <w:pPr>
        <w:spacing w:after="0" w:line="16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005C7D"/>
        </w:rPr>
        <w:t xml:space="preserve">Other Directorships, Trusteeships and Memberships: </w:t>
      </w:r>
      <w:r>
        <w:rPr>
          <w:rFonts w:ascii="Arial" w:cs="Arial" w:eastAsia="Arial" w:hAnsi="Arial"/>
          <w:sz w:val="16"/>
          <w:szCs w:val="16"/>
          <w:color w:val="000000"/>
        </w:rPr>
        <w:t>Member of the National</w:t>
      </w:r>
      <w:r>
        <w:rPr>
          <w:rFonts w:ascii="Arial" w:cs="Arial" w:eastAsia="Arial" w:hAnsi="Arial"/>
          <w:sz w:val="16"/>
          <w:szCs w:val="16"/>
          <w:b w:val="1"/>
          <w:bCs w:val="1"/>
          <w:color w:val="005C7D"/>
        </w:rPr>
        <w:t xml:space="preserve"> </w:t>
      </w:r>
      <w:r>
        <w:rPr>
          <w:rFonts w:ascii="Arial" w:cs="Arial" w:eastAsia="Arial" w:hAnsi="Arial"/>
          <w:sz w:val="16"/>
          <w:szCs w:val="16"/>
          <w:color w:val="000000"/>
        </w:rPr>
        <w:t>Academy of Sciences and the International Academy of Astronautics; Fellow of the American Academy of Arts and Sciences, the American Physical Society and the American Association for the Advancement of Science. Professor Canizares serves on the Department of Commerce’s Emerging Technology and Research Advisory Committee and the National Research Council’s (NRC) Committee on Science, Technology and the Law. He chairs the Auditing Committee of the National Academy of Sciences. Professor Canizares has served on the Air Force Scientific Advisory Board, the NASA Advisory Council, and the Council of the National Academy of Sciences.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05C7D"/>
        </w:rPr>
        <w:t>Director Qualifications:</w:t>
      </w:r>
    </w:p>
    <w:p>
      <w:pPr>
        <w:spacing w:after="0" w:line="5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Board of Directors considered Professor Canizares’ distinguished career as a tenured professor at MIT including his past responsibility for over 20 research laboratories, including Lincoln Laboratory, with an aggregate annual research budget of $1.5 billion, as well as his extensive knowledge of the aerospace industry.</w:t>
      </w:r>
    </w:p>
    <w:p>
      <w:pPr>
        <w:spacing w:after="0" w:line="200" w:lineRule="exact"/>
        <w:rPr>
          <w:sz w:val="20"/>
          <w:szCs w:val="20"/>
          <w:color w:val="auto"/>
        </w:rPr>
      </w:pPr>
    </w:p>
    <w:p>
      <w:pPr>
        <w:sectPr>
          <w:pgSz w:w="11900" w:h="16838" w:orient="portrait"/>
          <w:cols w:equalWidth="0" w:num="2">
            <w:col w:w="2260" w:space="720"/>
            <w:col w:w="6560"/>
          </w:cols>
          <w:pgMar w:left="1180" w:top="279" w:right="11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16"/>
          <w:szCs w:val="16"/>
          <w:color w:val="005C7D"/>
        </w:rPr>
        <w:t xml:space="preserve">10  </w:t>
      </w:r>
      <w:r>
        <w:rPr>
          <w:sz w:val="1"/>
          <w:szCs w:val="1"/>
          <w:color w:val="auto"/>
        </w:rPr>
        <w:drawing>
          <wp:inline distT="0" distB="0" distL="0" distR="0">
            <wp:extent cx="154305" cy="1543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r>
        <w:rPr>
          <w:rFonts w:ascii="Arial" w:cs="Arial" w:eastAsia="Arial" w:hAnsi="Arial"/>
          <w:sz w:val="13"/>
          <w:szCs w:val="13"/>
          <w:color w:val="005C7D"/>
        </w:rPr>
        <w:t xml:space="preserve"> – </w:t>
      </w:r>
      <w:r>
        <w:rPr>
          <w:rFonts w:ascii="Arial" w:cs="Arial" w:eastAsia="Arial" w:hAnsi="Arial"/>
          <w:sz w:val="13"/>
          <w:szCs w:val="13"/>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334645</wp:posOffset>
            </wp:positionV>
            <wp:extent cx="607187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42964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71870" cy="429641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7D"/>
        </w:rPr>
        <w:t xml:space="preserve">Director Since: </w:t>
      </w:r>
      <w:r>
        <w:rPr>
          <w:rFonts w:ascii="Arial" w:cs="Arial" w:eastAsia="Arial" w:hAnsi="Arial"/>
          <w:sz w:val="16"/>
          <w:szCs w:val="16"/>
          <w:color w:val="000000"/>
        </w:rPr>
        <w:t>1997</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7D"/>
        </w:rPr>
        <w:t>Board Committees:</w:t>
      </w:r>
    </w:p>
    <w:p>
      <w:pPr>
        <w:spacing w:after="0" w:line="26" w:lineRule="exact"/>
        <w:rPr>
          <w:sz w:val="20"/>
          <w:szCs w:val="20"/>
          <w:color w:val="auto"/>
        </w:rPr>
      </w:pPr>
    </w:p>
    <w:p>
      <w:pPr>
        <w:ind w:left="240" w:hanging="85"/>
        <w:spacing w:after="0"/>
        <w:tabs>
          <w:tab w:leader="none" w:pos="240" w:val="left"/>
        </w:tabs>
        <w:numPr>
          <w:ilvl w:val="0"/>
          <w:numId w:val="21"/>
        </w:numPr>
        <w:rPr>
          <w:rFonts w:ascii="Arial" w:cs="Arial" w:eastAsia="Arial" w:hAnsi="Arial"/>
          <w:sz w:val="16"/>
          <w:szCs w:val="16"/>
          <w:color w:val="005C7D"/>
        </w:rPr>
      </w:pPr>
      <w:r>
        <w:rPr>
          <w:rFonts w:ascii="Arial" w:cs="Arial" w:eastAsia="Arial" w:hAnsi="Arial"/>
          <w:sz w:val="16"/>
          <w:szCs w:val="16"/>
          <w:color w:val="auto"/>
        </w:rPr>
        <w:t>Audit</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7D"/>
        </w:rPr>
        <w:t xml:space="preserve">Age: </w:t>
      </w:r>
      <w:r>
        <w:rPr>
          <w:rFonts w:ascii="Arial" w:cs="Arial" w:eastAsia="Arial" w:hAnsi="Arial"/>
          <w:sz w:val="16"/>
          <w:szCs w:val="16"/>
          <w:color w:val="000000"/>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1907540</wp:posOffset>
            </wp:positionV>
            <wp:extent cx="1766570" cy="40132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66570" cy="401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7D"/>
        </w:rPr>
        <w:t xml:space="preserve">Director Since: </w:t>
      </w:r>
      <w:r>
        <w:rPr>
          <w:rFonts w:ascii="Arial" w:cs="Arial" w:eastAsia="Arial" w:hAnsi="Arial"/>
          <w:sz w:val="16"/>
          <w:szCs w:val="16"/>
          <w:color w:val="000000"/>
        </w:rPr>
        <w:t>2013</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7D"/>
        </w:rPr>
        <w:t>Board Committees:</w:t>
      </w:r>
    </w:p>
    <w:p>
      <w:pPr>
        <w:spacing w:after="0" w:line="26" w:lineRule="exact"/>
        <w:rPr>
          <w:sz w:val="20"/>
          <w:szCs w:val="20"/>
          <w:color w:val="auto"/>
        </w:rPr>
      </w:pPr>
    </w:p>
    <w:p>
      <w:pPr>
        <w:ind w:left="240" w:right="540" w:hanging="85"/>
        <w:spacing w:after="0" w:line="363" w:lineRule="auto"/>
        <w:tabs>
          <w:tab w:leader="none" w:pos="256" w:val="left"/>
        </w:tabs>
        <w:numPr>
          <w:ilvl w:val="0"/>
          <w:numId w:val="22"/>
        </w:numPr>
        <w:rPr>
          <w:rFonts w:ascii="Arial" w:cs="Arial" w:eastAsia="Arial" w:hAnsi="Arial"/>
          <w:sz w:val="14"/>
          <w:szCs w:val="14"/>
          <w:color w:val="005C7D"/>
        </w:rPr>
      </w:pPr>
      <w:r>
        <w:rPr>
          <w:rFonts w:ascii="Arial" w:cs="Arial" w:eastAsia="Arial" w:hAnsi="Arial"/>
          <w:sz w:val="14"/>
          <w:szCs w:val="14"/>
          <w:color w:val="auto"/>
        </w:rPr>
        <w:t>Nominating/Corporate Governance</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7D"/>
        </w:rPr>
        <w:t xml:space="preserve">Age: </w:t>
      </w:r>
      <w:r>
        <w:rPr>
          <w:rFonts w:ascii="Arial" w:cs="Arial" w:eastAsia="Arial" w:hAnsi="Arial"/>
          <w:sz w:val="16"/>
          <w:szCs w:val="16"/>
          <w:color w:val="000000"/>
        </w:rPr>
        <w:t>64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A.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41852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8528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005C7D"/>
        </w:rPr>
        <w:t>Position, Principal Occupation and Professional Experience:</w:t>
      </w:r>
    </w:p>
    <w:p>
      <w:pPr>
        <w:spacing w:after="0" w:line="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 xml:space="preserve">President, Corcoran Enterprises, LLC. </w:t>
      </w:r>
      <w:r>
        <w:rPr>
          <w:rFonts w:ascii="Arial" w:cs="Arial" w:eastAsia="Arial" w:hAnsi="Arial"/>
          <w:sz w:val="17"/>
          <w:szCs w:val="17"/>
          <w:color w:val="auto"/>
        </w:rPr>
        <w:t>Mr. Corcoran has been a Senior Advisor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Carlyle Group, a private equity investment firm, and the President of Corcoran Enterprises, LLC, a private management consulting firm, since 2001. From March 2001 to April 2004, Mr. Corcoran was the President and Chief Executive Officer of Gemini Air Cargo. Mr. Corcoran was the President and Chief Executive Officer of Allegheny Teledyne Incorporated from October 1999 to December 2000. From April 1993 to September 1999, he was the President and Chief Operating Officer of the Electronic Systems Sector and Space &amp; Strategic Missiles Sector of Lockheed Martin Corporation. Prior to that he worked for General Electric for 26 years and held various management positions with GE Aerospace.</w:t>
      </w:r>
    </w:p>
    <w:p>
      <w:pPr>
        <w:spacing w:after="0" w:line="176"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005C7D"/>
        </w:rPr>
        <w:t xml:space="preserve">Other Current Public Directorships: </w:t>
      </w:r>
      <w:r>
        <w:rPr>
          <w:rFonts w:ascii="Arial" w:cs="Arial" w:eastAsia="Arial" w:hAnsi="Arial"/>
          <w:sz w:val="18"/>
          <w:szCs w:val="18"/>
          <w:color w:val="000000"/>
        </w:rPr>
        <w:t>Aerojet Rocketdyne Holdings, Inc. (Director,</w:t>
      </w:r>
      <w:r>
        <w:rPr>
          <w:rFonts w:ascii="Arial" w:cs="Arial" w:eastAsia="Arial" w:hAnsi="Arial"/>
          <w:sz w:val="18"/>
          <w:szCs w:val="18"/>
          <w:b w:val="1"/>
          <w:bCs w:val="1"/>
          <w:color w:val="005C7D"/>
        </w:rPr>
        <w:t xml:space="preserve"> </w:t>
      </w:r>
      <w:r>
        <w:rPr>
          <w:rFonts w:ascii="Arial" w:cs="Arial" w:eastAsia="Arial" w:hAnsi="Arial"/>
          <w:sz w:val="18"/>
          <w:szCs w:val="18"/>
          <w:color w:val="000000"/>
        </w:rPr>
        <w:t>Member of the Organization &amp; Compensation and Corporate Governance &amp; Nominating Committees)</w:t>
      </w:r>
    </w:p>
    <w:p>
      <w:pPr>
        <w:spacing w:after="0" w:line="176"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005C7D"/>
        </w:rPr>
        <w:t xml:space="preserve">Prior Public Company Directorships (within the last five years): </w:t>
      </w:r>
      <w:r>
        <w:rPr>
          <w:rFonts w:ascii="Arial" w:cs="Arial" w:eastAsia="Arial" w:hAnsi="Arial"/>
          <w:sz w:val="18"/>
          <w:szCs w:val="18"/>
          <w:color w:val="000000"/>
        </w:rPr>
        <w:t>ARINC (until</w:t>
      </w:r>
      <w:r>
        <w:rPr>
          <w:rFonts w:ascii="Arial" w:cs="Arial" w:eastAsia="Arial" w:hAnsi="Arial"/>
          <w:sz w:val="18"/>
          <w:szCs w:val="18"/>
          <w:b w:val="1"/>
          <w:bCs w:val="1"/>
          <w:color w:val="005C7D"/>
        </w:rPr>
        <w:t xml:space="preserve"> </w:t>
      </w:r>
      <w:r>
        <w:rPr>
          <w:rFonts w:ascii="Arial" w:cs="Arial" w:eastAsia="Arial" w:hAnsi="Arial"/>
          <w:sz w:val="18"/>
          <w:szCs w:val="18"/>
          <w:color w:val="000000"/>
        </w:rPr>
        <w:t>December 2013)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5C7D"/>
        </w:rPr>
        <w:t>Director Qualifications:</w:t>
      </w:r>
    </w:p>
    <w:p>
      <w:pPr>
        <w:spacing w:after="0" w:line="27"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The Board of Directors considered Mr. Corcoran’s business operations background, including his service as the chief executive officer of a number of businesses, and his expertise in the aerospace and defense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721360</wp:posOffset>
            </wp:positionV>
            <wp:extent cx="41852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185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 E. DUNWOODY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41852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18528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005C7D"/>
        </w:rPr>
        <w:t>Position, Principal Occupation and Professional Experience:</w:t>
      </w:r>
    </w:p>
    <w:p>
      <w:pPr>
        <w:spacing w:after="0" w:line="2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 xml:space="preserve">General (U.S. Army – Ret) and Chief Executive Officer, First 2 Four LLC. </w:t>
      </w:r>
      <w:r>
        <w:rPr>
          <w:rFonts w:ascii="Arial" w:cs="Arial" w:eastAsia="Arial" w:hAnsi="Arial"/>
          <w:sz w:val="17"/>
          <w:szCs w:val="17"/>
          <w:color w:val="auto"/>
        </w:rPr>
        <w:t>General</w:t>
      </w:r>
      <w:r>
        <w:rPr>
          <w:rFonts w:ascii="Arial" w:cs="Arial" w:eastAsia="Arial" w:hAnsi="Arial"/>
          <w:sz w:val="17"/>
          <w:szCs w:val="17"/>
          <w:i w:val="1"/>
          <w:iCs w:val="1"/>
          <w:color w:val="auto"/>
        </w:rPr>
        <w:t xml:space="preserve"> </w:t>
      </w:r>
      <w:r>
        <w:rPr>
          <w:rFonts w:ascii="Arial" w:cs="Arial" w:eastAsia="Arial" w:hAnsi="Arial"/>
          <w:sz w:val="17"/>
          <w:szCs w:val="17"/>
          <w:color w:val="auto"/>
        </w:rPr>
        <w:t>Dunwoody was the first woman in U.S. military history to achieve the rank of four-star general. From 2008 until her retirement in 2012, she led and ran the largest global logistics command in the Army comprising 69,000 military and civilian individuals, located in all 50 states and over 140 countries with a budget of $60 billion dollars. General (Ret.) Dunwoody also served as a strategic planner for the Chief of Staff of the Army. During her 38-year military career, she was decorated for distinguished service and has received many major military and honorary awards.</w:t>
      </w:r>
    </w:p>
    <w:p>
      <w:pPr>
        <w:spacing w:after="0" w:line="180"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005C7D"/>
        </w:rPr>
        <w:t xml:space="preserve">Other Current Public Directorships: </w:t>
      </w:r>
      <w:r>
        <w:rPr>
          <w:rFonts w:ascii="Arial" w:cs="Arial" w:eastAsia="Arial" w:hAnsi="Arial"/>
          <w:sz w:val="18"/>
          <w:szCs w:val="18"/>
          <w:color w:val="000000"/>
        </w:rPr>
        <w:t>Republic Services, Inc. (Director and Member of</w:t>
      </w:r>
      <w:r>
        <w:rPr>
          <w:rFonts w:ascii="Arial" w:cs="Arial" w:eastAsia="Arial" w:hAnsi="Arial"/>
          <w:sz w:val="18"/>
          <w:szCs w:val="18"/>
          <w:b w:val="1"/>
          <w:bCs w:val="1"/>
          <w:color w:val="005C7D"/>
        </w:rPr>
        <w:t xml:space="preserve"> </w:t>
      </w:r>
      <w:r>
        <w:rPr>
          <w:rFonts w:ascii="Arial" w:cs="Arial" w:eastAsia="Arial" w:hAnsi="Arial"/>
          <w:sz w:val="18"/>
          <w:szCs w:val="18"/>
          <w:color w:val="000000"/>
        </w:rPr>
        <w:t>the Audit Committee) and Kforce Inc. (Director and Member of the Corporate Governance Committee)</w:t>
      </w:r>
    </w:p>
    <w:p>
      <w:pPr>
        <w:spacing w:after="0" w:line="17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005C7D"/>
        </w:rPr>
        <w:t xml:space="preserve">Other Directorships, Trusteeships and Memberships: </w:t>
      </w:r>
      <w:r>
        <w:rPr>
          <w:rFonts w:ascii="Arial" w:cs="Arial" w:eastAsia="Arial" w:hAnsi="Arial"/>
          <w:sz w:val="18"/>
          <w:szCs w:val="18"/>
          <w:color w:val="000000"/>
        </w:rPr>
        <w:t>The Association of the United</w:t>
      </w:r>
      <w:r>
        <w:rPr>
          <w:rFonts w:ascii="Arial" w:cs="Arial" w:eastAsia="Arial" w:hAnsi="Arial"/>
          <w:sz w:val="18"/>
          <w:szCs w:val="18"/>
          <w:b w:val="1"/>
          <w:bCs w:val="1"/>
          <w:color w:val="005C7D"/>
        </w:rPr>
        <w:t xml:space="preserve"> </w:t>
      </w:r>
      <w:r>
        <w:rPr>
          <w:rFonts w:ascii="Arial" w:cs="Arial" w:eastAsia="Arial" w:hAnsi="Arial"/>
          <w:sz w:val="18"/>
          <w:szCs w:val="18"/>
          <w:color w:val="000000"/>
        </w:rPr>
        <w:t>States Army (Council of Trustees), ThanksUSA (Director), Florida Institute of Technology (Director), Army Historical Foundation (Director) and Logistics Management LLC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5C7D"/>
        </w:rPr>
        <w:t>Director Qualifications:</w:t>
      </w:r>
    </w:p>
    <w:p>
      <w:pPr>
        <w:spacing w:after="0" w:line="27"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The Board of Directors considered General (Ret.) Dunwoody’s distinguished career in the United States Army and her extensive knowledge of the defense industry.</w:t>
      </w:r>
    </w:p>
    <w:p>
      <w:pPr>
        <w:spacing w:after="0" w:line="200" w:lineRule="exact"/>
        <w:rPr>
          <w:sz w:val="20"/>
          <w:szCs w:val="20"/>
          <w:color w:val="auto"/>
        </w:rPr>
      </w:pPr>
    </w:p>
    <w:p>
      <w:pPr>
        <w:sectPr>
          <w:pgSz w:w="11900" w:h="16838" w:orient="portrait"/>
          <w:cols w:equalWidth="0" w:num="2">
            <w:col w:w="2260" w:space="720"/>
            <w:col w:w="6580"/>
          </w:cols>
          <w:pgMar w:left="1180" w:top="279" w:right="11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820"/>
        <w:spacing w:after="0"/>
        <w:tabs>
          <w:tab w:leader="none" w:pos="932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607187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-107315</wp:posOffset>
            </wp:positionV>
            <wp:extent cx="163195"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005C7D"/>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6071870" cy="29502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71870" cy="295021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5C7D"/>
        </w:rPr>
        <w:t xml:space="preserve">Director Since: </w:t>
      </w:r>
      <w:r>
        <w:rPr>
          <w:rFonts w:ascii="Arial" w:cs="Arial" w:eastAsia="Arial" w:hAnsi="Arial"/>
          <w:sz w:val="14"/>
          <w:szCs w:val="14"/>
          <w:color w:val="000000"/>
        </w:rPr>
        <w:t>2009</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005C7D"/>
        </w:rPr>
        <w:t>Board Committees:</w:t>
      </w:r>
    </w:p>
    <w:p>
      <w:pPr>
        <w:spacing w:after="0" w:line="38" w:lineRule="exact"/>
        <w:rPr>
          <w:sz w:val="20"/>
          <w:szCs w:val="20"/>
          <w:color w:val="auto"/>
        </w:rPr>
      </w:pPr>
    </w:p>
    <w:p>
      <w:pPr>
        <w:ind w:left="260" w:hanging="105"/>
        <w:spacing w:after="0"/>
        <w:tabs>
          <w:tab w:leader="none" w:pos="260" w:val="left"/>
        </w:tabs>
        <w:numPr>
          <w:ilvl w:val="0"/>
          <w:numId w:val="23"/>
        </w:numPr>
        <w:rPr>
          <w:rFonts w:ascii="Arial" w:cs="Arial" w:eastAsia="Arial" w:hAnsi="Arial"/>
          <w:sz w:val="16"/>
          <w:szCs w:val="16"/>
          <w:color w:val="005C7D"/>
        </w:rPr>
      </w:pPr>
      <w:r>
        <w:rPr>
          <w:rFonts w:ascii="Arial" w:cs="Arial" w:eastAsia="Arial" w:hAnsi="Arial"/>
          <w:sz w:val="16"/>
          <w:szCs w:val="16"/>
          <w:color w:val="auto"/>
        </w:rPr>
        <w:t>Audit (Chair)</w:t>
      </w:r>
    </w:p>
    <w:p>
      <w:pPr>
        <w:spacing w:after="0" w:line="18" w:lineRule="exact"/>
        <w:rPr>
          <w:rFonts w:ascii="Arial" w:cs="Arial" w:eastAsia="Arial" w:hAnsi="Arial"/>
          <w:sz w:val="16"/>
          <w:szCs w:val="16"/>
          <w:color w:val="005C7D"/>
        </w:rPr>
      </w:pPr>
    </w:p>
    <w:p>
      <w:pPr>
        <w:ind w:left="260" w:hanging="105"/>
        <w:spacing w:after="0"/>
        <w:tabs>
          <w:tab w:leader="none" w:pos="260" w:val="left"/>
        </w:tabs>
        <w:numPr>
          <w:ilvl w:val="0"/>
          <w:numId w:val="23"/>
        </w:numPr>
        <w:rPr>
          <w:rFonts w:ascii="Arial" w:cs="Arial" w:eastAsia="Arial" w:hAnsi="Arial"/>
          <w:sz w:val="16"/>
          <w:szCs w:val="16"/>
          <w:color w:val="005C7D"/>
        </w:rPr>
      </w:pPr>
      <w:r>
        <w:rPr>
          <w:rFonts w:ascii="Arial" w:cs="Arial" w:eastAsia="Arial" w:hAnsi="Arial"/>
          <w:sz w:val="16"/>
          <w:szCs w:val="16"/>
          <w:color w:val="auto"/>
        </w:rPr>
        <w:t>Compensation</w:t>
      </w:r>
    </w:p>
    <w:p>
      <w:pPr>
        <w:spacing w:after="0" w:line="18" w:lineRule="exact"/>
        <w:rPr>
          <w:rFonts w:ascii="Arial" w:cs="Arial" w:eastAsia="Arial" w:hAnsi="Arial"/>
          <w:sz w:val="16"/>
          <w:szCs w:val="16"/>
          <w:color w:val="005C7D"/>
        </w:rPr>
      </w:pPr>
    </w:p>
    <w:p>
      <w:pPr>
        <w:ind w:left="260" w:hanging="105"/>
        <w:spacing w:after="0"/>
        <w:tabs>
          <w:tab w:leader="none" w:pos="260" w:val="left"/>
        </w:tabs>
        <w:numPr>
          <w:ilvl w:val="0"/>
          <w:numId w:val="23"/>
        </w:numPr>
        <w:rPr>
          <w:rFonts w:ascii="Arial" w:cs="Arial" w:eastAsia="Arial" w:hAnsi="Arial"/>
          <w:sz w:val="16"/>
          <w:szCs w:val="16"/>
          <w:color w:val="005C7D"/>
        </w:rPr>
      </w:pPr>
      <w:r>
        <w:rPr>
          <w:rFonts w:ascii="Arial" w:cs="Arial" w:eastAsia="Arial" w:hAnsi="Arial"/>
          <w:sz w:val="16"/>
          <w:szCs w:val="16"/>
          <w:color w:val="auto"/>
        </w:rPr>
        <w:t>Executive</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7D"/>
        </w:rPr>
        <w:t xml:space="preserve">Age: </w:t>
      </w:r>
      <w:r>
        <w:rPr>
          <w:rFonts w:ascii="Arial" w:cs="Arial" w:eastAsia="Arial" w:hAnsi="Arial"/>
          <w:sz w:val="16"/>
          <w:szCs w:val="16"/>
          <w:color w:val="000000"/>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303530</wp:posOffset>
            </wp:positionV>
            <wp:extent cx="1766570" cy="33020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66570" cy="3302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LEWIS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41852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18528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005C7D"/>
        </w:rPr>
        <w:t>Position, Principal Occupation and Professional Experience:</w:t>
      </w:r>
    </w:p>
    <w:p>
      <w:pPr>
        <w:spacing w:after="0" w:line="2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i w:val="1"/>
          <w:iCs w:val="1"/>
          <w:color w:val="auto"/>
        </w:rPr>
        <w:t>Retired Partner, Ernst &amp; Young LLP</w:t>
      </w:r>
      <w:r>
        <w:rPr>
          <w:rFonts w:ascii="Arial" w:cs="Arial" w:eastAsia="Arial" w:hAnsi="Arial"/>
          <w:sz w:val="18"/>
          <w:szCs w:val="18"/>
          <w:color w:val="auto"/>
        </w:rPr>
        <w:t>. Mr. Kramer was a partner at Ernst &amp; Young from</w:t>
      </w:r>
      <w:r>
        <w:rPr>
          <w:rFonts w:ascii="Arial" w:cs="Arial" w:eastAsia="Arial" w:hAnsi="Arial"/>
          <w:sz w:val="18"/>
          <w:szCs w:val="18"/>
          <w:i w:val="1"/>
          <w:iCs w:val="1"/>
          <w:color w:val="auto"/>
        </w:rPr>
        <w:t xml:space="preserve"> </w:t>
      </w:r>
      <w:r>
        <w:rPr>
          <w:rFonts w:ascii="Arial" w:cs="Arial" w:eastAsia="Arial" w:hAnsi="Arial"/>
          <w:sz w:val="18"/>
          <w:szCs w:val="18"/>
          <w:color w:val="auto"/>
        </w:rPr>
        <w:t>1981 until he retired in June 2009 after a nearly 40-year career at Ernst &amp; Young. At the time of his retirement, Mr. Kramer served as the Global Client Service Partner for worldwide external audit and all other services for major clients, and served on the firm’s United States Executive Board. He previously served as Ernst &amp; Young’s National Director of Audit Services.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05C7D"/>
        </w:rPr>
        <w:t>Director Qualifications: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Board of Directors considered Mr. Kramer’s significant experience, expertise and background with regard to accounting and internal control matters as well as the breadth of his business knowledge gained while serving as an independent auditor for numerous organizations across many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772795</wp:posOffset>
            </wp:positionV>
            <wp:extent cx="41852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185285" cy="8890"/>
                    </a:xfrm>
                    <a:prstGeom prst="rect">
                      <a:avLst/>
                    </a:prstGeom>
                    <a:noFill/>
                  </pic:spPr>
                </pic:pic>
              </a:graphicData>
            </a:graphic>
          </wp:anchor>
        </w:drawing>
      </w:r>
    </w:p>
    <w:p>
      <w:pPr>
        <w:spacing w:after="0" w:line="898" w:lineRule="exact"/>
        <w:rPr>
          <w:sz w:val="20"/>
          <w:szCs w:val="20"/>
          <w:color w:val="auto"/>
        </w:rPr>
      </w:pPr>
    </w:p>
    <w:p>
      <w:pPr>
        <w:sectPr>
          <w:pgSz w:w="11900" w:h="16838" w:orient="portrait"/>
          <w:cols w:equalWidth="0" w:num="2">
            <w:col w:w="2260" w:space="720"/>
            <w:col w:w="6560"/>
          </w:cols>
          <w:pgMar w:left="1180" w:top="279" w:right="11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7D"/>
        </w:rPr>
        <w:t xml:space="preserve">Director Since: </w:t>
      </w:r>
      <w:r>
        <w:rPr>
          <w:rFonts w:ascii="Arial" w:cs="Arial" w:eastAsia="Arial" w:hAnsi="Arial"/>
          <w:sz w:val="16"/>
          <w:szCs w:val="16"/>
          <w:color w:val="000000"/>
        </w:rPr>
        <w:t>1997</w:t>
      </w:r>
    </w:p>
    <w:p>
      <w:pPr>
        <w:spacing w:after="0" w:line="26" w:lineRule="exact"/>
        <w:rPr>
          <w:sz w:val="20"/>
          <w:szCs w:val="20"/>
          <w:color w:val="auto"/>
        </w:rPr>
      </w:pPr>
    </w:p>
    <w:p>
      <w:pPr>
        <w:ind w:left="260" w:hanging="105"/>
        <w:spacing w:after="0"/>
        <w:tabs>
          <w:tab w:leader="none" w:pos="260" w:val="left"/>
        </w:tabs>
        <w:numPr>
          <w:ilvl w:val="0"/>
          <w:numId w:val="24"/>
        </w:numPr>
        <w:rPr>
          <w:rFonts w:ascii="Arial" w:cs="Arial" w:eastAsia="Arial" w:hAnsi="Arial"/>
          <w:sz w:val="14"/>
          <w:szCs w:val="14"/>
          <w:color w:val="005C7D"/>
        </w:rPr>
      </w:pPr>
      <w:r>
        <w:rPr>
          <w:rFonts w:ascii="Arial" w:cs="Arial" w:eastAsia="Arial" w:hAnsi="Arial"/>
          <w:sz w:val="14"/>
          <w:szCs w:val="14"/>
          <w:color w:val="auto"/>
        </w:rPr>
        <w:t>Lead Independent Director</w:t>
      </w:r>
    </w:p>
    <w:p>
      <w:pPr>
        <w:spacing w:after="0" w:line="23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7D"/>
        </w:rPr>
        <w:t>Board Committees:</w:t>
      </w:r>
    </w:p>
    <w:p>
      <w:pPr>
        <w:spacing w:after="0" w:line="26" w:lineRule="exact"/>
        <w:rPr>
          <w:sz w:val="20"/>
          <w:szCs w:val="20"/>
          <w:color w:val="auto"/>
        </w:rPr>
      </w:pPr>
    </w:p>
    <w:p>
      <w:pPr>
        <w:ind w:left="260" w:hanging="105"/>
        <w:spacing w:after="0"/>
        <w:tabs>
          <w:tab w:leader="none" w:pos="260" w:val="left"/>
        </w:tabs>
        <w:numPr>
          <w:ilvl w:val="0"/>
          <w:numId w:val="25"/>
        </w:numPr>
        <w:rPr>
          <w:rFonts w:ascii="Arial" w:cs="Arial" w:eastAsia="Arial" w:hAnsi="Arial"/>
          <w:sz w:val="16"/>
          <w:szCs w:val="16"/>
          <w:color w:val="005C7D"/>
        </w:rPr>
      </w:pPr>
      <w:r>
        <w:rPr>
          <w:rFonts w:ascii="Arial" w:cs="Arial" w:eastAsia="Arial" w:hAnsi="Arial"/>
          <w:sz w:val="16"/>
          <w:szCs w:val="16"/>
          <w:color w:val="auto"/>
        </w:rPr>
        <w:t>Compensation (Chair)</w:t>
      </w:r>
    </w:p>
    <w:p>
      <w:pPr>
        <w:spacing w:after="0" w:line="18" w:lineRule="exact"/>
        <w:rPr>
          <w:rFonts w:ascii="Arial" w:cs="Arial" w:eastAsia="Arial" w:hAnsi="Arial"/>
          <w:sz w:val="16"/>
          <w:szCs w:val="16"/>
          <w:color w:val="005C7D"/>
        </w:rPr>
      </w:pPr>
    </w:p>
    <w:p>
      <w:pPr>
        <w:ind w:left="260" w:hanging="105"/>
        <w:spacing w:after="0"/>
        <w:tabs>
          <w:tab w:leader="none" w:pos="260" w:val="left"/>
        </w:tabs>
        <w:numPr>
          <w:ilvl w:val="0"/>
          <w:numId w:val="25"/>
        </w:numPr>
        <w:rPr>
          <w:rFonts w:ascii="Arial" w:cs="Arial" w:eastAsia="Arial" w:hAnsi="Arial"/>
          <w:sz w:val="16"/>
          <w:szCs w:val="16"/>
          <w:color w:val="005C7D"/>
        </w:rPr>
      </w:pPr>
      <w:r>
        <w:rPr>
          <w:rFonts w:ascii="Arial" w:cs="Arial" w:eastAsia="Arial" w:hAnsi="Arial"/>
          <w:sz w:val="16"/>
          <w:szCs w:val="16"/>
          <w:color w:val="auto"/>
        </w:rPr>
        <w:t>Executive (Chair)</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7D"/>
        </w:rPr>
        <w:t xml:space="preserve">Age: </w:t>
      </w:r>
      <w:r>
        <w:rPr>
          <w:rFonts w:ascii="Arial" w:cs="Arial" w:eastAsia="Arial" w:hAnsi="Arial"/>
          <w:sz w:val="16"/>
          <w:szCs w:val="16"/>
          <w:color w:val="000000"/>
        </w:rPr>
        <w:t>66</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B. MILLARD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41852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18528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005C7D"/>
        </w:rPr>
        <w:t>Position, Principal Occupation and Professional Experience:</w:t>
      </w:r>
    </w:p>
    <w:p>
      <w:pPr>
        <w:spacing w:after="0" w:line="2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i w:val="1"/>
          <w:iCs w:val="1"/>
          <w:color w:val="auto"/>
        </w:rPr>
        <w:t xml:space="preserve">Chairman, Massachusetts Institute of Technology Corporation. </w:t>
      </w:r>
      <w:r>
        <w:rPr>
          <w:rFonts w:ascii="Arial" w:cs="Arial" w:eastAsia="Arial" w:hAnsi="Arial"/>
          <w:sz w:val="18"/>
          <w:szCs w:val="18"/>
          <w:color w:val="auto"/>
        </w:rPr>
        <w:t>Mr. Millard has been the</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of the Massachusetts Institute of Technology Corporation since 2014. Prior to becoming Chairman of MIT, Mr. Millard held various positions in business, including Managing Director at Lehman Brothers and its predecessors from 1976 to 2008 and Chairman of Realm Partners L.L.C.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05C7D"/>
        </w:rPr>
        <w:t xml:space="preserve">Other Current Public Directorships: </w:t>
      </w:r>
      <w:r>
        <w:rPr>
          <w:rFonts w:ascii="Arial" w:cs="Arial" w:eastAsia="Arial" w:hAnsi="Arial"/>
          <w:sz w:val="18"/>
          <w:szCs w:val="18"/>
          <w:color w:val="000000"/>
        </w:rPr>
        <w:t>Evercore Partners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005C7D"/>
        </w:rPr>
        <w:t xml:space="preserve">Prior Public Company Directorships (within the last five years): </w:t>
      </w:r>
      <w:r>
        <w:rPr>
          <w:rFonts w:ascii="Arial" w:cs="Arial" w:eastAsia="Arial" w:hAnsi="Arial"/>
          <w:sz w:val="16"/>
          <w:szCs w:val="16"/>
          <w:color w:val="000000"/>
        </w:rPr>
        <w:t>Gulfmark Offshore,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Inc. (until June 2013)</w:t>
      </w:r>
    </w:p>
    <w:p>
      <w:pPr>
        <w:spacing w:after="0" w:line="20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005C7D"/>
        </w:rPr>
        <w:t xml:space="preserve">Other Directorships, Trusteeships and Memberships: </w:t>
      </w:r>
      <w:r>
        <w:rPr>
          <w:rFonts w:ascii="Arial" w:cs="Arial" w:eastAsia="Arial" w:hAnsi="Arial"/>
          <w:sz w:val="18"/>
          <w:szCs w:val="18"/>
          <w:color w:val="000000"/>
        </w:rPr>
        <w:t>Member, Council on Foreign</w:t>
      </w:r>
      <w:r>
        <w:rPr>
          <w:rFonts w:ascii="Arial" w:cs="Arial" w:eastAsia="Arial" w:hAnsi="Arial"/>
          <w:sz w:val="18"/>
          <w:szCs w:val="18"/>
          <w:b w:val="1"/>
          <w:bCs w:val="1"/>
          <w:color w:val="005C7D"/>
        </w:rPr>
        <w:t xml:space="preserve"> </w:t>
      </w:r>
      <w:r>
        <w:rPr>
          <w:rFonts w:ascii="Arial" w:cs="Arial" w:eastAsia="Arial" w:hAnsi="Arial"/>
          <w:sz w:val="18"/>
          <w:szCs w:val="18"/>
          <w:color w:val="000000"/>
        </w:rPr>
        <w:t>Relations and Fellow of the American Academy of Arts and Sciences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5C7D"/>
        </w:rPr>
        <w:t>Director Qualifications: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considered Mr. Millard’s extensive financial background.</w:t>
      </w:r>
    </w:p>
    <w:p>
      <w:pPr>
        <w:spacing w:after="0" w:line="200" w:lineRule="exact"/>
        <w:rPr>
          <w:sz w:val="20"/>
          <w:szCs w:val="20"/>
          <w:color w:val="auto"/>
        </w:rPr>
      </w:pPr>
    </w:p>
    <w:p>
      <w:pPr>
        <w:sectPr>
          <w:pgSz w:w="11900" w:h="16838" w:orient="portrait"/>
          <w:cols w:equalWidth="0" w:num="2">
            <w:col w:w="2260" w:space="720"/>
            <w:col w:w="6560"/>
          </w:cols>
          <w:pgMar w:left="1180" w:top="279" w:right="11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6"/>
          <w:szCs w:val="16"/>
          <w:color w:val="005C7D"/>
        </w:rPr>
        <w:t xml:space="preserve">12  </w:t>
      </w:r>
      <w:r>
        <w:rPr>
          <w:sz w:val="1"/>
          <w:szCs w:val="1"/>
          <w:color w:val="auto"/>
        </w:rPr>
        <w:drawing>
          <wp:inline distT="0" distB="0" distL="0" distR="0">
            <wp:extent cx="154305" cy="15430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r>
        <w:rPr>
          <w:rFonts w:ascii="Arial" w:cs="Arial" w:eastAsia="Arial" w:hAnsi="Arial"/>
          <w:sz w:val="13"/>
          <w:szCs w:val="13"/>
          <w:color w:val="005C7D"/>
        </w:rPr>
        <w:t xml:space="preserve"> – </w:t>
      </w:r>
      <w:r>
        <w:rPr>
          <w:rFonts w:ascii="Arial" w:cs="Arial" w:eastAsia="Arial" w:hAnsi="Arial"/>
          <w:sz w:val="13"/>
          <w:szCs w:val="13"/>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334645</wp:posOffset>
            </wp:positionV>
            <wp:extent cx="607187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38588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71870" cy="385889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7D"/>
        </w:rPr>
        <w:t xml:space="preserve">Director Since: </w:t>
      </w:r>
      <w:r>
        <w:rPr>
          <w:rFonts w:ascii="Arial" w:cs="Arial" w:eastAsia="Arial" w:hAnsi="Arial"/>
          <w:sz w:val="16"/>
          <w:szCs w:val="16"/>
          <w:color w:val="000000"/>
        </w:rPr>
        <w:t>2012</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7D"/>
        </w:rPr>
        <w:t>Board Committees:</w:t>
      </w:r>
    </w:p>
    <w:p>
      <w:pPr>
        <w:spacing w:after="0" w:line="26" w:lineRule="exact"/>
        <w:rPr>
          <w:sz w:val="20"/>
          <w:szCs w:val="20"/>
          <w:color w:val="auto"/>
        </w:rPr>
      </w:pPr>
    </w:p>
    <w:p>
      <w:pPr>
        <w:ind w:left="260" w:hanging="105"/>
        <w:spacing w:after="0"/>
        <w:tabs>
          <w:tab w:leader="none" w:pos="260" w:val="left"/>
        </w:tabs>
        <w:numPr>
          <w:ilvl w:val="0"/>
          <w:numId w:val="26"/>
        </w:numPr>
        <w:rPr>
          <w:rFonts w:ascii="Arial" w:cs="Arial" w:eastAsia="Arial" w:hAnsi="Arial"/>
          <w:sz w:val="16"/>
          <w:szCs w:val="16"/>
          <w:color w:val="005C7D"/>
        </w:rPr>
      </w:pPr>
      <w:r>
        <w:rPr>
          <w:rFonts w:ascii="Arial" w:cs="Arial" w:eastAsia="Arial" w:hAnsi="Arial"/>
          <w:sz w:val="16"/>
          <w:szCs w:val="16"/>
          <w:color w:val="auto"/>
        </w:rPr>
        <w:t>Compensation</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7D"/>
        </w:rPr>
        <w:t xml:space="preserve">Age: </w:t>
      </w:r>
      <w:r>
        <w:rPr>
          <w:rFonts w:ascii="Arial" w:cs="Arial" w:eastAsia="Arial" w:hAnsi="Arial"/>
          <w:sz w:val="16"/>
          <w:szCs w:val="16"/>
          <w:color w:val="000000"/>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1470025</wp:posOffset>
            </wp:positionV>
            <wp:extent cx="1766570" cy="3713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66570" cy="371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7D"/>
        </w:rPr>
        <w:t xml:space="preserve">Director Since: </w:t>
      </w:r>
      <w:r>
        <w:rPr>
          <w:rFonts w:ascii="Arial" w:cs="Arial" w:eastAsia="Arial" w:hAnsi="Arial"/>
          <w:sz w:val="16"/>
          <w:szCs w:val="16"/>
          <w:color w:val="000000"/>
        </w:rPr>
        <w:t>2013</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7D"/>
        </w:rPr>
        <w:t>Board Committees:</w:t>
      </w:r>
    </w:p>
    <w:p>
      <w:pPr>
        <w:spacing w:after="0" w:line="26" w:lineRule="exact"/>
        <w:rPr>
          <w:sz w:val="20"/>
          <w:szCs w:val="20"/>
          <w:color w:val="auto"/>
        </w:rPr>
      </w:pPr>
    </w:p>
    <w:p>
      <w:pPr>
        <w:ind w:left="240" w:hanging="85"/>
        <w:spacing w:after="0"/>
        <w:tabs>
          <w:tab w:leader="none" w:pos="240" w:val="left"/>
        </w:tabs>
        <w:numPr>
          <w:ilvl w:val="0"/>
          <w:numId w:val="27"/>
        </w:numPr>
        <w:rPr>
          <w:rFonts w:ascii="Arial" w:cs="Arial" w:eastAsia="Arial" w:hAnsi="Arial"/>
          <w:sz w:val="16"/>
          <w:szCs w:val="16"/>
          <w:color w:val="005C7D"/>
        </w:rPr>
      </w:pPr>
      <w:r>
        <w:rPr>
          <w:rFonts w:ascii="Arial" w:cs="Arial" w:eastAsia="Arial" w:hAnsi="Arial"/>
          <w:sz w:val="16"/>
          <w:szCs w:val="16"/>
          <w:color w:val="auto"/>
        </w:rPr>
        <w:t>Audit</w:t>
      </w:r>
    </w:p>
    <w:p>
      <w:pPr>
        <w:spacing w:after="0" w:line="18" w:lineRule="exact"/>
        <w:rPr>
          <w:rFonts w:ascii="Arial" w:cs="Arial" w:eastAsia="Arial" w:hAnsi="Arial"/>
          <w:sz w:val="16"/>
          <w:szCs w:val="16"/>
          <w:color w:val="005C7D"/>
        </w:rPr>
      </w:pPr>
    </w:p>
    <w:p>
      <w:pPr>
        <w:ind w:left="240" w:right="540" w:hanging="85"/>
        <w:spacing w:after="0" w:line="301" w:lineRule="auto"/>
        <w:tabs>
          <w:tab w:leader="none" w:pos="256" w:val="left"/>
        </w:tabs>
        <w:numPr>
          <w:ilvl w:val="0"/>
          <w:numId w:val="27"/>
        </w:numPr>
        <w:rPr>
          <w:rFonts w:ascii="Arial" w:cs="Arial" w:eastAsia="Arial" w:hAnsi="Arial"/>
          <w:sz w:val="14"/>
          <w:szCs w:val="14"/>
          <w:color w:val="005C7D"/>
        </w:rPr>
      </w:pPr>
      <w:r>
        <w:rPr>
          <w:rFonts w:ascii="Arial" w:cs="Arial" w:eastAsia="Arial" w:hAnsi="Arial"/>
          <w:sz w:val="14"/>
          <w:szCs w:val="14"/>
          <w:color w:val="auto"/>
        </w:rPr>
        <w:t>Nominating/Corporate Governance (Chair)</w:t>
      </w:r>
    </w:p>
    <w:p>
      <w:pPr>
        <w:spacing w:after="0" w:line="1" w:lineRule="exact"/>
        <w:rPr>
          <w:rFonts w:ascii="Arial" w:cs="Arial" w:eastAsia="Arial" w:hAnsi="Arial"/>
          <w:sz w:val="14"/>
          <w:szCs w:val="14"/>
          <w:color w:val="005C7D"/>
        </w:rPr>
      </w:pPr>
    </w:p>
    <w:p>
      <w:pPr>
        <w:ind w:left="260" w:hanging="105"/>
        <w:spacing w:after="0"/>
        <w:tabs>
          <w:tab w:leader="none" w:pos="260" w:val="left"/>
        </w:tabs>
        <w:numPr>
          <w:ilvl w:val="0"/>
          <w:numId w:val="27"/>
        </w:numPr>
        <w:rPr>
          <w:rFonts w:ascii="Arial" w:cs="Arial" w:eastAsia="Arial" w:hAnsi="Arial"/>
          <w:sz w:val="16"/>
          <w:szCs w:val="16"/>
          <w:color w:val="005C7D"/>
        </w:rPr>
      </w:pPr>
      <w:r>
        <w:rPr>
          <w:rFonts w:ascii="Arial" w:cs="Arial" w:eastAsia="Arial" w:hAnsi="Arial"/>
          <w:sz w:val="16"/>
          <w:szCs w:val="16"/>
          <w:color w:val="auto"/>
        </w:rPr>
        <w:t>Executive</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7D"/>
        </w:rPr>
        <w:t xml:space="preserve">Age: </w:t>
      </w:r>
      <w:r>
        <w:rPr>
          <w:rFonts w:ascii="Arial" w:cs="Arial" w:eastAsia="Arial" w:hAnsi="Arial"/>
          <w:sz w:val="16"/>
          <w:szCs w:val="16"/>
          <w:color w:val="000000"/>
        </w:rPr>
        <w:t>66</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LLOYD W. NEWTON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41852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18528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005C7D"/>
        </w:rPr>
        <w:t>Position, Principal Occupation and Professional Experience:</w:t>
      </w:r>
    </w:p>
    <w:p>
      <w:pPr>
        <w:spacing w:after="0" w:line="2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i w:val="1"/>
          <w:iCs w:val="1"/>
          <w:color w:val="auto"/>
        </w:rPr>
        <w:t>General (U.S. Air Force – Ret)</w:t>
      </w:r>
      <w:r>
        <w:rPr>
          <w:rFonts w:ascii="Arial" w:cs="Arial" w:eastAsia="Arial" w:hAnsi="Arial"/>
          <w:sz w:val="17"/>
          <w:szCs w:val="17"/>
          <w:color w:val="auto"/>
        </w:rPr>
        <w:t>. General Newton was a four-star General and Commander</w:t>
      </w:r>
      <w:r>
        <w:rPr>
          <w:rFonts w:ascii="Arial" w:cs="Arial" w:eastAsia="Arial" w:hAnsi="Arial"/>
          <w:sz w:val="17"/>
          <w:szCs w:val="17"/>
          <w:i w:val="1"/>
          <w:iCs w:val="1"/>
          <w:color w:val="auto"/>
        </w:rPr>
        <w:t xml:space="preserve"> </w:t>
      </w:r>
      <w:r>
        <w:rPr>
          <w:rFonts w:ascii="Arial" w:cs="Arial" w:eastAsia="Arial" w:hAnsi="Arial"/>
          <w:sz w:val="17"/>
          <w:szCs w:val="17"/>
          <w:color w:val="auto"/>
        </w:rPr>
        <w:t>of the Air Force, Air Education and Training Command, where he was responsible for the recruiting, training and education of all Air Force personnel from 1997 until his retirement in 2000. Following his retirement from the Air Force, General (Ret.) Newton was Executive Vice President of Pratt &amp; Whitney Military Engines until 2006. During his 34 year military career, General (Ret.) Newton also served as an Air Force congressional liaison officer with the U.S. House of Representatives and was a member of the Air Force’s Air Demonstration Squadron, the Thunderbirds.</w:t>
      </w:r>
    </w:p>
    <w:p>
      <w:pPr>
        <w:spacing w:after="0" w:line="180" w:lineRule="exact"/>
        <w:rPr>
          <w:sz w:val="20"/>
          <w:szCs w:val="20"/>
          <w:color w:val="auto"/>
        </w:rPr>
      </w:pPr>
    </w:p>
    <w:p>
      <w:pPr>
        <w:jc w:val="both"/>
        <w:ind w:right="40"/>
        <w:spacing w:after="0" w:line="282" w:lineRule="auto"/>
        <w:rPr>
          <w:sz w:val="20"/>
          <w:szCs w:val="20"/>
          <w:color w:val="auto"/>
        </w:rPr>
      </w:pPr>
      <w:r>
        <w:rPr>
          <w:rFonts w:ascii="Arial" w:cs="Arial" w:eastAsia="Arial" w:hAnsi="Arial"/>
          <w:sz w:val="18"/>
          <w:szCs w:val="18"/>
          <w:b w:val="1"/>
          <w:bCs w:val="1"/>
          <w:color w:val="005C7D"/>
        </w:rPr>
        <w:t xml:space="preserve">Other Current Public Directorships: </w:t>
      </w:r>
      <w:r>
        <w:rPr>
          <w:rFonts w:ascii="Arial" w:cs="Arial" w:eastAsia="Arial" w:hAnsi="Arial"/>
          <w:sz w:val="18"/>
          <w:szCs w:val="18"/>
          <w:color w:val="000000"/>
        </w:rPr>
        <w:t>Torchmark Corporation (Lead Director, Member of</w:t>
      </w:r>
      <w:r>
        <w:rPr>
          <w:rFonts w:ascii="Arial" w:cs="Arial" w:eastAsia="Arial" w:hAnsi="Arial"/>
          <w:sz w:val="18"/>
          <w:szCs w:val="18"/>
          <w:b w:val="1"/>
          <w:bCs w:val="1"/>
          <w:color w:val="005C7D"/>
        </w:rPr>
        <w:t xml:space="preserve"> </w:t>
      </w:r>
      <w:r>
        <w:rPr>
          <w:rFonts w:ascii="Arial" w:cs="Arial" w:eastAsia="Arial" w:hAnsi="Arial"/>
          <w:sz w:val="18"/>
          <w:szCs w:val="18"/>
          <w:color w:val="000000"/>
        </w:rPr>
        <w:t>the Compensation Committee)</w:t>
      </w:r>
    </w:p>
    <w:p>
      <w:pPr>
        <w:spacing w:after="0" w:line="162" w:lineRule="exact"/>
        <w:rPr>
          <w:sz w:val="20"/>
          <w:szCs w:val="20"/>
          <w:color w:val="auto"/>
        </w:rPr>
      </w:pPr>
    </w:p>
    <w:p>
      <w:pPr>
        <w:ind w:right="120"/>
        <w:spacing w:after="0" w:line="313" w:lineRule="auto"/>
        <w:rPr>
          <w:sz w:val="20"/>
          <w:szCs w:val="20"/>
          <w:color w:val="auto"/>
        </w:rPr>
      </w:pPr>
      <w:r>
        <w:rPr>
          <w:rFonts w:ascii="Arial" w:cs="Arial" w:eastAsia="Arial" w:hAnsi="Arial"/>
          <w:sz w:val="17"/>
          <w:szCs w:val="17"/>
          <w:b w:val="1"/>
          <w:bCs w:val="1"/>
          <w:color w:val="005C7D"/>
        </w:rPr>
        <w:t xml:space="preserve">Prior Public Company Directorships (within the last five years): </w:t>
      </w:r>
      <w:r>
        <w:rPr>
          <w:rFonts w:ascii="Arial" w:cs="Arial" w:eastAsia="Arial" w:hAnsi="Arial"/>
          <w:sz w:val="17"/>
          <w:szCs w:val="17"/>
          <w:color w:val="000000"/>
        </w:rPr>
        <w:t>Sunoco Products Co.</w:t>
      </w:r>
      <w:r>
        <w:rPr>
          <w:rFonts w:ascii="Arial" w:cs="Arial" w:eastAsia="Arial" w:hAnsi="Arial"/>
          <w:sz w:val="17"/>
          <w:szCs w:val="17"/>
          <w:b w:val="1"/>
          <w:bCs w:val="1"/>
          <w:color w:val="005C7D"/>
        </w:rPr>
        <w:t xml:space="preserve"> </w:t>
      </w:r>
      <w:r>
        <w:rPr>
          <w:rFonts w:ascii="Arial" w:cs="Arial" w:eastAsia="Arial" w:hAnsi="Arial"/>
          <w:sz w:val="17"/>
          <w:szCs w:val="17"/>
          <w:color w:val="000000"/>
        </w:rPr>
        <w:t>(until December 2014) and Goodrich Corporation (until August 2012)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005C7D"/>
        </w:rPr>
        <w:t>Director Qualifications:</w:t>
      </w:r>
    </w:p>
    <w:p>
      <w:pPr>
        <w:spacing w:after="0" w:line="27"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The Board of Directors considered General (Ret.) Newton’s distinguished career in the Air Force, his experience as an Executive Vice President of Pratt &amp; Whitney Military Engines and his knowledge as a director of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721360</wp:posOffset>
            </wp:positionV>
            <wp:extent cx="41852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185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VINCENT PAGANO,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41852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18528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005C7D"/>
        </w:rPr>
        <w:t>Position, Principal Occupation and Professional Experience:</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Retired Partner, Simpson Thacher &amp; Bartlett LLP</w:t>
      </w:r>
      <w:r>
        <w:rPr>
          <w:rFonts w:ascii="Arial" w:cs="Arial" w:eastAsia="Arial" w:hAnsi="Arial"/>
          <w:sz w:val="18"/>
          <w:szCs w:val="18"/>
          <w:color w:val="auto"/>
        </w:rPr>
        <w:t>. Mr. Pagano was a partner at Simpson</w:t>
      </w:r>
      <w:r>
        <w:rPr>
          <w:rFonts w:ascii="Arial" w:cs="Arial" w:eastAsia="Arial" w:hAnsi="Arial"/>
          <w:sz w:val="18"/>
          <w:szCs w:val="18"/>
          <w:i w:val="1"/>
          <w:iCs w:val="1"/>
          <w:color w:val="auto"/>
        </w:rPr>
        <w:t xml:space="preserve"> </w:t>
      </w:r>
      <w:r>
        <w:rPr>
          <w:rFonts w:ascii="Arial" w:cs="Arial" w:eastAsia="Arial" w:hAnsi="Arial"/>
          <w:sz w:val="18"/>
          <w:szCs w:val="18"/>
          <w:color w:val="auto"/>
        </w:rPr>
        <w:t>Thacher &amp; Bartlett LLP until his retirement at the end of 2012. He was the head of the firm’s capital markets practice from 1999 to 2012 and, before that, administrative partner of the firm from 1996 to 1999. He was a member of the firm’s executive committee during substantially all of the 1996-2012 period.</w:t>
      </w:r>
    </w:p>
    <w:p>
      <w:pPr>
        <w:spacing w:after="0" w:line="18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005C7D"/>
        </w:rPr>
        <w:t xml:space="preserve">Other Current Public Directorships: </w:t>
      </w:r>
      <w:r>
        <w:rPr>
          <w:rFonts w:ascii="Arial" w:cs="Arial" w:eastAsia="Arial" w:hAnsi="Arial"/>
          <w:sz w:val="18"/>
          <w:szCs w:val="18"/>
          <w:color w:val="000000"/>
        </w:rPr>
        <w:t>Cheniere Energy Partners GP, LLC, the general</w:t>
      </w:r>
      <w:r>
        <w:rPr>
          <w:rFonts w:ascii="Arial" w:cs="Arial" w:eastAsia="Arial" w:hAnsi="Arial"/>
          <w:sz w:val="18"/>
          <w:szCs w:val="18"/>
          <w:b w:val="1"/>
          <w:bCs w:val="1"/>
          <w:color w:val="005C7D"/>
        </w:rPr>
        <w:t xml:space="preserve"> </w:t>
      </w:r>
      <w:r>
        <w:rPr>
          <w:rFonts w:ascii="Arial" w:cs="Arial" w:eastAsia="Arial" w:hAnsi="Arial"/>
          <w:sz w:val="18"/>
          <w:szCs w:val="18"/>
          <w:color w:val="000000"/>
        </w:rPr>
        <w:t>partner of Cheniere Energy Partners, L.P. (Director and Member of the Audit and Conflicts Committees) and Hovnanian Enterprises, Inc. (Director and Member of the Audit and Corporate Governance and Nominating Committees)</w:t>
      </w:r>
    </w:p>
    <w:p>
      <w:pPr>
        <w:spacing w:after="0" w:line="18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005C7D"/>
        </w:rPr>
        <w:t xml:space="preserve">Other Directorships, Trusteeships and Memberships: </w:t>
      </w:r>
      <w:r>
        <w:rPr>
          <w:rFonts w:ascii="Arial" w:cs="Arial" w:eastAsia="Arial" w:hAnsi="Arial"/>
          <w:sz w:val="18"/>
          <w:szCs w:val="18"/>
          <w:color w:val="000000"/>
        </w:rPr>
        <w:t>Engineering Advisory Council of</w:t>
      </w:r>
      <w:r>
        <w:rPr>
          <w:rFonts w:ascii="Arial" w:cs="Arial" w:eastAsia="Arial" w:hAnsi="Arial"/>
          <w:sz w:val="18"/>
          <w:szCs w:val="18"/>
          <w:b w:val="1"/>
          <w:bCs w:val="1"/>
          <w:color w:val="005C7D"/>
        </w:rPr>
        <w:t xml:space="preserve"> </w:t>
      </w:r>
      <w:r>
        <w:rPr>
          <w:rFonts w:ascii="Arial" w:cs="Arial" w:eastAsia="Arial" w:hAnsi="Arial"/>
          <w:sz w:val="18"/>
          <w:szCs w:val="18"/>
          <w:color w:val="000000"/>
        </w:rPr>
        <w:t>Lehigh University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5C7D"/>
        </w:rPr>
        <w:t>Director Qualifications:</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Board of Directors considered Mr. Pagano’s significant experience, expertise and background with regard to legal, capital markets and corporate governance matters, including his broad perspective brought by his experience advising clients in many diverse industries.</w:t>
      </w:r>
    </w:p>
    <w:p>
      <w:pPr>
        <w:spacing w:after="0" w:line="200" w:lineRule="exact"/>
        <w:rPr>
          <w:sz w:val="20"/>
          <w:szCs w:val="20"/>
          <w:color w:val="auto"/>
        </w:rPr>
      </w:pPr>
    </w:p>
    <w:p>
      <w:pPr>
        <w:sectPr>
          <w:pgSz w:w="11900" w:h="16838" w:orient="portrait"/>
          <w:cols w:equalWidth="0" w:num="2">
            <w:col w:w="2260" w:space="720"/>
            <w:col w:w="6580"/>
          </w:cols>
          <w:pgMar w:left="1180" w:top="279" w:right="11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820"/>
        <w:spacing w:after="0"/>
        <w:tabs>
          <w:tab w:leader="none" w:pos="932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607187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-107315</wp:posOffset>
            </wp:positionV>
            <wp:extent cx="163195"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19" w:name="page20"/>
    <w:bookmarkEnd w:id="1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005C7D"/>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6071870" cy="42710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71870" cy="427101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7D"/>
        </w:rPr>
        <w:t xml:space="preserve">Director Since: </w:t>
      </w:r>
      <w:r>
        <w:rPr>
          <w:rFonts w:ascii="Arial" w:cs="Arial" w:eastAsia="Arial" w:hAnsi="Arial"/>
          <w:sz w:val="16"/>
          <w:szCs w:val="16"/>
          <w:color w:val="000000"/>
        </w:rPr>
        <w:t>2011</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7D"/>
        </w:rPr>
        <w:t>Board Committees:</w:t>
      </w:r>
    </w:p>
    <w:p>
      <w:pPr>
        <w:spacing w:after="0" w:line="26" w:lineRule="exact"/>
        <w:rPr>
          <w:sz w:val="20"/>
          <w:szCs w:val="20"/>
          <w:color w:val="auto"/>
        </w:rPr>
      </w:pPr>
    </w:p>
    <w:p>
      <w:pPr>
        <w:ind w:left="240" w:right="540" w:hanging="85"/>
        <w:spacing w:after="0" w:line="363" w:lineRule="auto"/>
        <w:tabs>
          <w:tab w:leader="none" w:pos="256" w:val="left"/>
        </w:tabs>
        <w:numPr>
          <w:ilvl w:val="0"/>
          <w:numId w:val="28"/>
        </w:numPr>
        <w:rPr>
          <w:rFonts w:ascii="Arial" w:cs="Arial" w:eastAsia="Arial" w:hAnsi="Arial"/>
          <w:sz w:val="14"/>
          <w:szCs w:val="14"/>
          <w:color w:val="005C7D"/>
        </w:rPr>
      </w:pPr>
      <w:r>
        <w:rPr>
          <w:rFonts w:ascii="Arial" w:cs="Arial" w:eastAsia="Arial" w:hAnsi="Arial"/>
          <w:sz w:val="14"/>
          <w:szCs w:val="14"/>
          <w:color w:val="auto"/>
        </w:rPr>
        <w:t>Nominating/Corporate Governance</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7D"/>
        </w:rPr>
        <w:t xml:space="preserve">Age: </w:t>
      </w:r>
      <w:r>
        <w:rPr>
          <w:rFonts w:ascii="Arial" w:cs="Arial" w:eastAsia="Arial" w:hAnsi="Arial"/>
          <w:sz w:val="16"/>
          <w:szCs w:val="16"/>
          <w:color w:val="000000"/>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1752600</wp:posOffset>
            </wp:positionV>
            <wp:extent cx="1766570" cy="28898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66570"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7D"/>
        </w:rPr>
        <w:t xml:space="preserve">Director Since: </w:t>
      </w:r>
      <w:r>
        <w:rPr>
          <w:rFonts w:ascii="Arial" w:cs="Arial" w:eastAsia="Arial" w:hAnsi="Arial"/>
          <w:sz w:val="16"/>
          <w:szCs w:val="16"/>
          <w:color w:val="000000"/>
        </w:rPr>
        <w:t>2001</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7D"/>
        </w:rPr>
        <w:t>Board Committees:</w:t>
      </w:r>
    </w:p>
    <w:p>
      <w:pPr>
        <w:spacing w:after="0" w:line="26" w:lineRule="exact"/>
        <w:rPr>
          <w:sz w:val="20"/>
          <w:szCs w:val="20"/>
          <w:color w:val="auto"/>
        </w:rPr>
      </w:pPr>
    </w:p>
    <w:p>
      <w:pPr>
        <w:ind w:left="240" w:hanging="85"/>
        <w:spacing w:after="0"/>
        <w:tabs>
          <w:tab w:leader="none" w:pos="240" w:val="left"/>
        </w:tabs>
        <w:numPr>
          <w:ilvl w:val="0"/>
          <w:numId w:val="29"/>
        </w:numPr>
        <w:rPr>
          <w:rFonts w:ascii="Arial" w:cs="Arial" w:eastAsia="Arial" w:hAnsi="Arial"/>
          <w:sz w:val="16"/>
          <w:szCs w:val="16"/>
          <w:color w:val="005C7D"/>
        </w:rPr>
      </w:pPr>
      <w:r>
        <w:rPr>
          <w:rFonts w:ascii="Arial" w:cs="Arial" w:eastAsia="Arial" w:hAnsi="Arial"/>
          <w:sz w:val="16"/>
          <w:szCs w:val="16"/>
          <w:color w:val="auto"/>
        </w:rPr>
        <w:t>Audit</w:t>
      </w:r>
    </w:p>
    <w:p>
      <w:pPr>
        <w:spacing w:after="0" w:line="18" w:lineRule="exact"/>
        <w:rPr>
          <w:rFonts w:ascii="Arial" w:cs="Arial" w:eastAsia="Arial" w:hAnsi="Arial"/>
          <w:sz w:val="16"/>
          <w:szCs w:val="16"/>
          <w:color w:val="005C7D"/>
        </w:rPr>
      </w:pPr>
    </w:p>
    <w:p>
      <w:pPr>
        <w:ind w:left="240" w:right="540" w:hanging="85"/>
        <w:spacing w:after="0" w:line="363" w:lineRule="auto"/>
        <w:tabs>
          <w:tab w:leader="none" w:pos="256" w:val="left"/>
        </w:tabs>
        <w:numPr>
          <w:ilvl w:val="0"/>
          <w:numId w:val="29"/>
        </w:numPr>
        <w:rPr>
          <w:rFonts w:ascii="Arial" w:cs="Arial" w:eastAsia="Arial" w:hAnsi="Arial"/>
          <w:sz w:val="14"/>
          <w:szCs w:val="14"/>
          <w:color w:val="005C7D"/>
        </w:rPr>
      </w:pPr>
      <w:r>
        <w:rPr>
          <w:rFonts w:ascii="Arial" w:cs="Arial" w:eastAsia="Arial" w:hAnsi="Arial"/>
          <w:sz w:val="14"/>
          <w:szCs w:val="14"/>
          <w:color w:val="auto"/>
        </w:rPr>
        <w:t>Nominating/Corporate Governance</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7D"/>
        </w:rPr>
        <w:t xml:space="preserve">Age: </w:t>
      </w:r>
      <w:r>
        <w:rPr>
          <w:rFonts w:ascii="Arial" w:cs="Arial" w:eastAsia="Arial" w:hAnsi="Arial"/>
          <w:sz w:val="16"/>
          <w:szCs w:val="16"/>
          <w:color w:val="000000"/>
        </w:rPr>
        <w:t>85</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HUGH SHELTON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418528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18528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005C7D"/>
        </w:rPr>
        <w:t>Position, Principal Occupation and Professional Experience:</w:t>
      </w:r>
    </w:p>
    <w:p>
      <w:pPr>
        <w:spacing w:after="0" w:line="2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i w:val="1"/>
          <w:iCs w:val="1"/>
          <w:color w:val="auto"/>
        </w:rPr>
        <w:t>General (U.S. Army-Ret)</w:t>
      </w:r>
      <w:r>
        <w:rPr>
          <w:rFonts w:ascii="Arial" w:cs="Arial" w:eastAsia="Arial" w:hAnsi="Arial"/>
          <w:sz w:val="18"/>
          <w:szCs w:val="18"/>
          <w:color w:val="auto"/>
        </w:rPr>
        <w:t>. General Shelton was the senior officer of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military and principal military advisor to the President of the United States, the Secretary of Defense and the National Security Council when he served as the fourteenth Chairman of the Joint Chiefs of Staff from 1997 until his retirement in 2001. He had previously served as Commander-in-Chief of U.S. Special Operations Command (SOCOM). From January 2002 until April 2006, General (Ret.) Shelton served as the President, International Sales of M.I.C. Industries, an international manufacturing company. General (Ret.) Shelton was knighted by Queen Elizabeth II in 2001 and awarded the Congressional Gold Medal in 2002.</w:t>
      </w:r>
    </w:p>
    <w:p>
      <w:pPr>
        <w:spacing w:after="0" w:line="194"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005C7D"/>
        </w:rPr>
        <w:t xml:space="preserve">Other Current Public Directorships: </w:t>
      </w:r>
      <w:r>
        <w:rPr>
          <w:rFonts w:ascii="Arial" w:cs="Arial" w:eastAsia="Arial" w:hAnsi="Arial"/>
          <w:sz w:val="18"/>
          <w:szCs w:val="18"/>
          <w:color w:val="000000"/>
        </w:rPr>
        <w:t>Red Hat, Inc. (Chairman and Member of the</w:t>
      </w:r>
      <w:r>
        <w:rPr>
          <w:rFonts w:ascii="Arial" w:cs="Arial" w:eastAsia="Arial" w:hAnsi="Arial"/>
          <w:sz w:val="18"/>
          <w:szCs w:val="18"/>
          <w:b w:val="1"/>
          <w:bCs w:val="1"/>
          <w:color w:val="005C7D"/>
        </w:rPr>
        <w:t xml:space="preserve"> </w:t>
      </w:r>
      <w:r>
        <w:rPr>
          <w:rFonts w:ascii="Arial" w:cs="Arial" w:eastAsia="Arial" w:hAnsi="Arial"/>
          <w:sz w:val="18"/>
          <w:szCs w:val="18"/>
          <w:color w:val="000000"/>
        </w:rPr>
        <w:t>Compensation Committee)</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005C7D"/>
        </w:rPr>
        <w:t xml:space="preserve">Other Directorships, Trusteeships and Memberships: </w:t>
      </w:r>
      <w:r>
        <w:rPr>
          <w:rFonts w:ascii="Arial" w:cs="Arial" w:eastAsia="Arial" w:hAnsi="Arial"/>
          <w:sz w:val="18"/>
          <w:szCs w:val="18"/>
          <w:color w:val="000000"/>
        </w:rPr>
        <w:t>Executive Director of the General</w:t>
      </w:r>
      <w:r>
        <w:rPr>
          <w:rFonts w:ascii="Arial" w:cs="Arial" w:eastAsia="Arial" w:hAnsi="Arial"/>
          <w:sz w:val="18"/>
          <w:szCs w:val="18"/>
          <w:b w:val="1"/>
          <w:bCs w:val="1"/>
          <w:color w:val="005C7D"/>
        </w:rPr>
        <w:t xml:space="preserve"> </w:t>
      </w:r>
      <w:r>
        <w:rPr>
          <w:rFonts w:ascii="Arial" w:cs="Arial" w:eastAsia="Arial" w:hAnsi="Arial"/>
          <w:sz w:val="18"/>
          <w:szCs w:val="18"/>
          <w:color w:val="000000"/>
        </w:rPr>
        <w:t>H. Hugh Shelton Leadership Center at North Carolina State University, National Association of Corporate Directors (NACD) Fellow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5C7D"/>
        </w:rPr>
        <w:t>Director Qualifications:</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Board of Directors considered General (Ret.) Shelton’s distinguished career as the Chairman of the Joint Chiefs of Staff, Department of Defense and as the Commander in Chief of U.S. Special Operations Command (SOCOM) and his extensive knowledge of the defense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721360</wp:posOffset>
            </wp:positionV>
            <wp:extent cx="41852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185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ARTHUR L.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418528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18528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005C7D"/>
        </w:rPr>
        <w:t>Position, Principal Occupation and Professional Experience:</w:t>
      </w:r>
    </w:p>
    <w:p>
      <w:pPr>
        <w:spacing w:after="0" w:line="2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i w:val="1"/>
          <w:iCs w:val="1"/>
          <w:color w:val="auto"/>
        </w:rPr>
        <w:t>Retired Partner, Coopers &amp; Lybrand LLP</w:t>
      </w:r>
      <w:r>
        <w:rPr>
          <w:rFonts w:ascii="Arial" w:cs="Arial" w:eastAsia="Arial" w:hAnsi="Arial"/>
          <w:sz w:val="18"/>
          <w:szCs w:val="18"/>
          <w:color w:val="auto"/>
        </w:rPr>
        <w:t>. Before his retirement, Mr. Simon was a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at Coopers &amp; Lybrand LLP, Certified Public Accountants, from 1968 to 1994 and was the co-founder of the firm’s Defense Contracting Industry Group.</w:t>
      </w:r>
    </w:p>
    <w:p>
      <w:pPr>
        <w:spacing w:after="0" w:line="186"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005C7D"/>
        </w:rPr>
        <w:t xml:space="preserve">Other Current Public Directorships: </w:t>
      </w:r>
      <w:r>
        <w:rPr>
          <w:rFonts w:ascii="Arial" w:cs="Arial" w:eastAsia="Arial" w:hAnsi="Arial"/>
          <w:sz w:val="18"/>
          <w:szCs w:val="18"/>
          <w:color w:val="000000"/>
        </w:rPr>
        <w:t>Loral Space &amp; Communications Inc. (Chairman</w:t>
      </w:r>
      <w:r>
        <w:rPr>
          <w:rFonts w:ascii="Arial" w:cs="Arial" w:eastAsia="Arial" w:hAnsi="Arial"/>
          <w:sz w:val="18"/>
          <w:szCs w:val="18"/>
          <w:b w:val="1"/>
          <w:bCs w:val="1"/>
          <w:color w:val="005C7D"/>
        </w:rPr>
        <w:t xml:space="preserve"> </w:t>
      </w:r>
      <w:r>
        <w:rPr>
          <w:rFonts w:ascii="Arial" w:cs="Arial" w:eastAsia="Arial" w:hAnsi="Arial"/>
          <w:sz w:val="18"/>
          <w:szCs w:val="18"/>
          <w:color w:val="000000"/>
        </w:rPr>
        <w:t>and Member of the Audit Committee)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5C7D"/>
        </w:rPr>
        <w:t>Director Qualifications:</w:t>
      </w:r>
    </w:p>
    <w:p>
      <w:pPr>
        <w:spacing w:after="0" w:line="2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Board of Directors considered Mr. Simon’s significant experience, expertise and background with regard to accounting and internal control matters and the breadth of his business knowledge gained while serving as an independent auditor for numerous organizations across many industries and as the Chair of the Audit Committee of Loral Space &amp; Communications Inc.</w:t>
      </w:r>
    </w:p>
    <w:p>
      <w:pPr>
        <w:spacing w:after="0" w:line="683" w:lineRule="exact"/>
        <w:rPr>
          <w:sz w:val="20"/>
          <w:szCs w:val="20"/>
          <w:color w:val="auto"/>
        </w:rPr>
      </w:pPr>
    </w:p>
    <w:p>
      <w:pPr>
        <w:sectPr>
          <w:pgSz w:w="11900" w:h="16838" w:orient="portrait"/>
          <w:cols w:equalWidth="0" w:num="2">
            <w:col w:w="2260" w:space="720"/>
            <w:col w:w="6560"/>
          </w:cols>
          <w:pgMar w:left="1180" w:top="279" w:right="117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6"/>
          <w:szCs w:val="16"/>
          <w:color w:val="005C7D"/>
        </w:rPr>
        <w:t xml:space="preserve">14  </w:t>
      </w:r>
      <w:r>
        <w:rPr>
          <w:sz w:val="1"/>
          <w:szCs w:val="1"/>
          <w:color w:val="auto"/>
        </w:rPr>
        <w:drawing>
          <wp:inline distT="0" distB="0" distL="0" distR="0">
            <wp:extent cx="154305" cy="1543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r>
        <w:rPr>
          <w:rFonts w:ascii="Arial" w:cs="Arial" w:eastAsia="Arial" w:hAnsi="Arial"/>
          <w:sz w:val="13"/>
          <w:szCs w:val="13"/>
          <w:color w:val="005C7D"/>
        </w:rPr>
        <w:t xml:space="preserve"> – </w:t>
      </w:r>
      <w:r>
        <w:rPr>
          <w:rFonts w:ascii="Arial" w:cs="Arial" w:eastAsia="Arial" w:hAnsi="Arial"/>
          <w:sz w:val="13"/>
          <w:szCs w:val="13"/>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334645</wp:posOffset>
            </wp:positionV>
            <wp:extent cx="607187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type w:val="continuous"/>
        </w:sectPr>
      </w:pPr>
    </w:p>
    <w:bookmarkStart w:id="20" w:name="page21"/>
    <w:bookmarkEnd w:id="2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30359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71870" cy="303593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5C7D"/>
        </w:rPr>
        <w:t xml:space="preserve">Director Since: </w:t>
      </w:r>
      <w:r>
        <w:rPr>
          <w:rFonts w:ascii="Arial" w:cs="Arial" w:eastAsia="Arial" w:hAnsi="Arial"/>
          <w:sz w:val="14"/>
          <w:szCs w:val="14"/>
          <w:color w:val="000000"/>
        </w:rPr>
        <w:t>2006</w:t>
      </w:r>
    </w:p>
    <w:p>
      <w:pPr>
        <w:spacing w:after="0" w:line="49" w:lineRule="exact"/>
        <w:rPr>
          <w:sz w:val="20"/>
          <w:szCs w:val="20"/>
          <w:color w:val="auto"/>
        </w:rPr>
      </w:pPr>
    </w:p>
    <w:p>
      <w:pPr>
        <w:ind w:left="260" w:hanging="105"/>
        <w:spacing w:after="0"/>
        <w:tabs>
          <w:tab w:leader="none" w:pos="260" w:val="left"/>
        </w:tabs>
        <w:numPr>
          <w:ilvl w:val="0"/>
          <w:numId w:val="30"/>
        </w:numPr>
        <w:rPr>
          <w:rFonts w:ascii="Arial" w:cs="Arial" w:eastAsia="Arial" w:hAnsi="Arial"/>
          <w:sz w:val="16"/>
          <w:szCs w:val="16"/>
          <w:color w:val="005C7D"/>
        </w:rPr>
      </w:pPr>
      <w:r>
        <w:rPr>
          <w:rFonts w:ascii="Arial" w:cs="Arial" w:eastAsia="Arial" w:hAnsi="Arial"/>
          <w:sz w:val="16"/>
          <w:szCs w:val="16"/>
          <w:color w:val="auto"/>
        </w:rPr>
        <w:t>Chairman</w:t>
      </w:r>
    </w:p>
    <w:p>
      <w:pPr>
        <w:spacing w:after="0" w:line="18" w:lineRule="exact"/>
        <w:rPr>
          <w:rFonts w:ascii="Arial" w:cs="Arial" w:eastAsia="Arial" w:hAnsi="Arial"/>
          <w:sz w:val="16"/>
          <w:szCs w:val="16"/>
          <w:color w:val="005C7D"/>
        </w:rPr>
      </w:pPr>
    </w:p>
    <w:p>
      <w:pPr>
        <w:ind w:left="260" w:hanging="105"/>
        <w:spacing w:after="0"/>
        <w:tabs>
          <w:tab w:leader="none" w:pos="260" w:val="left"/>
        </w:tabs>
        <w:numPr>
          <w:ilvl w:val="0"/>
          <w:numId w:val="30"/>
        </w:numPr>
        <w:rPr>
          <w:rFonts w:ascii="Arial" w:cs="Arial" w:eastAsia="Arial" w:hAnsi="Arial"/>
          <w:sz w:val="16"/>
          <w:szCs w:val="16"/>
          <w:color w:val="005C7D"/>
        </w:rPr>
      </w:pPr>
      <w:r>
        <w:rPr>
          <w:rFonts w:ascii="Arial" w:cs="Arial" w:eastAsia="Arial" w:hAnsi="Arial"/>
          <w:sz w:val="16"/>
          <w:szCs w:val="16"/>
          <w:color w:val="auto"/>
        </w:rPr>
        <w:t>CEO</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005C7D"/>
        </w:rPr>
        <w:t>Board Committees:</w:t>
      </w:r>
    </w:p>
    <w:p>
      <w:pPr>
        <w:spacing w:after="0" w:line="38" w:lineRule="exact"/>
        <w:rPr>
          <w:sz w:val="20"/>
          <w:szCs w:val="20"/>
          <w:color w:val="auto"/>
        </w:rPr>
      </w:pPr>
    </w:p>
    <w:p>
      <w:pPr>
        <w:ind w:left="260" w:hanging="105"/>
        <w:spacing w:after="0"/>
        <w:tabs>
          <w:tab w:leader="none" w:pos="260" w:val="left"/>
        </w:tabs>
        <w:numPr>
          <w:ilvl w:val="0"/>
          <w:numId w:val="31"/>
        </w:numPr>
        <w:rPr>
          <w:rFonts w:ascii="Arial" w:cs="Arial" w:eastAsia="Arial" w:hAnsi="Arial"/>
          <w:sz w:val="16"/>
          <w:szCs w:val="16"/>
          <w:color w:val="005C7D"/>
        </w:rPr>
      </w:pPr>
      <w:r>
        <w:rPr>
          <w:rFonts w:ascii="Arial" w:cs="Arial" w:eastAsia="Arial" w:hAnsi="Arial"/>
          <w:sz w:val="16"/>
          <w:szCs w:val="16"/>
          <w:color w:val="auto"/>
        </w:rPr>
        <w:t>Executive</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7D"/>
        </w:rPr>
        <w:t xml:space="preserve">Age: </w:t>
      </w:r>
      <w:r>
        <w:rPr>
          <w:rFonts w:ascii="Arial" w:cs="Arial" w:eastAsia="Arial" w:hAnsi="Arial"/>
          <w:sz w:val="16"/>
          <w:szCs w:val="16"/>
          <w:color w:val="000000"/>
        </w:rPr>
        <w:t>61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T. STRIANESE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41852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18528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005C7D"/>
        </w:rPr>
        <w:t>Position, Principal Occupation and Professional Experience:</w:t>
      </w:r>
    </w:p>
    <w:p>
      <w:pPr>
        <w:spacing w:after="0" w:line="2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i w:val="1"/>
          <w:iCs w:val="1"/>
          <w:color w:val="auto"/>
        </w:rPr>
        <w:t xml:space="preserve">Chairman and Chief Executive Officer, L3. </w:t>
      </w:r>
      <w:r>
        <w:rPr>
          <w:rFonts w:ascii="Arial" w:cs="Arial" w:eastAsia="Arial" w:hAnsi="Arial"/>
          <w:sz w:val="17"/>
          <w:szCs w:val="17"/>
          <w:color w:val="auto"/>
        </w:rPr>
        <w:t>Mr. Strianese became Chairman on October 7,</w:t>
      </w:r>
      <w:r>
        <w:rPr>
          <w:rFonts w:ascii="Arial" w:cs="Arial" w:eastAsia="Arial" w:hAnsi="Arial"/>
          <w:sz w:val="17"/>
          <w:szCs w:val="17"/>
          <w:i w:val="1"/>
          <w:iCs w:val="1"/>
          <w:color w:val="auto"/>
        </w:rPr>
        <w:t xml:space="preserve"> </w:t>
      </w:r>
      <w:r>
        <w:rPr>
          <w:rFonts w:ascii="Arial" w:cs="Arial" w:eastAsia="Arial" w:hAnsi="Arial"/>
          <w:sz w:val="17"/>
          <w:szCs w:val="17"/>
          <w:color w:val="auto"/>
        </w:rPr>
        <w:t>2008 and has served as Chief Executive Officer since October 2006. He also served as President from October 2006 until October 2015. Until February 2007, Mr. Strianese was also our Corporate Ethics Officer. He was our interim Chief Executive Officer and Chief Financial Officer from June 2006. Mr. Strianese became Chief Financial Officer in March 2005. From March 2001 to March 2005 he was our Senior Vice President – Finance. He joined us in April 1997 as Vice President – Finance and Controller and was our Controller until July 2000. In 2014, Mr. Strianese served as Chairman of the Aerospace Industries Association.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005C7D"/>
        </w:rPr>
        <w:t>Director Qualifications:</w:t>
      </w:r>
    </w:p>
    <w:p>
      <w:pPr>
        <w:spacing w:after="0" w:line="2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Board of Directors considered Mr. Strianese’s position as Chief Executive Officer and his expertise and experience in the aerospace and defense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-1893570</wp:posOffset>
            </wp:positionH>
            <wp:positionV relativeFrom="paragraph">
              <wp:posOffset>647065</wp:posOffset>
            </wp:positionV>
            <wp:extent cx="6075680" cy="3727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75680" cy="372745"/>
                    </a:xfrm>
                    <a:prstGeom prst="rect">
                      <a:avLst/>
                    </a:prstGeom>
                    <a:noFill/>
                  </pic:spPr>
                </pic:pic>
              </a:graphicData>
            </a:graphic>
          </wp:anchor>
        </w:drawing>
      </w:r>
    </w:p>
    <w:p>
      <w:pPr>
        <w:spacing w:after="0" w:line="676" w:lineRule="exact"/>
        <w:rPr>
          <w:sz w:val="20"/>
          <w:szCs w:val="20"/>
          <w:color w:val="auto"/>
        </w:rPr>
      </w:pPr>
    </w:p>
    <w:p>
      <w:pPr>
        <w:sectPr>
          <w:pgSz w:w="11900" w:h="16838" w:orient="portrait"/>
          <w:cols w:equalWidth="0" w:num="2">
            <w:col w:w="2260" w:space="720"/>
            <w:col w:w="6580"/>
          </w:cols>
          <w:pgMar w:left="1180" w:top="279" w:right="1159" w:bottom="1440" w:gutter="0" w:footer="0" w:header="0"/>
          <w:type w:val="continuous"/>
        </w:sect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5C7D"/>
        </w:rPr>
        <w:t>The Board of Directors recommends a vote FOR each of the proposed nominees</w:t>
      </w:r>
    </w:p>
    <w:p>
      <w:pPr>
        <w:spacing w:after="0" w:line="61"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005C7D"/>
        </w:rPr>
        <w:t>listed above for election to the Board of Directors.</w:t>
      </w:r>
    </w:p>
    <w:p>
      <w:pPr>
        <w:spacing w:after="0" w:line="305" w:lineRule="exact"/>
        <w:rPr>
          <w:sz w:val="20"/>
          <w:szCs w:val="20"/>
          <w:color w:val="auto"/>
        </w:rPr>
      </w:pPr>
    </w:p>
    <w:p>
      <w:pPr>
        <w:jc w:val="right"/>
        <w:ind w:right="40"/>
        <w:spacing w:after="0"/>
        <w:tabs>
          <w:tab w:leader="none" w:pos="16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607187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-107315</wp:posOffset>
            </wp:positionV>
            <wp:extent cx="163195"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21" w:name="page22"/>
    <w:bookmarkEnd w:id="2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005C7D"/>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SELECTION OF INDEPENDENT REGISTERED PUBLIC ACCOUNTING FIRM</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Audit Committee is directly responsible for the appointment, compensation, retention and oversight of the independent registered public accounting firm retained to audit the Company’s financial statements. Following its annual evaluation of its independent registered public accounting firm, the Audit Committee considered whether there should be a rotation of such a firm and decided to select PricewaterhouseCoopers LLP (“PwC”) to serve as the Company’s independent registered public accounting firm for the fiscal year ending December 31, 2017. PwC has continuously been retained as our independent registered public accounting firm since our formation in 1997, and the Audit Committee and the Board of Directors believe that the continued retention of PwC to serve as the Company’s independent registered public accounting firm is in the best interests of the Company and its shareholders. In conjunction with the mandated rotation of the independent registered public accounting firm’s lead engagement partner, the Audit Committee and its chairperson have been directly involved in the selection of PwC’s lead engagement partner. Representatives of PwC will be present at the Annual Meeting. These representatives will have the opportunity to make a statement if they desire to do so and are expected to be available to respond to appropriate questions.</w:t>
      </w:r>
    </w:p>
    <w:p>
      <w:pPr>
        <w:spacing w:after="0" w:line="11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Although ratification is not required by our Bylaws or otherwise, the Board of Directors is submitting the selection of PwC to our shareholders for ratification because the Audit Committee and the Board value our shareholders’ views on the Company’s independent registered public accounting firm. If the foregoing proposal is not approved by the holders of a majority of the votes cast, it will be considered as notice to the Board of Directors and the Audit Committee to consider the selection of a different firm. Even if the selection is ratified, the Audit Committee in its discretion may select a different independent registered public accounting firm at any time during the year if it determines that such a change would be in the best interests of the Company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58420</wp:posOffset>
            </wp:positionV>
            <wp:extent cx="6075680" cy="3644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75680" cy="364490"/>
                    </a:xfrm>
                    <a:prstGeom prst="rect">
                      <a:avLst/>
                    </a:prstGeom>
                    <a:noFill/>
                  </pic:spPr>
                </pic:pic>
              </a:graphicData>
            </a:graphic>
          </wp:anchor>
        </w:drawing>
      </w:r>
    </w:p>
    <w:p>
      <w:pPr>
        <w:spacing w:after="0" w:line="107" w:lineRule="exact"/>
        <w:rPr>
          <w:sz w:val="20"/>
          <w:szCs w:val="20"/>
          <w:color w:val="auto"/>
        </w:rPr>
      </w:pPr>
    </w:p>
    <w:p>
      <w:pPr>
        <w:jc w:val="center"/>
        <w:ind w:left="1240" w:right="160"/>
        <w:spacing w:after="0" w:line="267" w:lineRule="auto"/>
        <w:rPr>
          <w:sz w:val="20"/>
          <w:szCs w:val="20"/>
          <w:color w:val="auto"/>
        </w:rPr>
      </w:pPr>
      <w:r>
        <w:rPr>
          <w:rFonts w:ascii="Arial" w:cs="Arial" w:eastAsia="Arial" w:hAnsi="Arial"/>
          <w:sz w:val="20"/>
          <w:szCs w:val="20"/>
          <w:b w:val="1"/>
          <w:bCs w:val="1"/>
          <w:color w:val="005C7D"/>
        </w:rPr>
        <w:t>The Board of Directors recommends a vote FOR ratification of the appointment of PricewaterhouseCoopers LLP as our Independent Registered Public Accounting Firm.</w:t>
      </w:r>
    </w:p>
    <w:p>
      <w:pPr>
        <w:spacing w:after="0" w:line="296"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005C7D"/>
        </w:rPr>
        <w:t>16</w:t>
      </w:r>
      <w:r>
        <w:rPr>
          <w:sz w:val="20"/>
          <w:szCs w:val="20"/>
          <w:color w:val="auto"/>
        </w:rPr>
        <w:tab/>
      </w: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607187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-106045</wp:posOffset>
            </wp:positionV>
            <wp:extent cx="154305"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98" w:lineRule="exact"/>
        <w:rPr>
          <w:sz w:val="20"/>
          <w:szCs w:val="20"/>
          <w:color w:val="auto"/>
        </w:rPr>
      </w:pPr>
    </w:p>
    <w:p>
      <w:pPr>
        <w:ind w:right="880"/>
        <w:spacing w:after="0" w:line="266" w:lineRule="auto"/>
        <w:rPr>
          <w:sz w:val="20"/>
          <w:szCs w:val="20"/>
          <w:color w:val="auto"/>
        </w:rPr>
      </w:pPr>
      <w:r>
        <w:rPr>
          <w:rFonts w:ascii="Arial" w:cs="Arial" w:eastAsia="Arial" w:hAnsi="Arial"/>
          <w:sz w:val="18"/>
          <w:szCs w:val="18"/>
          <w:b w:val="1"/>
          <w:bCs w:val="1"/>
          <w:color w:val="auto"/>
        </w:rPr>
        <w:t>PROPOSAL 3 – PROPOSAL TO AMEND L3’S CERTIFICATE OF INCORPORATION TO ELIMINATE ALL PROVISIONS REQUIRING MORE THAN A SIMPLE MAJORITY VOTE</w:t>
      </w:r>
    </w:p>
    <w:p>
      <w:pPr>
        <w:spacing w:after="0" w:line="112"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The Board of Directors is proposing an amendment to the Certificate of Incorporation to eliminate all provisions requiring more than a simple majority vote, which would expand shareholders’ ability to take action by written consent by reducing the vote required to act by written consent from the unanimous consent of all shareholders to the consent of a majority of the outstanding shares of capital stock of the Company entitled to vote on the matter, as described below and set forth on Annex 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Proposal</w:t>
      </w:r>
    </w:p>
    <w:p>
      <w:pPr>
        <w:spacing w:after="0" w:line="17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At our 2016 annual meeting, a shareholder proposal requested that the Board take the steps necessary so that each voting requirement in our Certificate of Incorporation and Bylaws that calls for a greater than simple majority vote be eliminated, and replaced by a requirement for a majority of the votes cast for and against applicable proposals, or a simple majority in compliance with applicable laws (the “2016 Shareholder Proposal”). Although the 2016 Shareholder Proposal did not receive the required unanimous vote to pass, it did receive the support of a majority of the votes cast at our 2016 meeting. Accordingly, in response to this support, we are including this management proposal to eliminate the only provision in our Certificate of Incorporation and Bylaws that calls for a greater than simple majority vote and replace it with the default majority standard under applicable Delaware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Amendment to Certificate of Incorporation</w:t>
      </w:r>
    </w:p>
    <w:p>
      <w:pPr>
        <w:spacing w:after="0" w:line="17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Currently, pursuant to Article Tenth of the Certificate of Incorporation, in order for shareholders to act by written consent, all of the shareholders entitled to vote on the matter must sign such consent. In addition, Article Tenth currently also requires the unanimous consent of all shareholders entitled to vote on the matter to amend Article Tenth.</w:t>
      </w:r>
    </w:p>
    <w:p>
      <w:pPr>
        <w:spacing w:after="0" w:line="12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This Supermajority Proposal, if adopted by shareholders, would amend Article Tenth of the Certificate of Incorporation by: (1) permitting shareholders to act by written consent if a majority of the outstanding shares of capital stock of the Company entitled to vote on the matter sign such consent, and (2) reducing the required vote to amend Article Tenth from the unanimous consent of all shareholders to a majority of the outstanding shares of capital stock of the Company entitled to vote on the matter.</w:t>
      </w:r>
    </w:p>
    <w:p>
      <w:pPr>
        <w:spacing w:after="0" w:line="10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Annex A shows the proposed changes to Article Tenth of the Certificate of Incorporation, with deletions indicated by strikeouts and additions indicated by underlining.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w:t>
      </w:r>
    </w:p>
    <w:p>
      <w:pPr>
        <w:spacing w:after="0" w:line="17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If this Supermajority Proposal is approved by shareholders, the proposed amendment to Article Tenth of the Certificate of Incorporation shown in Annex A will become effective upon the filing of appropriate amendment documentation with the Delaware Secretary of State. As required by Delaware law, if this proposal is not approved by the shareholders at the Annual Meeting, the proposed amendment to Article Tenth of the Certificate of Incorporation will not be implemented and the existing vote required to act by written consent and amend Article Tenth will remain the unanimous consent of all shareholders.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Standard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affirmative vote of all of the outstanding common stock of the Company is required to approve this Supermajority Proposal.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Abstentions and “broker non-votes” will have the same effect as votes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6075680" cy="3644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75680" cy="364490"/>
                    </a:xfrm>
                    <a:prstGeom prst="rect">
                      <a:avLst/>
                    </a:prstGeom>
                    <a:noFill/>
                  </pic:spPr>
                </pic:pic>
              </a:graphicData>
            </a:graphic>
          </wp:anchor>
        </w:drawing>
      </w:r>
    </w:p>
    <w:p>
      <w:pPr>
        <w:spacing w:after="0" w:line="128" w:lineRule="exact"/>
        <w:rPr>
          <w:sz w:val="20"/>
          <w:szCs w:val="20"/>
          <w:color w:val="auto"/>
        </w:rPr>
      </w:pPr>
    </w:p>
    <w:p>
      <w:pPr>
        <w:jc w:val="center"/>
        <w:ind w:right="20"/>
        <w:spacing w:after="0" w:line="267" w:lineRule="auto"/>
        <w:rPr>
          <w:sz w:val="20"/>
          <w:szCs w:val="20"/>
          <w:color w:val="auto"/>
        </w:rPr>
      </w:pPr>
      <w:r>
        <w:rPr>
          <w:rFonts w:ascii="Arial" w:cs="Arial" w:eastAsia="Arial" w:hAnsi="Arial"/>
          <w:sz w:val="20"/>
          <w:szCs w:val="20"/>
          <w:b w:val="1"/>
          <w:bCs w:val="1"/>
          <w:color w:val="005C7D"/>
        </w:rPr>
        <w:t>The Board of Directors recommends a vote FOR the amendment of L3’s Certificate of Incorporation to eliminate all provisions requiring more than a simple majority vote.</w:t>
      </w:r>
    </w:p>
    <w:p>
      <w:pPr>
        <w:spacing w:after="0" w:line="267" w:lineRule="exact"/>
        <w:rPr>
          <w:sz w:val="20"/>
          <w:szCs w:val="20"/>
          <w:color w:val="auto"/>
        </w:rPr>
      </w:pPr>
    </w:p>
    <w:p>
      <w:pPr>
        <w:ind w:left="7820"/>
        <w:spacing w:after="0"/>
        <w:tabs>
          <w:tab w:leader="none" w:pos="932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607187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-107315</wp:posOffset>
            </wp:positionV>
            <wp:extent cx="163195"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005C7D"/>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84" w:lineRule="exact"/>
        <w:rPr>
          <w:sz w:val="20"/>
          <w:szCs w:val="20"/>
          <w:color w:val="auto"/>
        </w:rPr>
      </w:pPr>
    </w:p>
    <w:p>
      <w:pPr>
        <w:ind w:right="980"/>
        <w:spacing w:after="0" w:line="251" w:lineRule="auto"/>
        <w:rPr>
          <w:sz w:val="20"/>
          <w:szCs w:val="20"/>
          <w:color w:val="auto"/>
        </w:rPr>
      </w:pPr>
      <w:r>
        <w:rPr>
          <w:rFonts w:ascii="Arial" w:cs="Arial" w:eastAsia="Arial" w:hAnsi="Arial"/>
          <w:sz w:val="18"/>
          <w:szCs w:val="18"/>
          <w:b w:val="1"/>
          <w:bCs w:val="1"/>
          <w:color w:val="auto"/>
        </w:rPr>
        <w:t>PROPOSAL 4 – APPROVAL OF THE L3 TECHNOLOGIES, INC. AMENDED AND RESTATED 2012 CASH INCENTIVE PLAN</w:t>
      </w:r>
    </w:p>
    <w:p>
      <w:pPr>
        <w:spacing w:after="0" w:line="1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2012 Cash Incentive Plan was originally approved by our shareholders on April 24, 2012, and has since been amended and restated (as amended and restated, the “Cash Incentive Plan”). We are asking our shareholders to again approve the Cash Incentive Plan in order to satisfy the requirements of Section 162(m) of the Internal Revenue Code of 1986, as amended (the “Code”) with respect to performance awards to be granted under the Cash Incentive Plan. The terms of the Cash Incentive Plan are substantially similar to the terms of the plan that was initially approved by shareholders in 2012, except that as amended, the plan allows the Committee to delegate its authority to take certain actions under the plan to the Company’s officers or employees as more fully described under the heading “Administration” below. The following is a description of the purpose and the material provisions of the Cash Incentive Plan. The following description of the Cash Incentive Plan is not complete and is qualified by reference to the full text of the Cash Incentive Plan, which is attached as Annex B to this Proxy Statement.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7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Cash Incentive Plan is an incentive compensation plan that is designed to attract, retain, motivate and reward participants by providing them with the opportunity to earn competitive compensation directly linked to our performance.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7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Cash Incentive Plan is administered by the Compensation Committee of our Board of Directors or such other committee of our Board of Directors to which it has delegated such power (the “Committee”). The Committee may delegate to the officers or employees of the Company the authority to make grants under the Cash Incentive Plan and to execute and deliver such instruments and documents and to take actions necessary, advisable or convenient for the effective administration of the Cash Incentive Plan, except that the Committee may not delegate any discretionary authority to grant awards to, or to take any other action or make any other decision with respect to awards held by, any executive officer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Awards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Awards may be granted to our officers and key employees in the sole discretion of the Committee. The Cash Incentive Plan provides for the payment of cash-based incentive awards. For performance-based incentive awards intended to comply with the performance-based compensation exemption under Section 162(m) of the Code, by no later than the end of the first quarter of a given performance period (or the 90th day of the performance period, if sooner), the Committee will establish incentive awards for each individual participant in the Cash Incentive Plan. However, the Committee may, in its sole discretion, grant such awards, if any, to such participants as the Committee may choose, in respect of any given performance period, that are not intended to comply with the performance-based exemption under Section 162(m) of the Code. No participant may receive incentive compensation under the Cash Incentive Plan, with respect to any fiscal year, in excess of $10,000,000 (with proportionate adjustments for performance periods that are shorter or longer than one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Goals</w:t>
      </w:r>
    </w:p>
    <w:p>
      <w:pPr>
        <w:spacing w:after="0" w:line="17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Committee will establish the performance periods over which performance objectives will be measured. A performance period may be for a fiscal year or a shorter or longer period, as determined by the Committee. In the case of incentive awards intended to comply with the performance-based exemption under Section 162(m) of the Code, no later than the last day of the first quarter of a given performance period begins (or the 90th day of the performance period, if sooner), the Committee will establish (1) the performance objective or objectives that must be satisfied for a participant to receive incentive compensation for such performance period and (2) the incentive award opportunity for each participant. Performance objective(s) will be based upon one or more of the following criteria, as determined by the Committee: (i) consolidated income before or after taxes, including income before interest, taxes, depreciation and amortization (“EBITDA”); (ii) operating income or operating margin; (iii) net income; (iv) net income or earnings per share; (v) book value per share; (vi) return on equity; (vii) expense management (including without limitation, total general and administrative expense percentages); (viii) return on investment or on invested capital; (ix) improvements in capital structure; (x) profitability of an identifiable business unit or product; (xi) maintenance or improvement of profit margins; (xii) stock price; (xiii) market share; (xiv) revenue or sales (including, without limitation, net loans charged off and average finance receivables); (xv) costs; (xvi) cash flow or net funds provided; (xvii) working capital; (xviii) total debt (including, without limitation, total debt as a</w:t>
      </w:r>
    </w:p>
    <w:p>
      <w:pPr>
        <w:spacing w:after="0" w:line="255"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005C7D"/>
        </w:rPr>
        <w:t>18</w:t>
      </w:r>
      <w:r>
        <w:rPr>
          <w:sz w:val="20"/>
          <w:szCs w:val="20"/>
          <w:color w:val="auto"/>
        </w:rPr>
        <w:tab/>
      </w: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607187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-106045</wp:posOffset>
            </wp:positionV>
            <wp:extent cx="154305"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multiple of EBIT or EBITDA); (xix) orders; and (xx) total shareholder return. The foregoing criteria may relate to us, one or more of our subsidiaries or one or more of our divisions or units, or any combination of the foregoing, and may be applied on an absolute basis and/or be relative to one or more of our peer group companies or indices, or any combination thereof, all as the Committee will determine in its sole discretion. The performance measures and objectives established by the Committee may be different for different fiscal years and different objectives may be applicable to different officers and key employees.</w:t>
      </w:r>
    </w:p>
    <w:p>
      <w:pPr>
        <w:spacing w:after="0" w:line="11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As soon as practicable after the applicable performance period ends, the Committee will (A) determine (i) whether and to what extent any of the performance objective(s) established for such performance period have been satisfied and certify to such determination, and (ii) the actual incentive compensation to which such participant will be entitled, taking into consideration the extent to which the performance objective(s) have been met and such other factors as the Committee may deem appropriate and (B) cause such incentive compensation to be paid to such participant. The Committee has absolute discretion to reduce or eliminate the amount otherwise payable to any participant under the Cash Incentive Plan and to establish rules or procedures that have the effect of limiting the amount payable to each participant to an amount that is less than the maximum amount otherwise authorized as that participant’s incentive compensation opportunity. In addition, to the extent the Committee determines that all or a portion of an award is not intended to comply with the performance-based exemption under Section 162(m) of the Code, the Committee may award a participant more than the maximum amount authorized as that participant’s incentive compensation opportunity.</w:t>
      </w:r>
    </w:p>
    <w:p>
      <w:pPr>
        <w:spacing w:after="0" w:line="11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To the extent permitted under Section 162(m) of the Code, if a participant is hired or rehired by us after the beginning of a performance period (or such corresponding period if the performance period is not a fiscal year) for which incentive compensation is payable, such participant may, if determined by the Committee, receive incentive compensation equal to the amount otherwise payable to such participant based upon our actual performance for the applicable performance period prorated for the days of employment during such period or such other amount as the Committee may deem appropriate.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Forfeiture and Clawback</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Committee may in its sole discretion specify that the participant’s rights, payments, and benefits with respect to any incentive compensation will be subject to reduction, cancellation, forfeiture or recoupment upon the occurrence of certain specified events, in addition to any otherwise applicable vesting or performance conditions contained in such award. Such events may include, but are not limited to, termination of employment for cause, termination of the participant’s provision of services to us, breach of noncompetition, confidentiality, or other restrictive covenants that may apply to the participant, or restatement of our financial statements to reflect adverse results from those previously released financial statements as a consequence of errors, omissions, fraud, or misconduct.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17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Unless otherwise specified by the Committee at the time when performance objectives are established with respect to a performance period, in the event of a change in control prior to the last day of any performance period, each participant eligible to receive incentive compensation thereunder shall receive an amount of incentive compensation based upon achievement at the “target” level of the applicable performance objectives (or, if otherwise determined in the sole discretion of the Committee as constituted immediately prior to the change in control, an amount of incentive compensation based upon such higher level of Company performance actually achieved when considered in light of the reduced performance period), prorated to reflect the portion of the performance period elapsed through the change in control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w:t>
      </w:r>
    </w:p>
    <w:p>
      <w:pPr>
        <w:spacing w:after="0" w:line="17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Unless otherwise specified by the Committee, if prior to the last day of any performance period for which a participant is eligible to receive incentive compensation, the participant’s employment is terminated due to death, disability, retirement at least one year after the commencement of the performance period, or due to an involuntary termination without cause, then the participant will receive an amount of incentive compensation equal to the incentive compensation otherwise payable to such participant based upon actual Company performance for the applicable performance period, prorated to reflect the portion of the performance period elapsed through the termination date. In the case of any other termination of employment by a participant prior to the end of a performance period, the participant shall not be entitled to payment of incentive compensation for such performance period (unless otherwise determined by the Committee).</w:t>
      </w:r>
    </w:p>
    <w:p>
      <w:pPr>
        <w:spacing w:after="0" w:line="219" w:lineRule="exact"/>
        <w:rPr>
          <w:sz w:val="20"/>
          <w:szCs w:val="20"/>
          <w:color w:val="auto"/>
        </w:rPr>
      </w:pPr>
    </w:p>
    <w:p>
      <w:pPr>
        <w:ind w:left="7820"/>
        <w:spacing w:after="0"/>
        <w:tabs>
          <w:tab w:leader="none" w:pos="932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6071870"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-107315</wp:posOffset>
            </wp:positionV>
            <wp:extent cx="163195"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005C7D"/>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Payment of Awards</w:t>
      </w:r>
    </w:p>
    <w:p>
      <w:pPr>
        <w:spacing w:after="0" w:line="121" w:lineRule="exact"/>
        <w:rPr>
          <w:sz w:val="20"/>
          <w:szCs w:val="20"/>
          <w:color w:val="auto"/>
        </w:rPr>
      </w:pPr>
    </w:p>
    <w:p>
      <w:pPr>
        <w:ind w:left="100" w:right="120"/>
        <w:spacing w:after="0" w:line="259" w:lineRule="auto"/>
        <w:rPr>
          <w:sz w:val="20"/>
          <w:szCs w:val="20"/>
          <w:color w:val="auto"/>
        </w:rPr>
      </w:pPr>
      <w:r>
        <w:rPr>
          <w:rFonts w:ascii="Arial" w:cs="Arial" w:eastAsia="Arial" w:hAnsi="Arial"/>
          <w:sz w:val="18"/>
          <w:szCs w:val="18"/>
          <w:color w:val="auto"/>
        </w:rPr>
        <w:t>Payment of any incentive compensation amount is made to participants as soon as is practicable after the Committee certifies that one or more of the applicable performance objectives has been attained or after the Committee determines the amount of such incentive compensation. All payments thus made will be in accordance with or exempt from the requirements of Section 409A of the Code.</w:t>
      </w:r>
    </w:p>
    <w:p>
      <w:pPr>
        <w:spacing w:after="0" w:line="7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Amendment and Termination of Plan</w:t>
      </w:r>
    </w:p>
    <w:p>
      <w:pPr>
        <w:spacing w:after="0" w:line="121" w:lineRule="exact"/>
        <w:rPr>
          <w:sz w:val="20"/>
          <w:szCs w:val="20"/>
          <w:color w:val="auto"/>
        </w:rPr>
      </w:pPr>
    </w:p>
    <w:p>
      <w:pPr>
        <w:ind w:left="100" w:right="140"/>
        <w:spacing w:after="0" w:line="257" w:lineRule="auto"/>
        <w:rPr>
          <w:sz w:val="20"/>
          <w:szCs w:val="20"/>
          <w:color w:val="auto"/>
        </w:rPr>
      </w:pPr>
      <w:r>
        <w:rPr>
          <w:rFonts w:ascii="Arial" w:cs="Arial" w:eastAsia="Arial" w:hAnsi="Arial"/>
          <w:sz w:val="18"/>
          <w:szCs w:val="18"/>
          <w:color w:val="auto"/>
        </w:rPr>
        <w:t>Our Board of Directors or the Committee may at any time amend, suspend, discontinue or terminate the Cash Incentive Plan, subject to shareholder approval if such approval is necessary to continue to qualify the amounts payable under the Cash Incentive Plan under Section 162(m) of the Code if such amounts are intended to be so qualified; provided, that no such amendment, suspension, discontinuance or termination will adversely affect the rights of any participant in respect of any performance period that has already begun.</w:t>
      </w:r>
    </w:p>
    <w:p>
      <w:pPr>
        <w:spacing w:after="0" w:line="7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Voting Standard</w:t>
      </w:r>
    </w:p>
    <w:p>
      <w:pPr>
        <w:spacing w:after="0" w:line="121" w:lineRule="exact"/>
        <w:rPr>
          <w:sz w:val="20"/>
          <w:szCs w:val="20"/>
          <w:color w:val="auto"/>
        </w:rPr>
      </w:pPr>
    </w:p>
    <w:p>
      <w:pPr>
        <w:ind w:left="100"/>
        <w:spacing w:after="0" w:line="264" w:lineRule="auto"/>
        <w:rPr>
          <w:sz w:val="20"/>
          <w:szCs w:val="20"/>
          <w:color w:val="auto"/>
        </w:rPr>
      </w:pPr>
      <w:r>
        <w:rPr>
          <w:rFonts w:ascii="Arial" w:cs="Arial" w:eastAsia="Arial" w:hAnsi="Arial"/>
          <w:sz w:val="18"/>
          <w:szCs w:val="18"/>
          <w:color w:val="auto"/>
        </w:rPr>
        <w:t>The affirmative vote of a majority of the votes cast at the Annual Meeting is required to approve this Cash Incentive Plan Proposal. Abstentions will have the same effect as a vote “against” this proposal and “broker non-votes” will have no effect on the outcome of this proposal.</w:t>
      </w:r>
    </w:p>
    <w:p>
      <w:pPr>
        <w:spacing w:after="0" w:line="73" w:lineRule="exact"/>
        <w:rPr>
          <w:sz w:val="20"/>
          <w:szCs w:val="20"/>
          <w:color w:val="auto"/>
        </w:rPr>
      </w:pPr>
    </w:p>
    <w:p>
      <w:pPr>
        <w:ind w:left="100" w:right="560"/>
        <w:spacing w:after="0" w:line="342" w:lineRule="auto"/>
        <w:rPr>
          <w:sz w:val="20"/>
          <w:szCs w:val="20"/>
          <w:color w:val="auto"/>
        </w:rPr>
      </w:pPr>
      <w:r>
        <w:rPr>
          <w:rFonts w:ascii="Arial" w:cs="Arial" w:eastAsia="Arial" w:hAnsi="Arial"/>
          <w:sz w:val="16"/>
          <w:szCs w:val="16"/>
          <w:color w:val="auto"/>
        </w:rPr>
        <w:t>Assuming shareholders approve the Cash Incentive Plan Proposal, it is anticipated that shareholders will be requested to re-approve the Cash Incentive Plan no later than the day of the first meeting of shareholders that occurs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6075680" cy="3644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75680" cy="3644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005C7D"/>
        </w:rPr>
        <w:t>The Board of Directors recommends a vote FOR approval of the L3 Technologies,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5C7D"/>
        </w:rPr>
        <w:t>Amended and Restated 2012 Cash Incentive Plan.</w:t>
      </w:r>
    </w:p>
    <w:p>
      <w:pPr>
        <w:spacing w:after="0" w:line="326"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005C7D"/>
        </w:rPr>
        <w:t>20</w:t>
      </w:r>
      <w:r>
        <w:rPr>
          <w:sz w:val="20"/>
          <w:szCs w:val="20"/>
          <w:color w:val="auto"/>
        </w:rPr>
        <w:tab/>
      </w: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607187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-106045</wp:posOffset>
            </wp:positionV>
            <wp:extent cx="154305"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5 – ADVISORY (NON-BINDING) VOTE ON EXECUTIVE COMPENSATION</w:t>
      </w:r>
    </w:p>
    <w:p>
      <w:pPr>
        <w:spacing w:after="0" w:line="175" w:lineRule="exact"/>
        <w:rPr>
          <w:sz w:val="20"/>
          <w:szCs w:val="20"/>
          <w:color w:val="auto"/>
        </w:rPr>
      </w:pPr>
    </w:p>
    <w:p>
      <w:pPr>
        <w:ind w:right="80"/>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We are asking our shareholders to approve, in a non-binding, advisory vote, the compensation paid to our named executive officers as disclosed beginning on page </w:t>
      </w:r>
      <w:hyperlink w:anchor="page45">
        <w:r>
          <w:rPr>
            <w:rFonts w:ascii="Arial" w:cs="Arial" w:eastAsia="Arial" w:hAnsi="Arial"/>
            <w:sz w:val="17"/>
            <w:szCs w:val="17"/>
            <w:u w:val="single" w:color="auto"/>
            <w:color w:val="0000EE"/>
          </w:rPr>
          <w:t>39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of this Proxy Statement. In connection with this vote, shareholders may also wish to consider the discussion appearing under “The Board of Directors and Certain Governance Matters — Committees of the Board of Directors” beginning on page </w:t>
      </w:r>
      <w:hyperlink w:anchor="page33">
        <w:r>
          <w:rPr>
            <w:rFonts w:ascii="Arial" w:cs="Arial" w:eastAsia="Arial" w:hAnsi="Arial"/>
            <w:sz w:val="17"/>
            <w:szCs w:val="17"/>
            <w:u w:val="single" w:color="auto"/>
            <w:color w:val="0000EE"/>
          </w:rPr>
          <w:t>27</w:t>
        </w:r>
      </w:hyperlink>
      <w:r>
        <w:rPr>
          <w:rFonts w:ascii="Arial" w:cs="Arial" w:eastAsia="Arial" w:hAnsi="Arial"/>
          <w:sz w:val="17"/>
          <w:szCs w:val="17"/>
          <w:color w:val="auto"/>
        </w:rPr>
        <w:t>. While the results of this vote are advisory, our Compensation Committee intends to consider the results of this vote when making future compensation decisions. The following is a summary of key points that shareholders may wish to consider in connection with their voting decision.</w:t>
      </w:r>
    </w:p>
    <w:p>
      <w:pPr>
        <w:spacing w:after="0" w:line="12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compensation program emphasizes our pay-for-performance philosophy and reflects our commitment to compensation best practices</w:t>
      </w:r>
      <w:r>
        <w:rPr>
          <w:rFonts w:ascii="Arial" w:cs="Arial" w:eastAsia="Arial" w:hAnsi="Arial"/>
          <w:sz w:val="18"/>
          <w:szCs w:val="18"/>
          <w:color w:val="auto"/>
        </w:rPr>
        <w:t>. Our compensation program highlights include:</w:t>
      </w:r>
    </w:p>
    <w:p>
      <w:pPr>
        <w:spacing w:after="0" w:line="54" w:lineRule="exact"/>
        <w:rPr>
          <w:sz w:val="20"/>
          <w:szCs w:val="20"/>
          <w:color w:val="auto"/>
        </w:rPr>
      </w:pPr>
    </w:p>
    <w:p>
      <w:pPr>
        <w:ind w:left="700" w:right="120" w:hanging="356"/>
        <w:spacing w:after="0" w:line="282" w:lineRule="auto"/>
        <w:tabs>
          <w:tab w:leader="none" w:pos="700" w:val="left"/>
        </w:tabs>
        <w:numPr>
          <w:ilvl w:val="0"/>
          <w:numId w:val="32"/>
        </w:numPr>
        <w:rPr>
          <w:rFonts w:ascii="Arial" w:cs="Arial" w:eastAsia="Arial" w:hAnsi="Arial"/>
          <w:sz w:val="18"/>
          <w:szCs w:val="18"/>
          <w:color w:val="005C7D"/>
        </w:rPr>
      </w:pPr>
      <w:r>
        <w:rPr>
          <w:rFonts w:ascii="Arial" w:cs="Arial" w:eastAsia="Arial" w:hAnsi="Arial"/>
          <w:sz w:val="18"/>
          <w:szCs w:val="18"/>
          <w:b w:val="1"/>
          <w:bCs w:val="1"/>
          <w:color w:val="auto"/>
        </w:rPr>
        <w:t>Formula-Based Bonus Plan</w:t>
      </w:r>
      <w:r>
        <w:rPr>
          <w:rFonts w:ascii="Arial" w:cs="Arial" w:eastAsia="Arial" w:hAnsi="Arial"/>
          <w:sz w:val="18"/>
          <w:szCs w:val="18"/>
          <w:color w:val="auto"/>
        </w:rPr>
        <w:t>. We apply a formula-based approach for determining annual incentive awards that uses pre-established goals to assess financial and individual performance achievements.</w:t>
      </w:r>
    </w:p>
    <w:p>
      <w:pPr>
        <w:spacing w:after="0" w:line="53" w:lineRule="exact"/>
        <w:rPr>
          <w:rFonts w:ascii="Arial" w:cs="Arial" w:eastAsia="Arial" w:hAnsi="Arial"/>
          <w:sz w:val="18"/>
          <w:szCs w:val="18"/>
          <w:color w:val="005C7D"/>
        </w:rPr>
      </w:pPr>
    </w:p>
    <w:p>
      <w:pPr>
        <w:ind w:left="700" w:right="380" w:hanging="356"/>
        <w:spacing w:after="0" w:line="282" w:lineRule="auto"/>
        <w:tabs>
          <w:tab w:leader="none" w:pos="700" w:val="left"/>
        </w:tabs>
        <w:numPr>
          <w:ilvl w:val="0"/>
          <w:numId w:val="32"/>
        </w:numPr>
        <w:rPr>
          <w:rFonts w:ascii="Arial" w:cs="Arial" w:eastAsia="Arial" w:hAnsi="Arial"/>
          <w:sz w:val="18"/>
          <w:szCs w:val="18"/>
          <w:color w:val="005C7D"/>
        </w:rPr>
      </w:pPr>
      <w:r>
        <w:rPr>
          <w:rFonts w:ascii="Arial" w:cs="Arial" w:eastAsia="Arial" w:hAnsi="Arial"/>
          <w:sz w:val="18"/>
          <w:szCs w:val="18"/>
          <w:b w:val="1"/>
          <w:bCs w:val="1"/>
          <w:color w:val="auto"/>
        </w:rPr>
        <w:t xml:space="preserve">Emphasis on performance-based variable pay. </w:t>
      </w:r>
      <w:r>
        <w:rPr>
          <w:rFonts w:ascii="Arial" w:cs="Arial" w:eastAsia="Arial" w:hAnsi="Arial"/>
          <w:sz w:val="18"/>
          <w:szCs w:val="18"/>
          <w:color w:val="auto"/>
        </w:rPr>
        <w:t>In 2016, 68% of our Chief Executive Officer’s target pay was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performance-based annual and long-term incentives, including:</w:t>
      </w:r>
    </w:p>
    <w:p>
      <w:pPr>
        <w:spacing w:after="0" w:line="57" w:lineRule="exact"/>
        <w:rPr>
          <w:rFonts w:ascii="Arial" w:cs="Arial" w:eastAsia="Arial" w:hAnsi="Arial"/>
          <w:sz w:val="18"/>
          <w:szCs w:val="18"/>
          <w:color w:val="005C7D"/>
        </w:rPr>
      </w:pPr>
    </w:p>
    <w:p>
      <w:pPr>
        <w:jc w:val="both"/>
        <w:ind w:left="1060" w:right="80" w:hanging="351"/>
        <w:spacing w:after="0" w:line="264" w:lineRule="auto"/>
        <w:tabs>
          <w:tab w:leader="none" w:pos="1060" w:val="left"/>
        </w:tabs>
        <w:numPr>
          <w:ilvl w:val="1"/>
          <w:numId w:val="32"/>
        </w:numPr>
        <w:rPr>
          <w:rFonts w:ascii="Arial" w:cs="Arial" w:eastAsia="Arial" w:hAnsi="Arial"/>
          <w:sz w:val="18"/>
          <w:szCs w:val="18"/>
          <w:color w:val="005C7D"/>
        </w:rPr>
      </w:pPr>
      <w:r>
        <w:rPr>
          <w:rFonts w:ascii="Arial" w:cs="Arial" w:eastAsia="Arial" w:hAnsi="Arial"/>
          <w:sz w:val="18"/>
          <w:szCs w:val="18"/>
          <w:color w:val="auto"/>
        </w:rPr>
        <w:t>29% of target pay in the form of performance awards that will be forfeited unless our company’s performance during fiscal 2016-2018 meets pre-established goals for cumulative diluted earnings per share and relative total shareholder return.</w:t>
      </w:r>
    </w:p>
    <w:p>
      <w:pPr>
        <w:spacing w:after="0" w:line="73" w:lineRule="exact"/>
        <w:rPr>
          <w:rFonts w:ascii="Arial" w:cs="Arial" w:eastAsia="Arial" w:hAnsi="Arial"/>
          <w:sz w:val="18"/>
          <w:szCs w:val="18"/>
          <w:color w:val="005C7D"/>
        </w:rPr>
      </w:pPr>
    </w:p>
    <w:p>
      <w:pPr>
        <w:jc w:val="both"/>
        <w:ind w:left="1060" w:right="100" w:hanging="351"/>
        <w:spacing w:after="0" w:line="264" w:lineRule="auto"/>
        <w:tabs>
          <w:tab w:leader="none" w:pos="1060" w:val="left"/>
        </w:tabs>
        <w:numPr>
          <w:ilvl w:val="1"/>
          <w:numId w:val="32"/>
        </w:numPr>
        <w:rPr>
          <w:rFonts w:ascii="Arial" w:cs="Arial" w:eastAsia="Arial" w:hAnsi="Arial"/>
          <w:sz w:val="18"/>
          <w:szCs w:val="18"/>
          <w:color w:val="005C7D"/>
        </w:rPr>
      </w:pPr>
      <w:r>
        <w:rPr>
          <w:rFonts w:ascii="Arial" w:cs="Arial" w:eastAsia="Arial" w:hAnsi="Arial"/>
          <w:sz w:val="18"/>
          <w:szCs w:val="18"/>
          <w:color w:val="auto"/>
        </w:rPr>
        <w:t>22% of target pay in the form of stock options that have value only based on, and to the extent of, future increases in our stock price. In addition, these options are forfeited if vesting conditions based on 2016 financial performance are not satisfied.</w:t>
      </w:r>
    </w:p>
    <w:p>
      <w:pPr>
        <w:spacing w:after="0" w:line="73" w:lineRule="exact"/>
        <w:rPr>
          <w:rFonts w:ascii="Arial" w:cs="Arial" w:eastAsia="Arial" w:hAnsi="Arial"/>
          <w:sz w:val="18"/>
          <w:szCs w:val="18"/>
          <w:color w:val="005C7D"/>
        </w:rPr>
      </w:pPr>
    </w:p>
    <w:p>
      <w:pPr>
        <w:ind w:left="1060" w:hanging="351"/>
        <w:spacing w:after="0"/>
        <w:tabs>
          <w:tab w:leader="none" w:pos="1060" w:val="left"/>
        </w:tabs>
        <w:numPr>
          <w:ilvl w:val="1"/>
          <w:numId w:val="32"/>
        </w:numPr>
        <w:rPr>
          <w:rFonts w:ascii="Arial" w:cs="Arial" w:eastAsia="Arial" w:hAnsi="Arial"/>
          <w:sz w:val="18"/>
          <w:szCs w:val="18"/>
          <w:color w:val="005C7D"/>
        </w:rPr>
      </w:pPr>
      <w:r>
        <w:rPr>
          <w:rFonts w:ascii="Arial" w:cs="Arial" w:eastAsia="Arial" w:hAnsi="Arial"/>
          <w:sz w:val="18"/>
          <w:szCs w:val="18"/>
          <w:color w:val="auto"/>
        </w:rPr>
        <w:t>17% of target pay under our formula-based bonus plan described above.</w:t>
      </w:r>
    </w:p>
    <w:p>
      <w:pPr>
        <w:spacing w:after="0" w:line="16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Our executives are subject to meaningful stock ownership and retention guidelines that align their interests with those of our shareholders. </w:t>
      </w:r>
      <w:r>
        <w:rPr>
          <w:rFonts w:ascii="Arial" w:cs="Arial" w:eastAsia="Arial" w:hAnsi="Arial"/>
          <w:sz w:val="18"/>
          <w:szCs w:val="18"/>
          <w:color w:val="auto"/>
        </w:rPr>
        <w:t>Under our policies:</w:t>
      </w:r>
    </w:p>
    <w:p>
      <w:pPr>
        <w:spacing w:after="0" w:line="58" w:lineRule="exact"/>
        <w:rPr>
          <w:sz w:val="20"/>
          <w:szCs w:val="20"/>
          <w:color w:val="auto"/>
        </w:rPr>
      </w:pPr>
    </w:p>
    <w:p>
      <w:pPr>
        <w:ind w:left="700" w:right="120" w:hanging="356"/>
        <w:spacing w:after="0" w:line="277" w:lineRule="auto"/>
        <w:tabs>
          <w:tab w:leader="none" w:pos="700" w:val="left"/>
        </w:tabs>
        <w:numPr>
          <w:ilvl w:val="0"/>
          <w:numId w:val="33"/>
        </w:numPr>
        <w:rPr>
          <w:rFonts w:ascii="Arial" w:cs="Arial" w:eastAsia="Arial" w:hAnsi="Arial"/>
          <w:sz w:val="18"/>
          <w:szCs w:val="18"/>
          <w:color w:val="005C7D"/>
        </w:rPr>
      </w:pPr>
      <w:r>
        <w:rPr>
          <w:rFonts w:ascii="Arial" w:cs="Arial" w:eastAsia="Arial" w:hAnsi="Arial"/>
          <w:sz w:val="18"/>
          <w:szCs w:val="18"/>
          <w:color w:val="auto"/>
        </w:rPr>
        <w:t>Our Chief Executive Officer is required to hold L3 stock worth at least 6 times his base salary, while our other executives have ownership requirements ranging from 1.5 to 3 times base salary.</w:t>
      </w:r>
    </w:p>
    <w:p>
      <w:pPr>
        <w:spacing w:after="0" w:line="62" w:lineRule="exact"/>
        <w:rPr>
          <w:rFonts w:ascii="Arial" w:cs="Arial" w:eastAsia="Arial" w:hAnsi="Arial"/>
          <w:sz w:val="18"/>
          <w:szCs w:val="18"/>
          <w:color w:val="005C7D"/>
        </w:rPr>
      </w:pPr>
    </w:p>
    <w:p>
      <w:pPr>
        <w:ind w:left="700" w:right="280" w:hanging="356"/>
        <w:spacing w:after="0" w:line="277" w:lineRule="auto"/>
        <w:tabs>
          <w:tab w:leader="none" w:pos="700" w:val="left"/>
        </w:tabs>
        <w:numPr>
          <w:ilvl w:val="0"/>
          <w:numId w:val="33"/>
        </w:numPr>
        <w:rPr>
          <w:rFonts w:ascii="Arial" w:cs="Arial" w:eastAsia="Arial" w:hAnsi="Arial"/>
          <w:sz w:val="18"/>
          <w:szCs w:val="18"/>
          <w:color w:val="005C7D"/>
        </w:rPr>
      </w:pPr>
      <w:r>
        <w:rPr>
          <w:rFonts w:ascii="Arial" w:cs="Arial" w:eastAsia="Arial" w:hAnsi="Arial"/>
          <w:sz w:val="18"/>
          <w:szCs w:val="18"/>
          <w:color w:val="auto"/>
        </w:rPr>
        <w:t>Executives must retain 75% of their net after-tax shares earned from equity awards until their ownership requirement is met.</w:t>
      </w:r>
    </w:p>
    <w:p>
      <w:pPr>
        <w:spacing w:after="0" w:line="62" w:lineRule="exact"/>
        <w:rPr>
          <w:rFonts w:ascii="Arial" w:cs="Arial" w:eastAsia="Arial" w:hAnsi="Arial"/>
          <w:sz w:val="18"/>
          <w:szCs w:val="18"/>
          <w:color w:val="005C7D"/>
        </w:rPr>
      </w:pPr>
    </w:p>
    <w:p>
      <w:pPr>
        <w:ind w:left="700" w:hanging="356"/>
        <w:spacing w:after="0"/>
        <w:tabs>
          <w:tab w:leader="none" w:pos="700" w:val="left"/>
        </w:tabs>
        <w:numPr>
          <w:ilvl w:val="0"/>
          <w:numId w:val="33"/>
        </w:numPr>
        <w:rPr>
          <w:rFonts w:ascii="Arial" w:cs="Arial" w:eastAsia="Arial" w:hAnsi="Arial"/>
          <w:sz w:val="18"/>
          <w:szCs w:val="18"/>
          <w:color w:val="005C7D"/>
        </w:rPr>
      </w:pPr>
      <w:r>
        <w:rPr>
          <w:rFonts w:ascii="Arial" w:cs="Arial" w:eastAsia="Arial" w:hAnsi="Arial"/>
          <w:sz w:val="18"/>
          <w:szCs w:val="18"/>
          <w:color w:val="auto"/>
        </w:rPr>
        <w:t>Stock options, including vested stock options, do not count towards satisfying the ownership requirement.</w:t>
      </w:r>
    </w:p>
    <w:p>
      <w:pPr>
        <w:spacing w:after="0" w:line="117" w:lineRule="exact"/>
        <w:rPr>
          <w:rFonts w:ascii="Arial" w:cs="Arial" w:eastAsia="Arial" w:hAnsi="Arial"/>
          <w:sz w:val="18"/>
          <w:szCs w:val="18"/>
          <w:color w:val="005C7D"/>
        </w:rPr>
      </w:pPr>
    </w:p>
    <w:p>
      <w:pPr>
        <w:ind w:left="700" w:right="240" w:hanging="356"/>
        <w:spacing w:after="0" w:line="277" w:lineRule="auto"/>
        <w:tabs>
          <w:tab w:leader="none" w:pos="700" w:val="left"/>
        </w:tabs>
        <w:numPr>
          <w:ilvl w:val="0"/>
          <w:numId w:val="33"/>
        </w:numPr>
        <w:rPr>
          <w:rFonts w:ascii="Arial" w:cs="Arial" w:eastAsia="Arial" w:hAnsi="Arial"/>
          <w:sz w:val="18"/>
          <w:szCs w:val="18"/>
          <w:color w:val="005C7D"/>
        </w:rPr>
      </w:pPr>
      <w:r>
        <w:rPr>
          <w:rFonts w:ascii="Arial" w:cs="Arial" w:eastAsia="Arial" w:hAnsi="Arial"/>
          <w:sz w:val="18"/>
          <w:szCs w:val="18"/>
          <w:color w:val="auto"/>
        </w:rPr>
        <w:t>Executives are prohibited from reducing their economic exposure to L3 stock through hedging or pledging transactions, regardless of whether they own more than their ownership requirement.</w:t>
      </w:r>
    </w:p>
    <w:p>
      <w:pPr>
        <w:spacing w:after="0" w:line="11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Our compensation program reflects sound pay practices. </w:t>
      </w:r>
      <w:r>
        <w:rPr>
          <w:rFonts w:ascii="Arial" w:cs="Arial" w:eastAsia="Arial" w:hAnsi="Arial"/>
          <w:sz w:val="18"/>
          <w:szCs w:val="18"/>
          <w:color w:val="auto"/>
        </w:rPr>
        <w:t>In addition to the practices described above, our compensation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reflects the following:</w:t>
      </w:r>
    </w:p>
    <w:p>
      <w:pPr>
        <w:spacing w:after="0" w:line="58" w:lineRule="exact"/>
        <w:rPr>
          <w:sz w:val="20"/>
          <w:szCs w:val="20"/>
          <w:color w:val="auto"/>
        </w:rPr>
      </w:pPr>
    </w:p>
    <w:p>
      <w:pPr>
        <w:ind w:left="700" w:hanging="356"/>
        <w:spacing w:after="0"/>
        <w:tabs>
          <w:tab w:leader="none" w:pos="700" w:val="left"/>
        </w:tabs>
        <w:numPr>
          <w:ilvl w:val="0"/>
          <w:numId w:val="34"/>
        </w:numPr>
        <w:rPr>
          <w:rFonts w:ascii="Arial" w:cs="Arial" w:eastAsia="Arial" w:hAnsi="Arial"/>
          <w:sz w:val="18"/>
          <w:szCs w:val="18"/>
          <w:color w:val="005C7D"/>
        </w:rPr>
      </w:pPr>
      <w:r>
        <w:rPr>
          <w:rFonts w:ascii="Arial" w:cs="Arial" w:eastAsia="Arial" w:hAnsi="Arial"/>
          <w:sz w:val="18"/>
          <w:szCs w:val="18"/>
          <w:color w:val="auto"/>
        </w:rPr>
        <w:t>Our perquisites are modest.</w:t>
      </w:r>
    </w:p>
    <w:p>
      <w:pPr>
        <w:spacing w:after="0" w:line="117" w:lineRule="exact"/>
        <w:rPr>
          <w:rFonts w:ascii="Arial" w:cs="Arial" w:eastAsia="Arial" w:hAnsi="Arial"/>
          <w:sz w:val="18"/>
          <w:szCs w:val="18"/>
          <w:color w:val="005C7D"/>
        </w:rPr>
      </w:pPr>
    </w:p>
    <w:p>
      <w:pPr>
        <w:ind w:left="700" w:hanging="356"/>
        <w:spacing w:after="0"/>
        <w:tabs>
          <w:tab w:leader="none" w:pos="700" w:val="left"/>
        </w:tabs>
        <w:numPr>
          <w:ilvl w:val="0"/>
          <w:numId w:val="34"/>
        </w:numPr>
        <w:rPr>
          <w:rFonts w:ascii="Arial" w:cs="Arial" w:eastAsia="Arial" w:hAnsi="Arial"/>
          <w:sz w:val="18"/>
          <w:szCs w:val="18"/>
          <w:color w:val="005C7D"/>
        </w:rPr>
      </w:pPr>
      <w:r>
        <w:rPr>
          <w:rFonts w:ascii="Arial" w:cs="Arial" w:eastAsia="Arial" w:hAnsi="Arial"/>
          <w:sz w:val="18"/>
          <w:szCs w:val="18"/>
          <w:color w:val="auto"/>
        </w:rPr>
        <w:t>We do not provide any tax reimbursements or “gross-ups” on severance or change in control payments.</w:t>
      </w:r>
    </w:p>
    <w:p>
      <w:pPr>
        <w:spacing w:after="0" w:line="117" w:lineRule="exact"/>
        <w:rPr>
          <w:rFonts w:ascii="Arial" w:cs="Arial" w:eastAsia="Arial" w:hAnsi="Arial"/>
          <w:sz w:val="18"/>
          <w:szCs w:val="18"/>
          <w:color w:val="005C7D"/>
        </w:rPr>
      </w:pPr>
    </w:p>
    <w:p>
      <w:pPr>
        <w:ind w:left="700" w:hanging="356"/>
        <w:spacing w:after="0"/>
        <w:tabs>
          <w:tab w:leader="none" w:pos="700" w:val="left"/>
        </w:tabs>
        <w:numPr>
          <w:ilvl w:val="0"/>
          <w:numId w:val="34"/>
        </w:numPr>
        <w:rPr>
          <w:rFonts w:ascii="Arial" w:cs="Arial" w:eastAsia="Arial" w:hAnsi="Arial"/>
          <w:sz w:val="17"/>
          <w:szCs w:val="17"/>
          <w:color w:val="005C7D"/>
        </w:rPr>
      </w:pPr>
      <w:r>
        <w:rPr>
          <w:rFonts w:ascii="Arial" w:cs="Arial" w:eastAsia="Arial" w:hAnsi="Arial"/>
          <w:sz w:val="17"/>
          <w:szCs w:val="17"/>
          <w:color w:val="auto"/>
        </w:rPr>
        <w:t>Our equity plans prohibit repricings of stock options or other equity-based awards without shareholder approval.</w:t>
      </w:r>
    </w:p>
    <w:p>
      <w:pPr>
        <w:spacing w:after="0" w:line="128" w:lineRule="exact"/>
        <w:rPr>
          <w:rFonts w:ascii="Arial" w:cs="Arial" w:eastAsia="Arial" w:hAnsi="Arial"/>
          <w:sz w:val="17"/>
          <w:szCs w:val="17"/>
          <w:color w:val="005C7D"/>
        </w:rPr>
      </w:pPr>
    </w:p>
    <w:p>
      <w:pPr>
        <w:ind w:left="700" w:hanging="356"/>
        <w:spacing w:after="0"/>
        <w:tabs>
          <w:tab w:leader="none" w:pos="700" w:val="left"/>
        </w:tabs>
        <w:numPr>
          <w:ilvl w:val="0"/>
          <w:numId w:val="34"/>
        </w:numPr>
        <w:rPr>
          <w:rFonts w:ascii="Arial" w:cs="Arial" w:eastAsia="Arial" w:hAnsi="Arial"/>
          <w:sz w:val="18"/>
          <w:szCs w:val="18"/>
          <w:color w:val="005C7D"/>
        </w:rPr>
      </w:pPr>
      <w:r>
        <w:rPr>
          <w:rFonts w:ascii="Arial" w:cs="Arial" w:eastAsia="Arial" w:hAnsi="Arial"/>
          <w:sz w:val="18"/>
          <w:szCs w:val="18"/>
          <w:color w:val="auto"/>
        </w:rPr>
        <w:t>We do not pay dividends on stock options, or on other equity-based awards prior to vesting.</w:t>
      </w:r>
    </w:p>
    <w:p>
      <w:pPr>
        <w:spacing w:after="0" w:line="117" w:lineRule="exact"/>
        <w:rPr>
          <w:rFonts w:ascii="Arial" w:cs="Arial" w:eastAsia="Arial" w:hAnsi="Arial"/>
          <w:sz w:val="18"/>
          <w:szCs w:val="18"/>
          <w:color w:val="005C7D"/>
        </w:rPr>
      </w:pPr>
    </w:p>
    <w:p>
      <w:pPr>
        <w:ind w:left="700" w:hanging="356"/>
        <w:spacing w:after="0"/>
        <w:tabs>
          <w:tab w:leader="none" w:pos="700" w:val="left"/>
        </w:tabs>
        <w:numPr>
          <w:ilvl w:val="0"/>
          <w:numId w:val="34"/>
        </w:numPr>
        <w:rPr>
          <w:rFonts w:ascii="Arial" w:cs="Arial" w:eastAsia="Arial" w:hAnsi="Arial"/>
          <w:sz w:val="17"/>
          <w:szCs w:val="17"/>
          <w:color w:val="005C7D"/>
        </w:rPr>
      </w:pPr>
      <w:r>
        <w:rPr>
          <w:rFonts w:ascii="Arial" w:cs="Arial" w:eastAsia="Arial" w:hAnsi="Arial"/>
          <w:sz w:val="17"/>
          <w:szCs w:val="17"/>
          <w:color w:val="auto"/>
        </w:rPr>
        <w:t>Our retirement plans only provide age or service credit for years worked with L3 and its predecessor companies.</w:t>
      </w:r>
    </w:p>
    <w:p>
      <w:pPr>
        <w:spacing w:after="0" w:line="277" w:lineRule="exact"/>
        <w:rPr>
          <w:sz w:val="20"/>
          <w:szCs w:val="20"/>
          <w:color w:val="auto"/>
        </w:rPr>
      </w:pPr>
    </w:p>
    <w:p>
      <w:pPr>
        <w:ind w:left="7820"/>
        <w:spacing w:after="0"/>
        <w:tabs>
          <w:tab w:leader="none" w:pos="932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6071870" cy="43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-107315</wp:posOffset>
            </wp:positionV>
            <wp:extent cx="163195"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005C7D"/>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2" w:lineRule="exact"/>
        <w:rPr>
          <w:sz w:val="20"/>
          <w:szCs w:val="20"/>
          <w:color w:val="auto"/>
        </w:rPr>
      </w:pPr>
    </w:p>
    <w:p>
      <w:pPr>
        <w:spacing w:after="0" w:line="276" w:lineRule="auto"/>
        <w:rPr>
          <w:rFonts w:ascii="Arial" w:cs="Arial" w:eastAsia="Arial" w:hAnsi="Arial"/>
          <w:sz w:val="17"/>
          <w:szCs w:val="17"/>
          <w:color w:val="auto"/>
        </w:rPr>
      </w:pPr>
      <w:r>
        <w:rPr>
          <w:rFonts w:ascii="Arial" w:cs="Arial" w:eastAsia="Arial" w:hAnsi="Arial"/>
          <w:sz w:val="17"/>
          <w:szCs w:val="17"/>
          <w:color w:val="auto"/>
        </w:rPr>
        <w:t xml:space="preserve">We believe that the information disclosed in this Proxy Statement demonstrates that our executive compensation program is well-designed and is working as intended. In accordance with the requirements of Section 14A of the Securities Exchange Act of 1934, as amended (the “Exchange Act”), and the related rules of the SEC, we are submitting for shareholder consideration the following resolution to approve, in a non-binding, advisory vote, the compensation paid to our named executive officers for fiscal 2016 as disclosed beginning on page </w:t>
      </w:r>
      <w:hyperlink w:anchor="page45">
        <w:r>
          <w:rPr>
            <w:rFonts w:ascii="Arial" w:cs="Arial" w:eastAsia="Arial" w:hAnsi="Arial"/>
            <w:sz w:val="17"/>
            <w:szCs w:val="17"/>
            <w:u w:val="single" w:color="auto"/>
            <w:color w:val="0000EE"/>
          </w:rPr>
          <w:t>39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Proxy Statement:</w:t>
      </w:r>
    </w:p>
    <w:p>
      <w:pPr>
        <w:spacing w:after="0" w:line="119" w:lineRule="exact"/>
        <w:rPr>
          <w:sz w:val="20"/>
          <w:szCs w:val="20"/>
          <w:color w:val="auto"/>
        </w:rPr>
      </w:pPr>
    </w:p>
    <w:p>
      <w:pPr>
        <w:jc w:val="both"/>
        <w:ind w:left="1080" w:right="220"/>
        <w:spacing w:after="0" w:line="264" w:lineRule="auto"/>
        <w:rPr>
          <w:sz w:val="20"/>
          <w:szCs w:val="20"/>
          <w:color w:val="auto"/>
        </w:rPr>
      </w:pPr>
      <w:r>
        <w:rPr>
          <w:rFonts w:ascii="Arial" w:cs="Arial" w:eastAsia="Arial" w:hAnsi="Arial"/>
          <w:sz w:val="18"/>
          <w:szCs w:val="18"/>
          <w:color w:val="auto"/>
        </w:rPr>
        <w:t>“RESOLVED, that the compensation paid to the company’s named executive officers, as disclosed in this Proxy Statement pursuant to the rules of the SEC, including the Compensation Discussion and Analysis, compensation tables and any related narrative discussion, is hereby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53340</wp:posOffset>
            </wp:positionV>
            <wp:extent cx="6075680" cy="3644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75680" cy="364490"/>
                    </a:xfrm>
                    <a:prstGeom prst="rect">
                      <a:avLst/>
                    </a:prstGeom>
                    <a:noFill/>
                  </pic:spPr>
                </pic:pic>
              </a:graphicData>
            </a:graphic>
          </wp:anchor>
        </w:drawing>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005C7D"/>
        </w:rPr>
        <w:t>The Board of Directors recommends a vote FOR approval of</w:t>
      </w:r>
    </w:p>
    <w:p>
      <w:pPr>
        <w:spacing w:after="0" w:line="22"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005C7D"/>
        </w:rPr>
        <w:t>the compensation paid to our named executive officers.</w:t>
      </w:r>
    </w:p>
    <w:p>
      <w:pPr>
        <w:spacing w:after="0" w:line="326"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005C7D"/>
        </w:rPr>
        <w:t>22</w:t>
      </w:r>
      <w:r>
        <w:rPr>
          <w:sz w:val="20"/>
          <w:szCs w:val="20"/>
          <w:color w:val="auto"/>
        </w:rPr>
        <w:tab/>
      </w: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6071870" cy="431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-106045</wp:posOffset>
            </wp:positionV>
            <wp:extent cx="154305"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380"/>
          </w:cols>
          <w:pgMar w:left="1180" w:top="279" w:right="1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98" w:lineRule="exact"/>
        <w:rPr>
          <w:sz w:val="20"/>
          <w:szCs w:val="20"/>
          <w:color w:val="auto"/>
        </w:rPr>
      </w:pPr>
    </w:p>
    <w:p>
      <w:pPr>
        <w:ind w:right="720"/>
        <w:spacing w:after="0" w:line="266" w:lineRule="auto"/>
        <w:rPr>
          <w:sz w:val="20"/>
          <w:szCs w:val="20"/>
          <w:color w:val="auto"/>
        </w:rPr>
      </w:pPr>
      <w:r>
        <w:rPr>
          <w:rFonts w:ascii="Arial" w:cs="Arial" w:eastAsia="Arial" w:hAnsi="Arial"/>
          <w:sz w:val="18"/>
          <w:szCs w:val="18"/>
          <w:b w:val="1"/>
          <w:bCs w:val="1"/>
          <w:color w:val="auto"/>
        </w:rPr>
        <w:t>PROPOSAL 6 – ADVISORY (NON-BINDING) VOTE ON THE FREQUENCY OF SHAREHOLDER VOTES ON EXECUTIVE COMPENSATION</w:t>
      </w:r>
    </w:p>
    <w:p>
      <w:pPr>
        <w:spacing w:after="0" w:line="112" w:lineRule="exact"/>
        <w:rPr>
          <w:sz w:val="20"/>
          <w:szCs w:val="20"/>
          <w:color w:val="auto"/>
        </w:rPr>
      </w:pPr>
    </w:p>
    <w:p>
      <w:pPr>
        <w:ind w:right="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In accordance with the requirements of Section 14A of the Exchange Act (which was added by the Dodd-Frank Wall Street Reform and Consumer Protection Act) and the related rules of the SEC, we are submitting for shareholder consideration a proposal to determine, in a non-binding advisory vote, whether a shareholder vote to approve the compensation paid to our named executive officers (that is, votes similar to the non-binding, advisory vote in Proposal 5 on page </w:t>
      </w:r>
      <w:hyperlink w:anchor="page27">
        <w:r>
          <w:rPr>
            <w:rFonts w:ascii="Arial" w:cs="Arial" w:eastAsia="Arial" w:hAnsi="Arial"/>
            <w:sz w:val="18"/>
            <w:szCs w:val="18"/>
            <w:u w:val="single" w:color="auto"/>
            <w:color w:val="0000EE"/>
          </w:rPr>
          <w:t>21</w:t>
        </w:r>
      </w:hyperlink>
      <w:r>
        <w:rPr>
          <w:rFonts w:ascii="Arial" w:cs="Arial" w:eastAsia="Arial" w:hAnsi="Arial"/>
          <w:sz w:val="18"/>
          <w:szCs w:val="18"/>
          <w:color w:val="auto"/>
        </w:rPr>
        <w:t>) should occur every one, two or three years. While the results of the vote are non-binding and advisory in nature, the Board intends to carefully consider the results of this vote.</w:t>
      </w:r>
    </w:p>
    <w:p>
      <w:pPr>
        <w:spacing w:after="0" w:line="13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After careful consideration of this proposal, our Board of Directors has determined that an advisory vote on executive compensation that occurs every year is the most appropriate policy for L3 at this time, and, therefore, our Board of Directors recommends that you vote for future advisory votes on executive compensation to occur each year.</w:t>
      </w:r>
    </w:p>
    <w:p>
      <w:pPr>
        <w:spacing w:after="0" w:line="12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formulating its recommendation, our Board of Directors recognized that the Company’s executive compensation programs are designed to promote a long-term connection between pay and performance. However, because executive compensation disclosures are made annually, the Board of Directors considered that an annual advisory vote on executive compensation will allow our shareholders to provide us with their direct input on our compensation philosophy, policies and practices as disclosed in the proxy statement every year. Additionally, an annual advisory vote on executive compensation is consistent with our policy of seeking input from, and engaging in discussions with, our shareholders on corporate governance matters and our executive compensation philosophy, policies and practices. We understand that our shareholders may have different views as to what is the best approach for L3, and we look forward to hearing from our shareholders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52070</wp:posOffset>
            </wp:positionV>
            <wp:extent cx="6075680" cy="5187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75680" cy="518795"/>
                    </a:xfrm>
                    <a:prstGeom prst="rect">
                      <a:avLst/>
                    </a:prstGeom>
                    <a:noFill/>
                  </pic:spPr>
                </pic:pic>
              </a:graphicData>
            </a:graphic>
          </wp:anchor>
        </w:drawing>
      </w:r>
    </w:p>
    <w:p>
      <w:pPr>
        <w:spacing w:after="0" w:line="96" w:lineRule="exact"/>
        <w:rPr>
          <w:sz w:val="20"/>
          <w:szCs w:val="20"/>
          <w:color w:val="auto"/>
        </w:rPr>
      </w:pPr>
    </w:p>
    <w:p>
      <w:pPr>
        <w:jc w:val="center"/>
        <w:ind w:right="20"/>
        <w:spacing w:after="0" w:line="266" w:lineRule="auto"/>
        <w:rPr>
          <w:sz w:val="20"/>
          <w:szCs w:val="20"/>
          <w:color w:val="auto"/>
        </w:rPr>
      </w:pPr>
      <w:r>
        <w:rPr>
          <w:rFonts w:ascii="Arial" w:cs="Arial" w:eastAsia="Arial" w:hAnsi="Arial"/>
          <w:sz w:val="19"/>
          <w:szCs w:val="19"/>
          <w:b w:val="1"/>
          <w:bCs w:val="1"/>
          <w:color w:val="005C7D"/>
        </w:rPr>
        <w:t>The Board of Directors recommends a vote of “ONE YEAR” with respect to the frequency with which shareholders are provided an advisory vote on the compensation paid to our</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05C7D"/>
        </w:rPr>
        <w:t>named executive officers.</w:t>
      </w:r>
    </w:p>
    <w:p>
      <w:pPr>
        <w:spacing w:after="0" w:line="305" w:lineRule="exact"/>
        <w:rPr>
          <w:sz w:val="20"/>
          <w:szCs w:val="20"/>
          <w:color w:val="auto"/>
        </w:rPr>
      </w:pPr>
    </w:p>
    <w:p>
      <w:pPr>
        <w:ind w:left="7820"/>
        <w:spacing w:after="0"/>
        <w:tabs>
          <w:tab w:leader="none" w:pos="932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6071870" cy="43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-107315</wp:posOffset>
            </wp:positionV>
            <wp:extent cx="163195"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005C7D"/>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149860</wp:posOffset>
            </wp:positionV>
            <wp:extent cx="6071870" cy="2057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71870" cy="205740"/>
                    </a:xfrm>
                    <a:prstGeom prst="rect">
                      <a:avLst/>
                    </a:prstGeom>
                    <a:noFill/>
                  </pic:spPr>
                </pic:pic>
              </a:graphicData>
            </a:graphic>
          </wp:anchor>
        </w:drawing>
      </w:r>
    </w:p>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005C7D"/>
        </w:rPr>
        <w:t>THE BOARD OF DIRECTORS AND CERTAIN GOVERNANCE MATTERS</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Board of Directors oversees the management of our business and affairs, as provided by Delaware law, and conducts its business through meetings of the Board of Directors and four standing committees: Audit, Compensation, Nominating/Corporate Governance and Executive Committees. In addition, from time to time, special committees may be established under the direction of the Board of Directors when necessary to address specific issues.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Select Our Leadership Structure</w:t>
      </w:r>
    </w:p>
    <w:p>
      <w:pPr>
        <w:spacing w:after="0" w:line="17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Board structures vary greatly among U.S. public corporations. According to a recent survey, 52% of S&amp;P 500 companies combine the positions of Chief Executive Officer and Chairman, and only 27% of the S&amp;P 500 have an independent chairman. The Board of Directors is of the view that “one-size” does not fit all. One leadership structure is not more effective at creating long-term shareholder value and the decision of whether to combine or separate the positions of Chief Executive Officer and Chairman should vary company to company and depend upon a company’s particular circumstances at a given point in time. The Board of Directors believes that an effective leadership structure could be achieved either by combining or separating the Chief Executive Officer and Chairman positions, if the structure encourages the free and open dialogue of competing views and provides for strong checks and balances. Specifically, an effective governance structure must balance the powers of the Chief Executive Officer and the independent directors and ensure that the independent directors are fully informed, able to discuss and debate the issues that they deem important, and able to provide effective oversight of management.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Leadership Structure</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While L3’s approach regarding its leadership structure has varied depending on what was best for L3 at a particular point in time, the Board of Directors believes that its current structure of combining the roles of Chairman and Chief Executive Officer and electing a strong lead independent director is in the best interest of L3 at this time as it allows for a balance of power between the Chief Executive Officer and the independent directors and provides an environment in which its independent directors are fully informed, have significant input into the content of Board meeting agendas and are able to provide objective and thoughtful oversight of management. The Board also believes that L3’s current leadership structure does not affect the Board’s role in risk oversight of the Company. In addition, the Board of Directors also believes that combining the roles of Chairman and Chief Executive Officer gives L3 the best chance to continue its strong performance over the long term. With the competitive environment as challenging as it is, it continues to be important for L3 to increasingly seek out business opportunities in the international community. In L3’s industry, the Board of Directors believes that access to decision-makers in foreign countries is made easier when the roles of Chairman and Chief Executive Officer are combined as their customs often dictate having comparable titles when conducting negotiations. Moreover, since most of L3’s industry peers have combined the roles of Chairman and Chief Executive Officer, L3 believes that separating such roles would put us at a competitive disadvantage.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 of Our Lead Independent Director</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Board of Directors believes that if the positions of Chief Executive Officer and Chairman are combined, then appointing a lead independent director is necessary for effective governance. Accordingly, the Company’s Corporate Governance Guidelines provide that, in the event the Chief Executive Officer and Chairman positions are combined, the independent members of the Board of Directors will elect a “Lead Independent Director.” The Lead Independent Director focuses on optimizing the Board’s processes and ensuring that the Board is prioritizing the right matters. Specifically, the lead independent director has the following responsibilities (and may also perform other functions at the Board’s request), as clearly set forth in the Company’s Corporate Governance Guidelines:</w:t>
      </w:r>
    </w:p>
    <w:p>
      <w:pPr>
        <w:spacing w:after="0" w:line="77" w:lineRule="exact"/>
        <w:rPr>
          <w:sz w:val="20"/>
          <w:szCs w:val="20"/>
          <w:color w:val="auto"/>
        </w:rPr>
      </w:pPr>
    </w:p>
    <w:p>
      <w:pPr>
        <w:ind w:left="700" w:hanging="356"/>
        <w:spacing w:after="0"/>
        <w:tabs>
          <w:tab w:leader="none" w:pos="700" w:val="left"/>
        </w:tabs>
        <w:numPr>
          <w:ilvl w:val="0"/>
          <w:numId w:val="35"/>
        </w:numPr>
        <w:rPr>
          <w:rFonts w:ascii="Arial" w:cs="Arial" w:eastAsia="Arial" w:hAnsi="Arial"/>
          <w:sz w:val="18"/>
          <w:szCs w:val="18"/>
          <w:color w:val="005C7D"/>
        </w:rPr>
      </w:pPr>
      <w:r>
        <w:rPr>
          <w:rFonts w:ascii="Arial" w:cs="Arial" w:eastAsia="Arial" w:hAnsi="Arial"/>
          <w:sz w:val="18"/>
          <w:szCs w:val="18"/>
          <w:b w:val="1"/>
          <w:bCs w:val="1"/>
          <w:color w:val="auto"/>
        </w:rPr>
        <w:t xml:space="preserve">Board leadership </w:t>
      </w:r>
      <w:r>
        <w:rPr>
          <w:rFonts w:ascii="Arial" w:cs="Arial" w:eastAsia="Arial" w:hAnsi="Arial"/>
          <w:sz w:val="18"/>
          <w:szCs w:val="18"/>
          <w:color w:val="auto"/>
        </w:rPr>
        <w:t>– presides at all meetings of the Board of Directors at which the Chairman is not present;</w:t>
      </w:r>
    </w:p>
    <w:p>
      <w:pPr>
        <w:spacing w:after="0" w:line="117" w:lineRule="exact"/>
        <w:rPr>
          <w:rFonts w:ascii="Arial" w:cs="Arial" w:eastAsia="Arial" w:hAnsi="Arial"/>
          <w:sz w:val="18"/>
          <w:szCs w:val="18"/>
          <w:color w:val="005C7D"/>
        </w:rPr>
      </w:pPr>
    </w:p>
    <w:p>
      <w:pPr>
        <w:ind w:left="700" w:hanging="356"/>
        <w:spacing w:after="0"/>
        <w:tabs>
          <w:tab w:leader="none" w:pos="700" w:val="left"/>
        </w:tabs>
        <w:numPr>
          <w:ilvl w:val="0"/>
          <w:numId w:val="35"/>
        </w:numPr>
        <w:rPr>
          <w:rFonts w:ascii="Arial" w:cs="Arial" w:eastAsia="Arial" w:hAnsi="Arial"/>
          <w:sz w:val="18"/>
          <w:szCs w:val="18"/>
          <w:color w:val="005C7D"/>
        </w:rPr>
      </w:pPr>
      <w:r>
        <w:rPr>
          <w:rFonts w:ascii="Arial" w:cs="Arial" w:eastAsia="Arial" w:hAnsi="Arial"/>
          <w:sz w:val="18"/>
          <w:szCs w:val="18"/>
          <w:b w:val="1"/>
          <w:bCs w:val="1"/>
          <w:color w:val="auto"/>
        </w:rPr>
        <w:t xml:space="preserve">Additional meetings </w:t>
      </w:r>
      <w:r>
        <w:rPr>
          <w:rFonts w:ascii="Arial" w:cs="Arial" w:eastAsia="Arial" w:hAnsi="Arial"/>
          <w:sz w:val="18"/>
          <w:szCs w:val="18"/>
          <w:color w:val="auto"/>
        </w:rPr>
        <w:t>– calls meetings of the independent directors, as needed;</w:t>
      </w:r>
    </w:p>
    <w:p>
      <w:pPr>
        <w:spacing w:after="0" w:line="117" w:lineRule="exact"/>
        <w:rPr>
          <w:rFonts w:ascii="Arial" w:cs="Arial" w:eastAsia="Arial" w:hAnsi="Arial"/>
          <w:sz w:val="18"/>
          <w:szCs w:val="18"/>
          <w:color w:val="005C7D"/>
        </w:rPr>
      </w:pPr>
    </w:p>
    <w:p>
      <w:pPr>
        <w:ind w:left="700" w:right="260" w:hanging="356"/>
        <w:spacing w:after="0" w:line="282" w:lineRule="auto"/>
        <w:tabs>
          <w:tab w:leader="none" w:pos="700" w:val="left"/>
        </w:tabs>
        <w:numPr>
          <w:ilvl w:val="0"/>
          <w:numId w:val="35"/>
        </w:numPr>
        <w:rPr>
          <w:rFonts w:ascii="Arial" w:cs="Arial" w:eastAsia="Arial" w:hAnsi="Arial"/>
          <w:sz w:val="18"/>
          <w:szCs w:val="18"/>
          <w:color w:val="005C7D"/>
        </w:rPr>
      </w:pPr>
      <w:r>
        <w:rPr>
          <w:rFonts w:ascii="Arial" w:cs="Arial" w:eastAsia="Arial" w:hAnsi="Arial"/>
          <w:sz w:val="18"/>
          <w:szCs w:val="18"/>
          <w:b w:val="1"/>
          <w:bCs w:val="1"/>
          <w:color w:val="auto"/>
        </w:rPr>
        <w:t xml:space="preserve">Board agenda, schedule &amp; information </w:t>
      </w:r>
      <w:r>
        <w:rPr>
          <w:rFonts w:ascii="Arial" w:cs="Arial" w:eastAsia="Arial" w:hAnsi="Arial"/>
          <w:sz w:val="18"/>
          <w:szCs w:val="18"/>
          <w:color w:val="auto"/>
        </w:rPr>
        <w:t>– approves schedules, agendas and information sent to Board of Directors for</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meetings;</w:t>
      </w:r>
    </w:p>
    <w:p>
      <w:pPr>
        <w:spacing w:after="0" w:line="53" w:lineRule="exact"/>
        <w:rPr>
          <w:rFonts w:ascii="Arial" w:cs="Arial" w:eastAsia="Arial" w:hAnsi="Arial"/>
          <w:sz w:val="18"/>
          <w:szCs w:val="18"/>
          <w:color w:val="005C7D"/>
        </w:rPr>
      </w:pPr>
    </w:p>
    <w:p>
      <w:pPr>
        <w:ind w:left="700" w:right="740" w:hanging="356"/>
        <w:spacing w:after="0" w:line="282" w:lineRule="auto"/>
        <w:tabs>
          <w:tab w:leader="none" w:pos="700" w:val="left"/>
        </w:tabs>
        <w:numPr>
          <w:ilvl w:val="0"/>
          <w:numId w:val="35"/>
        </w:numPr>
        <w:rPr>
          <w:rFonts w:ascii="Arial" w:cs="Arial" w:eastAsia="Arial" w:hAnsi="Arial"/>
          <w:sz w:val="18"/>
          <w:szCs w:val="18"/>
          <w:color w:val="005C7D"/>
        </w:rPr>
      </w:pPr>
      <w:r>
        <w:rPr>
          <w:rFonts w:ascii="Arial" w:cs="Arial" w:eastAsia="Arial" w:hAnsi="Arial"/>
          <w:sz w:val="18"/>
          <w:szCs w:val="18"/>
          <w:b w:val="1"/>
          <w:bCs w:val="1"/>
          <w:color w:val="auto"/>
        </w:rPr>
        <w:t xml:space="preserve">Board materials </w:t>
      </w:r>
      <w:r>
        <w:rPr>
          <w:rFonts w:ascii="Arial" w:cs="Arial" w:eastAsia="Arial" w:hAnsi="Arial"/>
          <w:sz w:val="18"/>
          <w:szCs w:val="18"/>
          <w:color w:val="auto"/>
        </w:rPr>
        <w:t>– specifically requests the inclusion of certain materials for Board of Directors meetings, when</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w:t>
      </w:r>
    </w:p>
    <w:p>
      <w:pPr>
        <w:spacing w:after="0" w:line="236"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005C7D"/>
        </w:rPr>
        <w:t>24</w:t>
      </w:r>
      <w:r>
        <w:rPr>
          <w:sz w:val="20"/>
          <w:szCs w:val="20"/>
          <w:color w:val="auto"/>
        </w:rPr>
        <w:tab/>
      </w: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6071870" cy="43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-106045</wp:posOffset>
            </wp:positionV>
            <wp:extent cx="154305"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98" w:lineRule="exact"/>
        <w:rPr>
          <w:sz w:val="20"/>
          <w:szCs w:val="20"/>
          <w:color w:val="auto"/>
        </w:rPr>
      </w:pPr>
    </w:p>
    <w:p>
      <w:pPr>
        <w:ind w:left="700" w:right="820" w:hanging="356"/>
        <w:spacing w:after="0" w:line="282" w:lineRule="auto"/>
        <w:tabs>
          <w:tab w:leader="none" w:pos="700" w:val="left"/>
        </w:tabs>
        <w:numPr>
          <w:ilvl w:val="0"/>
          <w:numId w:val="36"/>
        </w:numPr>
        <w:rPr>
          <w:rFonts w:ascii="Arial" w:cs="Arial" w:eastAsia="Arial" w:hAnsi="Arial"/>
          <w:sz w:val="18"/>
          <w:szCs w:val="18"/>
          <w:color w:val="005C7D"/>
        </w:rPr>
      </w:pPr>
      <w:r>
        <w:rPr>
          <w:rFonts w:ascii="Arial" w:cs="Arial" w:eastAsia="Arial" w:hAnsi="Arial"/>
          <w:sz w:val="18"/>
          <w:szCs w:val="18"/>
          <w:b w:val="1"/>
          <w:bCs w:val="1"/>
          <w:color w:val="auto"/>
        </w:rPr>
        <w:t xml:space="preserve">Shareholder communications </w:t>
      </w:r>
      <w:r>
        <w:rPr>
          <w:rFonts w:ascii="Arial" w:cs="Arial" w:eastAsia="Arial" w:hAnsi="Arial"/>
          <w:sz w:val="18"/>
          <w:szCs w:val="18"/>
          <w:color w:val="auto"/>
        </w:rPr>
        <w:t>– make himself available for consultation and direct communication with major</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if requested;</w:t>
      </w:r>
    </w:p>
    <w:p>
      <w:pPr>
        <w:spacing w:after="0" w:line="53" w:lineRule="exact"/>
        <w:rPr>
          <w:rFonts w:ascii="Arial" w:cs="Arial" w:eastAsia="Arial" w:hAnsi="Arial"/>
          <w:sz w:val="18"/>
          <w:szCs w:val="18"/>
          <w:color w:val="005C7D"/>
        </w:rPr>
      </w:pPr>
    </w:p>
    <w:p>
      <w:pPr>
        <w:ind w:left="700" w:right="320" w:hanging="356"/>
        <w:spacing w:after="0" w:line="282" w:lineRule="auto"/>
        <w:tabs>
          <w:tab w:leader="none" w:pos="700" w:val="left"/>
        </w:tabs>
        <w:numPr>
          <w:ilvl w:val="0"/>
          <w:numId w:val="36"/>
        </w:numPr>
        <w:rPr>
          <w:rFonts w:ascii="Arial" w:cs="Arial" w:eastAsia="Arial" w:hAnsi="Arial"/>
          <w:sz w:val="18"/>
          <w:szCs w:val="18"/>
          <w:color w:val="005C7D"/>
        </w:rPr>
      </w:pPr>
      <w:r>
        <w:rPr>
          <w:rFonts w:ascii="Arial" w:cs="Arial" w:eastAsia="Arial" w:hAnsi="Arial"/>
          <w:sz w:val="18"/>
          <w:szCs w:val="18"/>
          <w:b w:val="1"/>
          <w:bCs w:val="1"/>
          <w:color w:val="auto"/>
        </w:rPr>
        <w:t xml:space="preserve">Retention of consultants </w:t>
      </w:r>
      <w:r>
        <w:rPr>
          <w:rFonts w:ascii="Arial" w:cs="Arial" w:eastAsia="Arial" w:hAnsi="Arial"/>
          <w:sz w:val="18"/>
          <w:szCs w:val="18"/>
          <w:color w:val="auto"/>
        </w:rPr>
        <w:t>– recommends, as appropriate, that the Board of Directors retain consultants who will report</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to the Board of Directors; and</w:t>
      </w:r>
    </w:p>
    <w:p>
      <w:pPr>
        <w:spacing w:after="0" w:line="53" w:lineRule="exact"/>
        <w:rPr>
          <w:rFonts w:ascii="Arial" w:cs="Arial" w:eastAsia="Arial" w:hAnsi="Arial"/>
          <w:sz w:val="18"/>
          <w:szCs w:val="18"/>
          <w:color w:val="005C7D"/>
        </w:rPr>
      </w:pPr>
    </w:p>
    <w:p>
      <w:pPr>
        <w:ind w:left="700" w:hanging="356"/>
        <w:spacing w:after="0"/>
        <w:tabs>
          <w:tab w:leader="none" w:pos="700" w:val="left"/>
        </w:tabs>
        <w:numPr>
          <w:ilvl w:val="0"/>
          <w:numId w:val="36"/>
        </w:numPr>
        <w:rPr>
          <w:rFonts w:ascii="Arial" w:cs="Arial" w:eastAsia="Arial" w:hAnsi="Arial"/>
          <w:sz w:val="17"/>
          <w:szCs w:val="17"/>
          <w:color w:val="005C7D"/>
        </w:rPr>
      </w:pPr>
      <w:r>
        <w:rPr>
          <w:rFonts w:ascii="Arial" w:cs="Arial" w:eastAsia="Arial" w:hAnsi="Arial"/>
          <w:sz w:val="17"/>
          <w:szCs w:val="17"/>
          <w:b w:val="1"/>
          <w:bCs w:val="1"/>
          <w:color w:val="auto"/>
        </w:rPr>
        <w:t xml:space="preserve">Chairman-independent director liaison </w:t>
      </w:r>
      <w:r>
        <w:rPr>
          <w:rFonts w:ascii="Arial" w:cs="Arial" w:eastAsia="Arial" w:hAnsi="Arial"/>
          <w:sz w:val="17"/>
          <w:szCs w:val="17"/>
          <w:color w:val="auto"/>
        </w:rPr>
        <w:t>– acts as a liaison between the independent directors and the Chairman.</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Board of Directors believes that the responsibilities delegated to the Lead Independent Director are substantially similar to many of the functions typically fulfilled by a board chairman. The Board of Directors believes that its Lead Independent Director position balances the need for effective and independent oversight of management with the need for strong, unified leadership. The Board of Directors believes that one of the key elements of effective, independent oversight is that the independent directors meet in executive session on a regular basis without the presence of management. Accordingly, in 2016, the independent directors met in executive session eight times with the Lead Independent Director presiding at such meetings.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6071870" cy="16979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71870" cy="1697990"/>
                    </a:xfrm>
                    <a:prstGeom prst="rect">
                      <a:avLst/>
                    </a:prstGeom>
                    <a:noFill/>
                  </pic:spPr>
                </pic:pic>
              </a:graphicData>
            </a:graphic>
          </wp:anchor>
        </w:drawing>
      </w:r>
    </w:p>
    <w:p>
      <w:pPr>
        <w:spacing w:after="0" w:line="74" w:lineRule="exact"/>
        <w:rPr>
          <w:sz w:val="20"/>
          <w:szCs w:val="20"/>
          <w:color w:val="auto"/>
        </w:rPr>
      </w:pPr>
    </w:p>
    <w:p>
      <w:pPr>
        <w:ind w:left="40" w:right="5000"/>
        <w:spacing w:after="0" w:line="270" w:lineRule="auto"/>
        <w:rPr>
          <w:sz w:val="20"/>
          <w:szCs w:val="20"/>
          <w:color w:val="auto"/>
        </w:rPr>
      </w:pPr>
      <w:r>
        <w:rPr>
          <w:rFonts w:ascii="Arial" w:cs="Arial" w:eastAsia="Arial" w:hAnsi="Arial"/>
          <w:sz w:val="17"/>
          <w:szCs w:val="17"/>
          <w:color w:val="auto"/>
        </w:rPr>
        <w:t>The Board of Directors has affirmatively determined that no director nominee other than Mr. Strianese, including those who serve on the Audit, Compensation and Nominating/Corporate Governance Committees of the Board of Directors, has a material relationship with us, either directly or as a partner, shareholder or officer of an organization that has a relationship with us. Therefore, all of our director nominees, other than Mr. Strianese, are “independent” under all applicable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433070</wp:posOffset>
            </wp:positionV>
            <wp:extent cx="60718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connection with its determination that Mr. Millard and Professor Canizares are independent directors, the Board of Directors considered the fact that we conducted business: (1) with MIT where Mr. Millard is chair of the MIT Corporation and Professor Canizares is employed as a full time professor, and (2) with Sandia National Laboratories, where Professor Canizares is a consultant. Payments made to or received from MIT and Sandia National Laboratories, as applicable, were less than 1% of their respective annual consolidated gross revenues for their last completed fiscal years. Mr. Millard and Professor Canizares did not have any interest in these transactions and were not involved in decisions regarding L3 with respect to these transactions.</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(Ret.) Dunwoody serves as a director (but not as an executive officer or employee) for a non-profit organization to which we have made charitable contributions. Contributions to this organization did not exceed either $120,000 or 1% of the organization’s annual consolidated gross revenues during its last completed fiscal year and was below the thresholds set forth under our categorical standards of director independence.</w:t>
      </w:r>
    </w:p>
    <w:p>
      <w:pPr>
        <w:spacing w:after="0" w:line="13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addition, the Board of Directors has determined that Professor Canizares and Messrs. Corcoran, Kramer, Pagano and Simon, members of the Audit Committee, and Messrs. Millard and Kramer and General (Ret.) Newton, members of the Compensation Committee, are “independent” in accordance with the NYSE standards applicable to members of the Audit Committee and Compensation Committee, respectively.</w:t>
      </w:r>
    </w:p>
    <w:p>
      <w:pPr>
        <w:spacing w:after="0" w:line="13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Board of Directors has adopted Corporate Governance Guidelines that meet the independence standards of the NYSE. Also, as part of our Corporate Governance Guidelines, the Board of Directors has adopted categorical standards to assist it in evaluating the independence of each of its directors. The categorical standards are intended to assist the Board of Directors in determining whether or not certain relationships between our directors and us, either directly or as a partner, shareholder or officer of an organization that has a relationship with us, are “material relationships” for purposes of the NYSE independence standards. The categorical standards establish thresholds at which such relationships are deemed not to be material. Our Corporate Governance Guidelines, which include our categorical standards of independence, can be obtained through our website at http://www.L3T.com.</w:t>
      </w:r>
    </w:p>
    <w:p>
      <w:pPr>
        <w:spacing w:after="0" w:line="208" w:lineRule="exact"/>
        <w:rPr>
          <w:sz w:val="20"/>
          <w:szCs w:val="20"/>
          <w:color w:val="auto"/>
        </w:rPr>
      </w:pPr>
    </w:p>
    <w:p>
      <w:pPr>
        <w:ind w:left="7820"/>
        <w:spacing w:after="0"/>
        <w:tabs>
          <w:tab w:leader="none" w:pos="932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6071870"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-107315</wp:posOffset>
            </wp:positionV>
            <wp:extent cx="163195"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005C7D"/>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Directors are expected to attend board meetings and meetings of the committees on which they serve, to spend the time needed, and to meet as frequently as necessary, in order to properly discharge their responsibilities. In addition, to the extent reasonably practicable, directors are expected to attend shareholder meetings. During the fiscal year ended December 31, 2016, the Board of Directors held eight meetings. Each director attended at least 75% of the combined number of meetings of the Board of Directors and meetings of committees on which he or she served during the period in 2016 in which he or she served as a director or member of such committee, as applicable. All of our directors attended the 2016 Annual Meeting in person. In accordance with applicable NYSE listing requirements, our independent directors hold regular executive sessions at which management, including the Chairman and Chief Executive Officer, is not present. Mr. Millard, our Lead Independent Director of the Board of Directors, presides at the regularly held executive sessions of the independent directors.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COMPOSITION</w:t>
      </w:r>
    </w:p>
    <w:p>
      <w:pPr>
        <w:spacing w:after="0" w:line="17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Board and the Nominating/Corporate Governance Committee takes a long-term approach to the composition of the Board of Directors. Since 2011, four new directors have joined the Board. We believe that our Board’s blend of tenure strikes a balance that provides superior Company, regulatory and industry knowledge, while executing effective oversight and independence in the best interests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24765</wp:posOffset>
            </wp:positionV>
            <wp:extent cx="4279265" cy="24180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279265"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Board of Directors seeks to ensure that the Board is composed of members whose particular experience, qualifications, attributes and skills, when taken together, will allow the Board of Directors to satisfy its oversight responsibilities effectively. In that regard, the Nominating/Corporate Governance Committee is responsible for recommending candidates for all directorships to be filled by the Board of Directors or by the shareholders at an annual or special meeting. In identifying candidates for membership on the Board of Directors, the Nominating/Corporate Governance Committee takes into account (1) minimum individual qualifications, such as strength of character, mature judgment, industry knowledge or experience and an ability to work collegially with the other members of the Board of Directors, and (2) all other factors it considers appropriate.</w:t>
      </w:r>
    </w:p>
    <w:p>
      <w:pPr>
        <w:spacing w:after="0" w:line="12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Although the Board of Directors does not have a formal policy with regard to the consideration of diversity in identifying director nominees, among the many factors that the Nominating/Corporate Governance Committee carefully considers are the benefits to the Company of diversity, including gender and racial diversity, in board composition. Women and minority candidates are included in every pool from which board nominees are chosen, and our director searches also include nominees from non-traditional environments, including military, government and academia. Thirty percent of our Board is currently comprised of female or minority directors, including one female, one African-American and one Cuban-American.</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part of its recurring activities, the Nominating/Corporate Governance Committee seeks to identify qualified candidates to sit on the Board of Directors. To identify and recruit qualified candidates for the Board, the Nominating/Corporate Governance Committee has previously utilized the services of professional search firms and has also sought referrals from other members of the Board, management, shareholders and other sources. After conducting an initial evaluation of a candidate, one or more members of the Nominating/Corporate Governance Committee will interview that candidate if the Nominating/Corporate</w:t>
      </w:r>
    </w:p>
    <w:p>
      <w:pPr>
        <w:spacing w:after="0" w:line="242"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005C7D"/>
        </w:rPr>
        <w:t>26</w:t>
      </w:r>
      <w:r>
        <w:rPr>
          <w:sz w:val="20"/>
          <w:szCs w:val="20"/>
          <w:color w:val="auto"/>
        </w:rPr>
        <w:tab/>
      </w: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390525</wp:posOffset>
            </wp:positionV>
            <wp:extent cx="6071870" cy="431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-106045</wp:posOffset>
            </wp:positionV>
            <wp:extent cx="154305"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4305" cy="163195"/>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2"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Governance Committee believes the candidate might be suitable to be a director and may also ask the candidate to meet with other directors and management. If the Nominating/Corporate Governance Committee believes a candidate would be a valuable addition to the Board of Directors, it will recommend to the full Board of Directors that candidate’s election.</w:t>
      </w:r>
    </w:p>
    <w:p>
      <w:pPr>
        <w:spacing w:after="0" w:line="11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Nominating/Corporate Governance Committee will consider candidates for nomination as a director recommended by shareholders, directors, officers, third party search firms and other sources.</w:t>
      </w:r>
    </w:p>
    <w:p>
      <w:pPr>
        <w:spacing w:after="0" w:line="116" w:lineRule="exact"/>
        <w:rPr>
          <w:sz w:val="20"/>
          <w:szCs w:val="20"/>
          <w:color w:val="auto"/>
        </w:rPr>
      </w:pPr>
    </w:p>
    <w:p>
      <w:pPr>
        <w:ind w:right="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Nominating/Corporate Governance Committee will review all candidates for director in the same manner, regardless of the source of the recommendation. Individuals recommended by shareholders for nomination as a director will be considered in accordance with the procedures described under “Questions and Answers About Board Communications, Company Documents and Shareholder Proposals” on page </w:t>
      </w:r>
      <w:hyperlink w:anchor="page93">
        <w:r>
          <w:rPr>
            <w:rFonts w:ascii="Arial" w:cs="Arial" w:eastAsia="Arial" w:hAnsi="Arial"/>
            <w:sz w:val="18"/>
            <w:szCs w:val="18"/>
            <w:u w:val="single" w:color="auto"/>
            <w:color w:val="0000EE"/>
          </w:rPr>
          <w:t>87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w:t>
      </w:r>
    </w:p>
    <w:p>
      <w:pPr>
        <w:spacing w:after="0" w:line="133" w:lineRule="exact"/>
        <w:rPr>
          <w:sz w:val="20"/>
          <w:szCs w:val="20"/>
          <w:color w:val="auto"/>
        </w:rPr>
      </w:pPr>
    </w:p>
    <w:p>
      <w:pPr>
        <w:ind w:right="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When considering whether the Board’s directors and nominees have the experience, qualifications, attributes and skills, taken as a whole, to enable the Board of Directors to satisfy its oversight responsibilities effectively in light of L3’s business and structure, the Board of Directors focused primarily on results of the annual Board and committee evaluations and on the information discussed in each of the Board members’ or nominees’ biographical information set forth on pages </w:t>
      </w:r>
      <w:hyperlink w:anchor="page16">
        <w:r>
          <w:rPr>
            <w:rFonts w:ascii="Arial" w:cs="Arial" w:eastAsia="Arial" w:hAnsi="Arial"/>
            <w:sz w:val="18"/>
            <w:szCs w:val="18"/>
            <w:u w:val="single" w:color="auto"/>
            <w:color w:val="0000EE"/>
          </w:rPr>
          <w:t>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w:t>
      </w:r>
      <w:hyperlink w:anchor="page16">
        <w:r>
          <w:rPr>
            <w:rFonts w:ascii="Arial" w:cs="Arial" w:eastAsia="Arial" w:hAnsi="Arial"/>
            <w:sz w:val="18"/>
            <w:szCs w:val="18"/>
            <w:u w:val="single" w:color="auto"/>
            <w:color w:val="0000EE"/>
          </w:rPr>
          <w:t>15</w:t>
        </w:r>
      </w:hyperlink>
      <w:r>
        <w:rPr>
          <w:rFonts w:ascii="Arial" w:cs="Arial" w:eastAsia="Arial" w:hAnsi="Arial"/>
          <w:sz w:val="18"/>
          <w:szCs w:val="18"/>
          <w:color w:val="auto"/>
        </w:rPr>
        <w:t>. In addition, in connection with the nominations of the current slate of director nominees, the Board of Directors considered their valuable contributions to L3’s success during their years of Board service.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Assessments</w:t>
      </w:r>
    </w:p>
    <w:p>
      <w:pPr>
        <w:spacing w:after="0" w:line="17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Each year, the Nominating/Corporate Governance Committee evaluates each director to obtain his or her assessment of the effectiveness of the Board and the committees. The purpose of these assessments is to identify opportunities for improvement on a number of relevant metrics such as composition, conduct of meetings, relationship between the Board and management, succession planning and strategy and performance. The Chairman of the Nominating/Corporate Governance Committee conducts the evaluation through written questionnaires and one-on-one meetings with individual directors, reviews all of the responses and reports the results to the Nominating/Corporate Governance Committee. The Nominating/Corporate Governance Committee then summarizes the evaluations and identifies areas in which the Board and its committees could improve its performance and discusses its findings with the Board and each of the other committees. The Nominating/Corporate Governance Committee also evaluates the composition of the Board to ensure that its members have the requisite skills, experience and diversity to effectively oversee the business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Board has established various committees to assist it with the performance of its responsibilities. The Board designates the members of these committees and the committee chairs based on the recommendations of the Nominating/Corporate Governance Committee. The chair of each committee develops the agenda for its committee and each committee regularly provides a full report to the Board.</w:t>
      </w:r>
    </w:p>
    <w:p>
      <w:pPr>
        <w:spacing w:after="0" w:line="13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Board has adopted written charters for each of the Audit, Compensation and Nominating/Corporate Governance Committees. These charters are available on the Company’s website at http://www.L3T.com/investor-relations/corporate-governance. The following table summarizes the primary responsibilities of the committees:</w:t>
      </w:r>
    </w:p>
    <w:p>
      <w:pPr>
        <w:spacing w:after="0" w:line="222" w:lineRule="exact"/>
        <w:rPr>
          <w:sz w:val="20"/>
          <w:szCs w:val="20"/>
          <w:color w:val="auto"/>
        </w:rPr>
      </w:pPr>
    </w:p>
    <w:p>
      <w:pPr>
        <w:ind w:left="7820"/>
        <w:spacing w:after="0"/>
        <w:tabs>
          <w:tab w:leader="none" w:pos="932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6071870" cy="431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-107315</wp:posOffset>
            </wp:positionV>
            <wp:extent cx="163195"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005C7D"/>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200" w:type="dxa"/>
            <w:vAlign w:val="bottom"/>
            <w:tcBorders>
              <w:top w:val="single" w:sz="8" w:color="005C7D"/>
              <w:bottom w:val="single" w:sz="8" w:color="005C7D"/>
            </w:tcBorders>
          </w:tcPr>
          <w:p>
            <w:pPr>
              <w:ind w:left="40"/>
              <w:spacing w:after="0"/>
              <w:rPr>
                <w:sz w:val="20"/>
                <w:szCs w:val="20"/>
                <w:color w:val="auto"/>
              </w:rPr>
            </w:pPr>
            <w:r>
              <w:rPr>
                <w:rFonts w:ascii="Arial" w:cs="Arial" w:eastAsia="Arial" w:hAnsi="Arial"/>
                <w:sz w:val="18"/>
                <w:szCs w:val="18"/>
                <w:b w:val="1"/>
                <w:bCs w:val="1"/>
                <w:color w:val="auto"/>
              </w:rPr>
              <w:t>Committee</w:t>
            </w:r>
          </w:p>
        </w:tc>
        <w:tc>
          <w:tcPr>
            <w:tcW w:w="8360" w:type="dxa"/>
            <w:vAlign w:val="bottom"/>
            <w:tcBorders>
              <w:top w:val="single" w:sz="8" w:color="005C7D"/>
              <w:bottom w:val="single" w:sz="8" w:color="005C7D"/>
            </w:tcBorders>
          </w:tcPr>
          <w:p>
            <w:pPr>
              <w:ind w:left="300"/>
              <w:spacing w:after="0"/>
              <w:rPr>
                <w:sz w:val="20"/>
                <w:szCs w:val="20"/>
                <w:color w:val="auto"/>
              </w:rPr>
            </w:pPr>
            <w:r>
              <w:rPr>
                <w:rFonts w:ascii="Arial" w:cs="Arial" w:eastAsia="Arial" w:hAnsi="Arial"/>
                <w:sz w:val="18"/>
                <w:szCs w:val="18"/>
                <w:b w:val="1"/>
                <w:bCs w:val="1"/>
                <w:color w:val="auto"/>
              </w:rPr>
              <w:t>Primary Responsibilities</w:t>
            </w:r>
          </w:p>
        </w:tc>
      </w:tr>
      <w:tr>
        <w:trPr>
          <w:trHeight w:val="228"/>
        </w:trPr>
        <w:tc>
          <w:tcPr>
            <w:tcW w:w="1200" w:type="dxa"/>
            <w:vAlign w:val="bottom"/>
          </w:tcPr>
          <w:p>
            <w:pPr>
              <w:ind w:left="40"/>
              <w:spacing w:after="0"/>
              <w:rPr>
                <w:sz w:val="20"/>
                <w:szCs w:val="20"/>
                <w:color w:val="auto"/>
              </w:rPr>
            </w:pPr>
            <w:r>
              <w:rPr>
                <w:rFonts w:ascii="Arial" w:cs="Arial" w:eastAsia="Arial" w:hAnsi="Arial"/>
                <w:sz w:val="18"/>
                <w:szCs w:val="18"/>
                <w:color w:val="auto"/>
              </w:rPr>
              <w:t>Audit</w:t>
            </w:r>
          </w:p>
        </w:tc>
        <w:tc>
          <w:tcPr>
            <w:tcW w:w="8360" w:type="dxa"/>
            <w:vAlign w:val="bottom"/>
          </w:tcPr>
          <w:p>
            <w:pPr>
              <w:ind w:left="300"/>
              <w:spacing w:after="0"/>
              <w:rPr>
                <w:sz w:val="20"/>
                <w:szCs w:val="20"/>
                <w:color w:val="auto"/>
              </w:rPr>
            </w:pPr>
            <w:r>
              <w:rPr>
                <w:rFonts w:ascii="Arial" w:cs="Arial" w:eastAsia="Arial" w:hAnsi="Arial"/>
                <w:sz w:val="18"/>
                <w:szCs w:val="18"/>
                <w:color w:val="auto"/>
              </w:rPr>
              <w:t>The Audit Committee is generally responsible for, among other things: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6071870" cy="70923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71870" cy="7092315"/>
                    </a:xfrm>
                    <a:prstGeom prst="rect">
                      <a:avLst/>
                    </a:prstGeom>
                    <a:noFill/>
                  </pic:spPr>
                </pic:pic>
              </a:graphicData>
            </a:graphic>
          </wp:anchor>
        </w:drawing>
      </w:r>
    </w:p>
    <w:p>
      <w:pPr>
        <w:spacing w:after="0" w:line="208" w:lineRule="exact"/>
        <w:rPr>
          <w:sz w:val="20"/>
          <w:szCs w:val="20"/>
          <w:color w:val="auto"/>
        </w:rPr>
      </w:pPr>
    </w:p>
    <w:p>
      <w:pPr>
        <w:ind w:left="2160" w:right="440" w:hanging="422"/>
        <w:spacing w:after="0" w:line="266" w:lineRule="auto"/>
        <w:tabs>
          <w:tab w:leader="none" w:pos="2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selecting, appointing, compensating, retaining and terminating our independent registered public accounting firm;</w:t>
      </w:r>
    </w:p>
    <w:p>
      <w:pPr>
        <w:ind w:left="2160" w:right="220" w:hanging="422"/>
        <w:spacing w:after="0" w:line="273" w:lineRule="auto"/>
        <w:tabs>
          <w:tab w:leader="none" w:pos="21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overseeing the auditing work of any independent registered public accounting firm employed by us, including the resolution of any disagreements, if any, between management and the independent registered public accounting firm regarding financial reporting, for the purpose of preparing or issuing an audit report or performing other audit, review or attest services;</w:t>
      </w:r>
    </w:p>
    <w:p>
      <w:pPr>
        <w:spacing w:after="0" w:line="1" w:lineRule="exact"/>
        <w:rPr>
          <w:rFonts w:ascii="Arial" w:cs="Arial" w:eastAsia="Arial" w:hAnsi="Arial"/>
          <w:sz w:val="17"/>
          <w:szCs w:val="17"/>
          <w:color w:val="auto"/>
        </w:rPr>
      </w:pPr>
    </w:p>
    <w:p>
      <w:pPr>
        <w:ind w:left="2160" w:right="300" w:hanging="422"/>
        <w:spacing w:after="0" w:line="266" w:lineRule="auto"/>
        <w:tabs>
          <w:tab w:leader="none" w:pos="2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pre-approving audit, other audit, audit-related and permitted non-audit services to be performed by the independent registered public accounting firm and related fees;</w:t>
      </w:r>
    </w:p>
    <w:p>
      <w:pPr>
        <w:jc w:val="both"/>
        <w:ind w:left="2160" w:right="200" w:hanging="422"/>
        <w:spacing w:after="0" w:line="299" w:lineRule="auto"/>
        <w:tabs>
          <w:tab w:leader="none" w:pos="21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meeting with our independent registered public accounting firm to review the proposed scope of the annual audit of our financial statements and to discuss such other matters that it deems appropriate;</w:t>
      </w:r>
    </w:p>
    <w:p>
      <w:pPr>
        <w:ind w:left="2160" w:right="600" w:hanging="422"/>
        <w:spacing w:after="0" w:line="266" w:lineRule="auto"/>
        <w:tabs>
          <w:tab w:leader="none" w:pos="2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the findings of the independent registered public accounting firm with respect to the annual audit;</w:t>
      </w:r>
    </w:p>
    <w:p>
      <w:pPr>
        <w:ind w:left="2160" w:right="120" w:hanging="422"/>
        <w:spacing w:after="0" w:line="260" w:lineRule="auto"/>
        <w:tabs>
          <w:tab w:leader="none" w:pos="2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meeting to review and discuss with management and the independent registered public accounting firm our periodic financial reports prior to our filing them with the SEC and reporting annually to the Board of Directors with respect to such matters;</w:t>
      </w:r>
    </w:p>
    <w:p>
      <w:pPr>
        <w:spacing w:after="0" w:line="2" w:lineRule="exact"/>
        <w:rPr>
          <w:rFonts w:ascii="Arial" w:cs="Arial" w:eastAsia="Arial" w:hAnsi="Arial"/>
          <w:sz w:val="18"/>
          <w:szCs w:val="18"/>
          <w:color w:val="auto"/>
        </w:rPr>
      </w:pPr>
    </w:p>
    <w:p>
      <w:pPr>
        <w:ind w:left="2160" w:right="540" w:hanging="422"/>
        <w:spacing w:after="0" w:line="293" w:lineRule="auto"/>
        <w:tabs>
          <w:tab w:leader="none" w:pos="21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reviewing with our financial and accounting management, the independent registered public accounting firm and internal auditor the adequacy and effectiveness of our internal control over financial reporting, financial reporting procedures and disclosure controls and procedures;</w:t>
      </w:r>
    </w:p>
    <w:p>
      <w:pPr>
        <w:spacing w:after="0" w:line="1" w:lineRule="exact"/>
        <w:rPr>
          <w:rFonts w:ascii="Arial" w:cs="Arial" w:eastAsia="Arial" w:hAnsi="Arial"/>
          <w:sz w:val="16"/>
          <w:szCs w:val="16"/>
          <w:color w:val="auto"/>
        </w:rPr>
      </w:pPr>
    </w:p>
    <w:p>
      <w:pPr>
        <w:ind w:left="2160" w:hanging="422"/>
        <w:spacing w:after="0"/>
        <w:tabs>
          <w:tab w:leader="none" w:pos="2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the internal audit function;</w:t>
      </w:r>
    </w:p>
    <w:p>
      <w:pPr>
        <w:spacing w:after="0" w:line="36" w:lineRule="exact"/>
        <w:rPr>
          <w:rFonts w:ascii="Arial" w:cs="Arial" w:eastAsia="Arial" w:hAnsi="Arial"/>
          <w:sz w:val="18"/>
          <w:szCs w:val="18"/>
          <w:color w:val="auto"/>
        </w:rPr>
      </w:pPr>
    </w:p>
    <w:p>
      <w:pPr>
        <w:ind w:left="2160" w:hanging="422"/>
        <w:spacing w:after="0"/>
        <w:tabs>
          <w:tab w:leader="none" w:pos="2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oversight of the Company’s ethics program and all investigations; and</w:t>
      </w:r>
    </w:p>
    <w:p>
      <w:pPr>
        <w:spacing w:after="0" w:line="36" w:lineRule="exact"/>
        <w:rPr>
          <w:rFonts w:ascii="Arial" w:cs="Arial" w:eastAsia="Arial" w:hAnsi="Arial"/>
          <w:sz w:val="18"/>
          <w:szCs w:val="18"/>
          <w:color w:val="auto"/>
        </w:rPr>
      </w:pPr>
    </w:p>
    <w:p>
      <w:pPr>
        <w:ind w:left="2160" w:right="140" w:hanging="422"/>
        <w:spacing w:after="0" w:line="277" w:lineRule="auto"/>
        <w:tabs>
          <w:tab w:leader="none" w:pos="2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reporting to the Board of Directors regarding matters covered at each committee meeting on a timely basis.</w:t>
      </w:r>
    </w:p>
    <w:p>
      <w:pPr>
        <w:spacing w:after="0" w:line="19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In 2016, the Audit Committee held 10 meetings. During 2016, among other things,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917575</wp:posOffset>
            </wp:positionH>
            <wp:positionV relativeFrom="paragraph">
              <wp:posOffset>-123190</wp:posOffset>
            </wp:positionV>
            <wp:extent cx="5154295" cy="3464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54295" cy="3464560"/>
                    </a:xfrm>
                    <a:prstGeom prst="rect">
                      <a:avLst/>
                    </a:prstGeom>
                    <a:noFill/>
                  </pic:spPr>
                </pic:pic>
              </a:graphicData>
            </a:graphic>
          </wp:anchor>
        </w:drawing>
      </w:r>
    </w:p>
    <w:p>
      <w:pPr>
        <w:spacing w:after="0" w:line="244" w:lineRule="exact"/>
        <w:rPr>
          <w:sz w:val="20"/>
          <w:szCs w:val="20"/>
          <w:color w:val="auto"/>
        </w:rPr>
      </w:pPr>
    </w:p>
    <w:p>
      <w:pPr>
        <w:ind w:left="2160" w:right="720" w:hanging="422"/>
        <w:spacing w:after="0" w:line="266" w:lineRule="auto"/>
        <w:tabs>
          <w:tab w:leader="none" w:pos="2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met with the senior members of the Company’s financial management team at each regularly scheduled meeting;</w:t>
      </w:r>
    </w:p>
    <w:p>
      <w:pPr>
        <w:ind w:left="2160" w:right="280" w:hanging="422"/>
        <w:spacing w:after="0" w:line="266" w:lineRule="auto"/>
        <w:tabs>
          <w:tab w:leader="none" w:pos="2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met in executive session with each of the independent auditor, Vice President of Internal Audit and Corporate Ethics Officer;</w:t>
      </w:r>
    </w:p>
    <w:p>
      <w:pPr>
        <w:ind w:left="2160" w:right="260" w:hanging="422"/>
        <w:spacing w:after="0" w:line="260" w:lineRule="auto"/>
        <w:tabs>
          <w:tab w:leader="none" w:pos="2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regularly met with various members of the Company’s ethics organization, including the Corporate Ethics Officer to (i) discuss the effectiveness of the Company’s ethics program and (ii) receive updates on the management training program for supervisors;</w:t>
      </w:r>
    </w:p>
    <w:p>
      <w:pPr>
        <w:spacing w:after="0" w:line="2" w:lineRule="exact"/>
        <w:rPr>
          <w:rFonts w:ascii="Arial" w:cs="Arial" w:eastAsia="Arial" w:hAnsi="Arial"/>
          <w:sz w:val="18"/>
          <w:szCs w:val="18"/>
          <w:color w:val="auto"/>
        </w:rPr>
      </w:pPr>
    </w:p>
    <w:p>
      <w:pPr>
        <w:ind w:left="2160" w:right="200" w:hanging="422"/>
        <w:spacing w:after="0" w:line="260" w:lineRule="auto"/>
        <w:tabs>
          <w:tab w:leader="none" w:pos="2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received periodic updates on management’s evaluation and compliance with, the Company’s system of internal control over financial reporting, and management’s conclusions on the effectiveness of the Company’s internal control over financial reporting;</w:t>
      </w:r>
    </w:p>
    <w:p>
      <w:pPr>
        <w:spacing w:after="0" w:line="2" w:lineRule="exact"/>
        <w:rPr>
          <w:rFonts w:ascii="Arial" w:cs="Arial" w:eastAsia="Arial" w:hAnsi="Arial"/>
          <w:sz w:val="18"/>
          <w:szCs w:val="18"/>
          <w:color w:val="auto"/>
        </w:rPr>
      </w:pPr>
    </w:p>
    <w:p>
      <w:pPr>
        <w:ind w:left="2160" w:right="120" w:hanging="422"/>
        <w:spacing w:after="0" w:line="260" w:lineRule="auto"/>
        <w:tabs>
          <w:tab w:leader="none" w:pos="2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auditors the Company’s earnings releases and quarterly reports on Form 10-Q and annual reports on Form 10-K prior to filing with the SEC;</w:t>
      </w:r>
    </w:p>
    <w:p>
      <w:pPr>
        <w:spacing w:after="0" w:line="2" w:lineRule="exact"/>
        <w:rPr>
          <w:rFonts w:ascii="Arial" w:cs="Arial" w:eastAsia="Arial" w:hAnsi="Arial"/>
          <w:sz w:val="18"/>
          <w:szCs w:val="18"/>
          <w:color w:val="auto"/>
        </w:rPr>
      </w:pPr>
    </w:p>
    <w:p>
      <w:pPr>
        <w:ind w:left="2160" w:right="200" w:hanging="422"/>
        <w:spacing w:after="0" w:line="260" w:lineRule="auto"/>
        <w:tabs>
          <w:tab w:leader="none" w:pos="2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met with the independent auditors and management to review and approve the scope of the audit proposed for 2016 and the audit procedures to be utilized and any subsequent changes to such scope and/or procedures;</w:t>
      </w:r>
    </w:p>
    <w:p>
      <w:pPr>
        <w:spacing w:after="0" w:line="2" w:lineRule="exact"/>
        <w:rPr>
          <w:rFonts w:ascii="Arial" w:cs="Arial" w:eastAsia="Arial" w:hAnsi="Arial"/>
          <w:sz w:val="18"/>
          <w:szCs w:val="18"/>
          <w:color w:val="auto"/>
        </w:rPr>
      </w:pPr>
    </w:p>
    <w:p>
      <w:pPr>
        <w:ind w:left="2160" w:right="240" w:hanging="422"/>
        <w:spacing w:after="0" w:line="266" w:lineRule="auto"/>
        <w:tabs>
          <w:tab w:leader="none" w:pos="2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discussed the Company’s anti-bribery compliance program, network structure, threat landscape and cyber defenses;</w:t>
      </w:r>
    </w:p>
    <w:p>
      <w:pPr>
        <w:ind w:left="2160" w:hanging="422"/>
        <w:spacing w:after="0"/>
        <w:tabs>
          <w:tab w:leader="none" w:pos="2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received regular updates regarding the status of legal and government investigations; and</w:t>
      </w:r>
    </w:p>
    <w:p>
      <w:pPr>
        <w:spacing w:after="0" w:line="36" w:lineRule="exact"/>
        <w:rPr>
          <w:rFonts w:ascii="Arial" w:cs="Arial" w:eastAsia="Arial" w:hAnsi="Arial"/>
          <w:sz w:val="18"/>
          <w:szCs w:val="18"/>
          <w:color w:val="auto"/>
        </w:rPr>
      </w:pPr>
    </w:p>
    <w:p>
      <w:pPr>
        <w:ind w:left="2160" w:right="420" w:hanging="422"/>
        <w:spacing w:after="0" w:line="312" w:lineRule="auto"/>
        <w:tabs>
          <w:tab w:leader="none" w:pos="21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discussed with management the guidelines and policies with respect to risk assessment and risk management including major financial risk exposure, the steps taken to monitor and control such risks and material changes to the Company’s Enterprise Risk Management since they last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0718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24"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005C7D"/>
        </w:rPr>
        <w:t>28</w:t>
      </w:r>
      <w:r>
        <w:rPr>
          <w:sz w:val="20"/>
          <w:szCs w:val="20"/>
          <w:color w:val="auto"/>
        </w:rPr>
        <w:tab/>
      </w: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6071870" cy="431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-106045</wp:posOffset>
            </wp:positionV>
            <wp:extent cx="154305"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280" w:type="dxa"/>
            <w:vAlign w:val="bottom"/>
            <w:tcBorders>
              <w:top w:val="single" w:sz="8" w:color="005C7D"/>
              <w:bottom w:val="single" w:sz="8" w:color="005C7D"/>
            </w:tcBorders>
          </w:tcPr>
          <w:p>
            <w:pPr>
              <w:ind w:left="40"/>
              <w:spacing w:after="0"/>
              <w:rPr>
                <w:sz w:val="20"/>
                <w:szCs w:val="20"/>
                <w:color w:val="auto"/>
              </w:rPr>
            </w:pPr>
            <w:r>
              <w:rPr>
                <w:rFonts w:ascii="Arial" w:cs="Arial" w:eastAsia="Arial" w:hAnsi="Arial"/>
                <w:sz w:val="18"/>
                <w:szCs w:val="18"/>
                <w:b w:val="1"/>
                <w:bCs w:val="1"/>
                <w:color w:val="auto"/>
              </w:rPr>
              <w:t>Committee</w:t>
            </w:r>
          </w:p>
        </w:tc>
        <w:tc>
          <w:tcPr>
            <w:tcW w:w="8280" w:type="dxa"/>
            <w:vAlign w:val="bottom"/>
            <w:tcBorders>
              <w:top w:val="single" w:sz="8" w:color="005C7D"/>
              <w:bottom w:val="single" w:sz="8" w:color="005C7D"/>
            </w:tcBorders>
          </w:tcPr>
          <w:p>
            <w:pPr>
              <w:ind w:left="220"/>
              <w:spacing w:after="0"/>
              <w:rPr>
                <w:sz w:val="20"/>
                <w:szCs w:val="20"/>
                <w:color w:val="auto"/>
              </w:rPr>
            </w:pPr>
            <w:r>
              <w:rPr>
                <w:rFonts w:ascii="Arial" w:cs="Arial" w:eastAsia="Arial" w:hAnsi="Arial"/>
                <w:sz w:val="18"/>
                <w:szCs w:val="18"/>
                <w:b w:val="1"/>
                <w:bCs w:val="1"/>
                <w:color w:val="auto"/>
              </w:rPr>
              <w:t>Primary Responsibilities</w:t>
            </w:r>
          </w:p>
        </w:tc>
      </w:tr>
      <w:tr>
        <w:trPr>
          <w:trHeight w:val="228"/>
        </w:trPr>
        <w:tc>
          <w:tcPr>
            <w:tcW w:w="1280" w:type="dxa"/>
            <w:vAlign w:val="bottom"/>
          </w:tcPr>
          <w:p>
            <w:pPr>
              <w:ind w:left="40"/>
              <w:spacing w:after="0"/>
              <w:rPr>
                <w:sz w:val="20"/>
                <w:szCs w:val="20"/>
                <w:color w:val="auto"/>
              </w:rPr>
            </w:pPr>
            <w:r>
              <w:rPr>
                <w:rFonts w:ascii="Arial" w:cs="Arial" w:eastAsia="Arial" w:hAnsi="Arial"/>
                <w:sz w:val="18"/>
                <w:szCs w:val="18"/>
                <w:color w:val="auto"/>
              </w:rPr>
              <w:t>Compensation</w:t>
            </w:r>
          </w:p>
        </w:tc>
        <w:tc>
          <w:tcPr>
            <w:tcW w:w="8280" w:type="dxa"/>
            <w:vAlign w:val="bottom"/>
          </w:tcPr>
          <w:p>
            <w:pPr>
              <w:ind w:left="220"/>
              <w:spacing w:after="0"/>
              <w:rPr>
                <w:sz w:val="20"/>
                <w:szCs w:val="20"/>
                <w:color w:val="auto"/>
              </w:rPr>
            </w:pPr>
            <w:r>
              <w:rPr>
                <w:rFonts w:ascii="Arial" w:cs="Arial" w:eastAsia="Arial" w:hAnsi="Arial"/>
                <w:sz w:val="18"/>
                <w:szCs w:val="18"/>
                <w:color w:val="auto"/>
              </w:rPr>
              <w:t>The Compensation Committee is generally responsible for, among other things:</w:t>
            </w:r>
          </w:p>
        </w:tc>
      </w:tr>
    </w:tbl>
    <w:p>
      <w:pPr>
        <w:spacing w:after="0" w:line="228" w:lineRule="exact"/>
        <w:rPr>
          <w:sz w:val="20"/>
          <w:szCs w:val="20"/>
          <w:color w:val="auto"/>
        </w:rPr>
      </w:pPr>
    </w:p>
    <w:p>
      <w:pPr>
        <w:ind w:left="2160" w:right="400" w:hanging="422"/>
        <w:spacing w:after="0" w:line="266" w:lineRule="auto"/>
        <w:tabs>
          <w:tab w:leader="none" w:pos="2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Chief Executive Officer’s compensation;</w:t>
      </w:r>
    </w:p>
    <w:p>
      <w:pPr>
        <w:ind w:left="2160" w:right="160" w:hanging="422"/>
        <w:spacing w:after="0" w:line="256" w:lineRule="auto"/>
        <w:tabs>
          <w:tab w:leader="none" w:pos="2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evaluating the performance of the Chief Executive Officer in light of these corporate goals and objectives and, either as a committee or together with other independent directors (as directed by the Board of Directors), determining and approving the annual salary, bonus, equity and equity-based incentives and other benefits, direct and indirect, of the Chief Executive Officer based on such evaluation;</w:t>
      </w:r>
    </w:p>
    <w:p>
      <w:pPr>
        <w:spacing w:after="0" w:line="3" w:lineRule="exact"/>
        <w:rPr>
          <w:rFonts w:ascii="Arial" w:cs="Arial" w:eastAsia="Arial" w:hAnsi="Arial"/>
          <w:sz w:val="18"/>
          <w:szCs w:val="18"/>
          <w:color w:val="auto"/>
        </w:rPr>
      </w:pPr>
    </w:p>
    <w:p>
      <w:pPr>
        <w:ind w:left="2160" w:right="520" w:hanging="422"/>
        <w:spacing w:after="0" w:line="266" w:lineRule="auto"/>
        <w:tabs>
          <w:tab w:leader="none" w:pos="2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approving the annual salary, bonus, equity and equity-based incentives and other benefits, direct and indirect, of the other executive officers;</w:t>
      </w:r>
    </w:p>
    <w:p>
      <w:pPr>
        <w:ind w:left="2160" w:right="620" w:hanging="422"/>
        <w:spacing w:after="0" w:line="266" w:lineRule="auto"/>
        <w:tabs>
          <w:tab w:leader="none" w:pos="2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discussing the results of the shareholder advisory vote on the compensation paid to our named executive officers;</w:t>
      </w:r>
    </w:p>
    <w:p>
      <w:pPr>
        <w:ind w:left="2160" w:right="920" w:hanging="422"/>
        <w:spacing w:after="0" w:line="266" w:lineRule="auto"/>
        <w:tabs>
          <w:tab w:leader="none" w:pos="2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director compensation;</w:t>
      </w:r>
    </w:p>
    <w:p>
      <w:pPr>
        <w:ind w:left="2160" w:right="560" w:hanging="422"/>
        <w:spacing w:after="0" w:line="266" w:lineRule="auto"/>
        <w:tabs>
          <w:tab w:leader="none" w:pos="2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recommending to the Board of Directors, or approving, all equity-based awards, including pursuant to the Company’s equity-based plans;</w:t>
      </w:r>
    </w:p>
    <w:p>
      <w:pPr>
        <w:ind w:left="2160" w:right="200" w:hanging="422"/>
        <w:spacing w:after="0" w:line="276" w:lineRule="auto"/>
        <w:tabs>
          <w:tab w:leader="none" w:pos="21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reviewing and approving, or making recommendations to the Board of Directors with respect to, the Company’s equity-based plans and executive officer incentive compensation plans, and overseeing the activities of the individuals responsible for administering those plans;</w:t>
      </w:r>
    </w:p>
    <w:p>
      <w:pPr>
        <w:ind w:left="2160" w:right="120" w:hanging="422"/>
        <w:spacing w:after="0" w:line="258" w:lineRule="auto"/>
        <w:tabs>
          <w:tab w:leader="none" w:pos="2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discussing with management, on at least an annual basis, management’s assessment of whether risks arising from the Company’s compensation policies and practices for all employees, including non-executive officers, are reasonably likely to have a material adverse effect on the Company;</w:t>
      </w:r>
    </w:p>
    <w:p>
      <w:pPr>
        <w:spacing w:after="0" w:line="1" w:lineRule="exact"/>
        <w:rPr>
          <w:rFonts w:ascii="Arial" w:cs="Arial" w:eastAsia="Arial" w:hAnsi="Arial"/>
          <w:sz w:val="18"/>
          <w:szCs w:val="18"/>
          <w:color w:val="auto"/>
        </w:rPr>
      </w:pPr>
    </w:p>
    <w:p>
      <w:pPr>
        <w:ind w:left="2160" w:right="480" w:hanging="422"/>
        <w:spacing w:after="0" w:line="266" w:lineRule="auto"/>
        <w:tabs>
          <w:tab w:leader="none" w:pos="2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discussing the “Compensation Discussion and Analysis” section contained in this Proxy Statement;</w:t>
      </w:r>
    </w:p>
    <w:p>
      <w:pPr>
        <w:ind w:left="2160" w:right="220" w:hanging="422"/>
        <w:spacing w:after="0" w:line="276" w:lineRule="auto"/>
        <w:tabs>
          <w:tab w:leader="none" w:pos="21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retaining or terminating, as necessary or appropriate, and approving the fees and any other retention terms for, compensation and benefits consultants and other outside consultants, legal counsels or advisors hired to provide independent advice to the committee;</w:t>
      </w:r>
    </w:p>
    <w:p>
      <w:pPr>
        <w:ind w:left="2160" w:right="520" w:hanging="422"/>
        <w:spacing w:after="0" w:line="266" w:lineRule="auto"/>
        <w:tabs>
          <w:tab w:leader="none" w:pos="2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evaluating on at least an annual basis whether any work provided by a compensation consultant retained by the committee raised any conflict of interest; and</w:t>
      </w:r>
    </w:p>
    <w:p>
      <w:pPr>
        <w:ind w:left="2160" w:right="140" w:hanging="422"/>
        <w:spacing w:after="0" w:line="277" w:lineRule="auto"/>
        <w:tabs>
          <w:tab w:leader="none" w:pos="2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reporting to the Board of Directors regarding matters covered at each committee meeting on a timely basis.</w:t>
      </w:r>
    </w:p>
    <w:p>
      <w:pPr>
        <w:spacing w:after="0" w:line="197" w:lineRule="exact"/>
        <w:rPr>
          <w:sz w:val="20"/>
          <w:szCs w:val="20"/>
          <w:color w:val="auto"/>
        </w:rPr>
      </w:pPr>
    </w:p>
    <w:p>
      <w:pPr>
        <w:ind w:left="1500" w:right="200"/>
        <w:spacing w:after="0" w:line="277" w:lineRule="auto"/>
        <w:rPr>
          <w:sz w:val="20"/>
          <w:szCs w:val="20"/>
          <w:color w:val="auto"/>
        </w:rPr>
      </w:pPr>
      <w:r>
        <w:rPr>
          <w:rFonts w:ascii="Arial" w:cs="Arial" w:eastAsia="Arial" w:hAnsi="Arial"/>
          <w:sz w:val="18"/>
          <w:szCs w:val="18"/>
          <w:color w:val="auto"/>
        </w:rPr>
        <w:t>In 2016, the Compensation Committee held 5 meetings. During 2016, among other things, the Compensation Committee:</w:t>
      </w:r>
    </w:p>
    <w:p>
      <w:pPr>
        <w:spacing w:after="0" w:line="197" w:lineRule="exact"/>
        <w:rPr>
          <w:sz w:val="20"/>
          <w:szCs w:val="20"/>
          <w:color w:val="auto"/>
        </w:rPr>
      </w:pPr>
    </w:p>
    <w:p>
      <w:pPr>
        <w:ind w:left="2160" w:right="540" w:hanging="422"/>
        <w:spacing w:after="0" w:line="266" w:lineRule="auto"/>
        <w:tabs>
          <w:tab w:leader="none" w:pos="2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reviewed and approved all elements of target pay for senior executives, including the terms and performance goals for new annual and long-term incentive awards;</w:t>
      </w:r>
    </w:p>
    <w:p>
      <w:pPr>
        <w:ind w:left="2160" w:right="580" w:hanging="422"/>
        <w:spacing w:after="0" w:line="299" w:lineRule="auto"/>
        <w:tabs>
          <w:tab w:leader="none" w:pos="2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assessed historical performance achievements under annual and long-term incentive plans, and reviewed and approved related performance-based payouts to senior executives;</w:t>
      </w:r>
    </w:p>
    <w:p>
      <w:pPr>
        <w:ind w:left="2160" w:right="260" w:hanging="422"/>
        <w:spacing w:after="0" w:line="266" w:lineRule="auto"/>
        <w:tabs>
          <w:tab w:leader="none" w:pos="2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approved equity-based awards for non-executive employees, and evaluated equity plan share usage and share dilution;</w:t>
      </w:r>
    </w:p>
    <w:p>
      <w:pPr>
        <w:ind w:left="2160" w:right="820" w:hanging="422"/>
        <w:spacing w:after="0" w:line="266" w:lineRule="auto"/>
        <w:tabs>
          <w:tab w:leader="none" w:pos="2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evaluated the suitability of the Company’s compensation peer group used to benchmark the Company’s pay programs;</w:t>
      </w:r>
    </w:p>
    <w:p>
      <w:pPr>
        <w:ind w:left="2160" w:right="140" w:hanging="422"/>
        <w:spacing w:after="0" w:line="266" w:lineRule="auto"/>
        <w:tabs>
          <w:tab w:leader="none" w:pos="2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evaluated the Company’s executive and non-employee director compensation programs as compared to peer company pay practices and pay levels;</w:t>
      </w:r>
    </w:p>
    <w:p>
      <w:pPr>
        <w:ind w:left="2160" w:hanging="422"/>
        <w:spacing w:after="0"/>
        <w:tabs>
          <w:tab w:leader="none" w:pos="21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reviewed current and accumulated compensation for named executive officers using tally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60718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84" w:lineRule="exact"/>
        <w:rPr>
          <w:sz w:val="20"/>
          <w:szCs w:val="20"/>
          <w:color w:val="auto"/>
        </w:rPr>
      </w:pPr>
    </w:p>
    <w:p>
      <w:pPr>
        <w:ind w:left="7820"/>
        <w:spacing w:after="0"/>
        <w:tabs>
          <w:tab w:leader="none" w:pos="932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6071870" cy="431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-107315</wp:posOffset>
            </wp:positionV>
            <wp:extent cx="163195"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005C7D"/>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149860</wp:posOffset>
            </wp:positionV>
            <wp:extent cx="60718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25" w:lineRule="exact"/>
        <w:rPr>
          <w:sz w:val="20"/>
          <w:szCs w:val="20"/>
          <w:color w:val="auto"/>
        </w:rPr>
      </w:pPr>
    </w:p>
    <w:p>
      <w:pPr>
        <w:ind w:left="40"/>
        <w:spacing w:after="0"/>
        <w:tabs>
          <w:tab w:leader="none" w:pos="1480" w:val="left"/>
        </w:tabs>
        <w:rPr>
          <w:sz w:val="20"/>
          <w:szCs w:val="20"/>
          <w:color w:val="auto"/>
        </w:rPr>
      </w:pPr>
      <w:r>
        <w:rPr>
          <w:rFonts w:ascii="Arial" w:cs="Arial" w:eastAsia="Arial" w:hAnsi="Arial"/>
          <w:sz w:val="18"/>
          <w:szCs w:val="18"/>
          <w:b w:val="1"/>
          <w:bCs w:val="1"/>
          <w:color w:val="auto"/>
        </w:rPr>
        <w:t>Committee</w:t>
      </w:r>
      <w:r>
        <w:rPr>
          <w:sz w:val="20"/>
          <w:szCs w:val="20"/>
          <w:color w:val="auto"/>
        </w:rPr>
        <w:tab/>
      </w:r>
      <w:r>
        <w:rPr>
          <w:rFonts w:ascii="Arial" w:cs="Arial" w:eastAsia="Arial" w:hAnsi="Arial"/>
          <w:sz w:val="18"/>
          <w:szCs w:val="18"/>
          <w:b w:val="1"/>
          <w:bCs w:val="1"/>
          <w:color w:val="auto"/>
        </w:rPr>
        <w:t>Primary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0718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4" w:lineRule="exact"/>
        <w:rPr>
          <w:sz w:val="20"/>
          <w:szCs w:val="20"/>
          <w:color w:val="auto"/>
        </w:rPr>
      </w:pPr>
    </w:p>
    <w:p>
      <w:pPr>
        <w:ind w:left="2160" w:hanging="422"/>
        <w:spacing w:after="0"/>
        <w:tabs>
          <w:tab w:leader="none" w:pos="2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reviewed executive and non-employee director compliance with stock ownership guidelines;</w:t>
      </w:r>
    </w:p>
    <w:p>
      <w:pPr>
        <w:spacing w:after="0" w:line="36" w:lineRule="exact"/>
        <w:rPr>
          <w:rFonts w:ascii="Arial" w:cs="Arial" w:eastAsia="Arial" w:hAnsi="Arial"/>
          <w:sz w:val="18"/>
          <w:szCs w:val="18"/>
          <w:color w:val="auto"/>
        </w:rPr>
      </w:pPr>
    </w:p>
    <w:p>
      <w:pPr>
        <w:ind w:left="2160" w:hanging="422"/>
        <w:spacing w:after="0"/>
        <w:tabs>
          <w:tab w:leader="none" w:pos="2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reviewed and discussed the 2016 compensation risk assessment with management; and</w:t>
      </w:r>
    </w:p>
    <w:p>
      <w:pPr>
        <w:spacing w:after="0" w:line="36" w:lineRule="exact"/>
        <w:rPr>
          <w:rFonts w:ascii="Arial" w:cs="Arial" w:eastAsia="Arial" w:hAnsi="Arial"/>
          <w:sz w:val="18"/>
          <w:szCs w:val="18"/>
          <w:color w:val="auto"/>
        </w:rPr>
      </w:pPr>
    </w:p>
    <w:p>
      <w:pPr>
        <w:ind w:left="2160" w:right="400" w:hanging="422"/>
        <w:spacing w:after="0" w:line="277" w:lineRule="auto"/>
        <w:tabs>
          <w:tab w:leader="none" w:pos="2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reviewed and discussed the executive compensation disclosures to be included in our 2016 Proxy Statement, including the Compensation Discussion and Analysis.</w:t>
      </w:r>
    </w:p>
    <w:p>
      <w:pPr>
        <w:spacing w:after="0" w:line="197" w:lineRule="exact"/>
        <w:rPr>
          <w:sz w:val="20"/>
          <w:szCs w:val="20"/>
          <w:color w:val="auto"/>
        </w:rPr>
      </w:pPr>
    </w:p>
    <w:p>
      <w:pPr>
        <w:ind w:left="1500" w:right="12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In fulfilling its responsibilities, the Compensation Committee can delegate any or all of its responsibilities to a subcommittee of the committee consisting of two or more members. The Compensation Committee may also delegate to the Chief Executive Officer of the Company the authority to make grants of awards under the Company’s equity-based plans to any person who is not an officer of the Company for purposes of Section 16 of the Securities Exchange Act of 1934, as amended. For a discussion concerning the processes and procedures for considering and determining executive and director compensation and the role of executive officers and compensation consultants in determining or recommending the amount or form of executive and director compensation, see “Compensation Discussion and Analysis” beginning on page </w:t>
      </w:r>
      <w:hyperlink w:anchor="page45">
        <w:r>
          <w:rPr>
            <w:rFonts w:ascii="Arial" w:cs="Arial" w:eastAsia="Arial" w:hAnsi="Arial"/>
            <w:sz w:val="17"/>
            <w:szCs w:val="17"/>
            <w:u w:val="single" w:color="auto"/>
            <w:color w:val="0000EE"/>
          </w:rPr>
          <w:t>39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“Compensation of Directors” beginning on page </w:t>
      </w:r>
      <w:hyperlink w:anchor="page85">
        <w:r>
          <w:rPr>
            <w:rFonts w:ascii="Arial" w:cs="Arial" w:eastAsia="Arial" w:hAnsi="Arial"/>
            <w:sz w:val="17"/>
            <w:szCs w:val="17"/>
            <w:u w:val="single" w:color="auto"/>
            <w:color w:val="0000EE"/>
          </w:rPr>
          <w:t>79</w:t>
        </w:r>
      </w:hyperlink>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917575" cy="50425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17575" cy="5042535"/>
                    </a:xfrm>
                    <a:prstGeom prst="rect">
                      <a:avLst/>
                    </a:prstGeom>
                    <a:noFill/>
                  </pic:spPr>
                </pic:pic>
              </a:graphicData>
            </a:graphic>
          </wp:anchor>
        </w:drawing>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400" w:type="dxa"/>
            <w:vAlign w:val="bottom"/>
          </w:tcPr>
          <w:p>
            <w:pPr>
              <w:spacing w:after="0"/>
              <w:rPr>
                <w:sz w:val="20"/>
                <w:szCs w:val="20"/>
                <w:color w:val="auto"/>
              </w:rPr>
            </w:pPr>
            <w:r>
              <w:rPr>
                <w:rFonts w:ascii="Arial" w:cs="Arial" w:eastAsia="Arial" w:hAnsi="Arial"/>
                <w:sz w:val="18"/>
                <w:szCs w:val="18"/>
                <w:color w:val="auto"/>
              </w:rPr>
              <w:t>Nominating/</w:t>
            </w:r>
          </w:p>
        </w:tc>
        <w:tc>
          <w:tcPr>
            <w:tcW w:w="8120" w:type="dxa"/>
            <w:vAlign w:val="bottom"/>
            <w:gridSpan w:val="2"/>
            <w:shd w:val="clear" w:color="auto" w:fill="CDDAE6"/>
          </w:tcPr>
          <w:p>
            <w:pPr>
              <w:ind w:left="60"/>
              <w:spacing w:after="0"/>
              <w:rPr>
                <w:sz w:val="20"/>
                <w:szCs w:val="20"/>
                <w:color w:val="auto"/>
              </w:rPr>
            </w:pPr>
            <w:r>
              <w:rPr>
                <w:rFonts w:ascii="Arial" w:cs="Arial" w:eastAsia="Arial" w:hAnsi="Arial"/>
                <w:sz w:val="18"/>
                <w:szCs w:val="18"/>
                <w:color w:val="auto"/>
              </w:rPr>
              <w:t>The Nominating/Corporate Governance Committee is generally responsible for, among other things:</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Corporate</w:t>
            </w:r>
          </w:p>
        </w:tc>
        <w:tc>
          <w:tcPr>
            <w:tcW w:w="540" w:type="dxa"/>
            <w:vAlign w:val="bottom"/>
            <w:shd w:val="clear" w:color="auto" w:fill="CDDAE6"/>
          </w:tcPr>
          <w:p>
            <w:pPr>
              <w:spacing w:after="0"/>
              <w:rPr>
                <w:sz w:val="18"/>
                <w:szCs w:val="18"/>
                <w:color w:val="auto"/>
              </w:rPr>
            </w:pPr>
          </w:p>
        </w:tc>
        <w:tc>
          <w:tcPr>
            <w:tcW w:w="7580" w:type="dxa"/>
            <w:vAlign w:val="bottom"/>
            <w:shd w:val="clear" w:color="auto" w:fill="CDDAE6"/>
          </w:tcPr>
          <w:p>
            <w:pPr>
              <w:spacing w:after="0"/>
              <w:rPr>
                <w:sz w:val="18"/>
                <w:szCs w:val="18"/>
                <w:color w:val="auto"/>
              </w:rPr>
            </w:pPr>
          </w:p>
        </w:tc>
      </w:tr>
      <w:tr>
        <w:trPr>
          <w:trHeight w:val="243"/>
        </w:trPr>
        <w:tc>
          <w:tcPr>
            <w:tcW w:w="1400" w:type="dxa"/>
            <w:vAlign w:val="bottom"/>
          </w:tcPr>
          <w:p>
            <w:pPr>
              <w:spacing w:after="0"/>
              <w:rPr>
                <w:sz w:val="20"/>
                <w:szCs w:val="20"/>
                <w:color w:val="auto"/>
              </w:rPr>
            </w:pPr>
            <w:r>
              <w:rPr>
                <w:rFonts w:ascii="Arial" w:cs="Arial" w:eastAsia="Arial" w:hAnsi="Arial"/>
                <w:sz w:val="18"/>
                <w:szCs w:val="18"/>
                <w:color w:val="auto"/>
              </w:rPr>
              <w:t>Governance</w:t>
            </w:r>
          </w:p>
        </w:tc>
        <w:tc>
          <w:tcPr>
            <w:tcW w:w="540" w:type="dxa"/>
            <w:vAlign w:val="bottom"/>
            <w:shd w:val="clear" w:color="auto" w:fill="CDDAE6"/>
          </w:tcPr>
          <w:p>
            <w:pPr>
              <w:ind w:left="300"/>
              <w:spacing w:after="0"/>
              <w:rPr>
                <w:sz w:val="20"/>
                <w:szCs w:val="20"/>
                <w:color w:val="auto"/>
              </w:rPr>
            </w:pPr>
            <w:r>
              <w:rPr>
                <w:rFonts w:ascii="Arial" w:cs="Arial" w:eastAsia="Arial" w:hAnsi="Arial"/>
                <w:sz w:val="18"/>
                <w:szCs w:val="18"/>
                <w:color w:val="auto"/>
              </w:rPr>
              <w:t>•</w:t>
            </w:r>
          </w:p>
        </w:tc>
        <w:tc>
          <w:tcPr>
            <w:tcW w:w="7580" w:type="dxa"/>
            <w:vAlign w:val="bottom"/>
            <w:shd w:val="clear" w:color="auto" w:fill="CDDAE6"/>
          </w:tcPr>
          <w:p>
            <w:pPr>
              <w:ind w:left="180"/>
              <w:spacing w:after="0"/>
              <w:rPr>
                <w:sz w:val="20"/>
                <w:szCs w:val="20"/>
                <w:color w:val="auto"/>
              </w:rPr>
            </w:pPr>
            <w:r>
              <w:rPr>
                <w:rFonts w:ascii="Arial" w:cs="Arial" w:eastAsia="Arial" w:hAnsi="Arial"/>
                <w:sz w:val="18"/>
                <w:szCs w:val="18"/>
                <w:color w:val="auto"/>
                <w:w w:val="95"/>
              </w:rPr>
              <w:t>developing, recommending and monitoring corporate governance policies and procedures for the</w:t>
            </w:r>
          </w:p>
        </w:tc>
      </w:tr>
      <w:tr>
        <w:trPr>
          <w:trHeight w:val="244"/>
        </w:trPr>
        <w:tc>
          <w:tcPr>
            <w:tcW w:w="1400" w:type="dxa"/>
            <w:vAlign w:val="bottom"/>
          </w:tcPr>
          <w:p>
            <w:pPr>
              <w:spacing w:after="0"/>
              <w:rPr>
                <w:sz w:val="21"/>
                <w:szCs w:val="21"/>
                <w:color w:val="auto"/>
              </w:rPr>
            </w:pPr>
          </w:p>
        </w:tc>
        <w:tc>
          <w:tcPr>
            <w:tcW w:w="540" w:type="dxa"/>
            <w:vAlign w:val="bottom"/>
            <w:shd w:val="clear" w:color="auto" w:fill="CDDAE6"/>
          </w:tcPr>
          <w:p>
            <w:pPr>
              <w:spacing w:after="0"/>
              <w:rPr>
                <w:sz w:val="21"/>
                <w:szCs w:val="21"/>
                <w:color w:val="auto"/>
              </w:rPr>
            </w:pPr>
          </w:p>
        </w:tc>
        <w:tc>
          <w:tcPr>
            <w:tcW w:w="7580" w:type="dxa"/>
            <w:vAlign w:val="bottom"/>
            <w:shd w:val="clear" w:color="auto" w:fill="CDDAE6"/>
          </w:tcPr>
          <w:p>
            <w:pPr>
              <w:ind w:left="180"/>
              <w:spacing w:after="0"/>
              <w:rPr>
                <w:sz w:val="20"/>
                <w:szCs w:val="20"/>
                <w:color w:val="auto"/>
              </w:rPr>
            </w:pPr>
            <w:r>
              <w:rPr>
                <w:rFonts w:ascii="Arial" w:cs="Arial" w:eastAsia="Arial" w:hAnsi="Arial"/>
                <w:sz w:val="18"/>
                <w:szCs w:val="18"/>
                <w:color w:val="auto"/>
              </w:rPr>
              <w:t>Company and the Board of Directors;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917575</wp:posOffset>
            </wp:positionH>
            <wp:positionV relativeFrom="paragraph">
              <wp:posOffset>-290830</wp:posOffset>
            </wp:positionV>
            <wp:extent cx="5154295" cy="20751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54295" cy="2075180"/>
                    </a:xfrm>
                    <a:prstGeom prst="rect">
                      <a:avLst/>
                    </a:prstGeom>
                    <a:noFill/>
                  </pic:spPr>
                </pic:pic>
              </a:graphicData>
            </a:graphic>
          </wp:anchor>
        </w:drawing>
      </w:r>
    </w:p>
    <w:p>
      <w:pPr>
        <w:ind w:left="2160" w:right="380" w:hanging="422"/>
        <w:spacing w:after="0" w:line="265" w:lineRule="auto"/>
        <w:tabs>
          <w:tab w:leader="none" w:pos="2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overseeing the Company’s political contributions, lobbying activities, and the Company’s Federal political action committee;</w:t>
      </w:r>
    </w:p>
    <w:p>
      <w:pPr>
        <w:spacing w:after="0" w:line="1" w:lineRule="exact"/>
        <w:rPr>
          <w:rFonts w:ascii="Arial" w:cs="Arial" w:eastAsia="Arial" w:hAnsi="Arial"/>
          <w:sz w:val="18"/>
          <w:szCs w:val="18"/>
          <w:color w:val="auto"/>
        </w:rPr>
      </w:pPr>
    </w:p>
    <w:p>
      <w:pPr>
        <w:ind w:left="2160" w:hanging="422"/>
        <w:spacing w:after="0"/>
        <w:tabs>
          <w:tab w:leader="none" w:pos="2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recommending to the Board of Directors criteria for the selection of new directors;</w:t>
      </w:r>
    </w:p>
    <w:p>
      <w:pPr>
        <w:spacing w:after="0" w:line="36" w:lineRule="exact"/>
        <w:rPr>
          <w:rFonts w:ascii="Arial" w:cs="Arial" w:eastAsia="Arial" w:hAnsi="Arial"/>
          <w:sz w:val="18"/>
          <w:szCs w:val="18"/>
          <w:color w:val="auto"/>
        </w:rPr>
      </w:pPr>
    </w:p>
    <w:p>
      <w:pPr>
        <w:ind w:left="2160" w:hanging="422"/>
        <w:spacing w:after="0"/>
        <w:tabs>
          <w:tab w:leader="none" w:pos="21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identifying and recommending to the Board of Directors individuals to be nominated as directors;</w:t>
      </w:r>
    </w:p>
    <w:p>
      <w:pPr>
        <w:spacing w:after="0" w:line="47" w:lineRule="exact"/>
        <w:rPr>
          <w:rFonts w:ascii="Arial" w:cs="Arial" w:eastAsia="Arial" w:hAnsi="Arial"/>
          <w:sz w:val="17"/>
          <w:szCs w:val="17"/>
          <w:color w:val="auto"/>
        </w:rPr>
      </w:pPr>
    </w:p>
    <w:p>
      <w:pPr>
        <w:ind w:left="2160" w:hanging="422"/>
        <w:spacing w:after="0"/>
        <w:tabs>
          <w:tab w:leader="none" w:pos="2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evaluating candidates recommended by shareholders in a timely manner;</w:t>
      </w:r>
    </w:p>
    <w:p>
      <w:pPr>
        <w:spacing w:after="0" w:line="36" w:lineRule="exact"/>
        <w:rPr>
          <w:rFonts w:ascii="Arial" w:cs="Arial" w:eastAsia="Arial" w:hAnsi="Arial"/>
          <w:sz w:val="18"/>
          <w:szCs w:val="18"/>
          <w:color w:val="auto"/>
        </w:rPr>
      </w:pPr>
    </w:p>
    <w:p>
      <w:pPr>
        <w:ind w:left="2160" w:right="720" w:hanging="422"/>
        <w:spacing w:after="0" w:line="266" w:lineRule="auto"/>
        <w:tabs>
          <w:tab w:leader="none" w:pos="2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conducting all necessary and appropriate inquiries into the backgrounds and qualifications of possible candidates;</w:t>
      </w:r>
    </w:p>
    <w:p>
      <w:pPr>
        <w:ind w:left="2160" w:hanging="422"/>
        <w:spacing w:after="0"/>
        <w:tabs>
          <w:tab w:leader="none" w:pos="2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evaluation of the Board of Directors and management;</w:t>
      </w:r>
    </w:p>
    <w:p>
      <w:pPr>
        <w:spacing w:after="0" w:line="36" w:lineRule="exact"/>
        <w:rPr>
          <w:rFonts w:ascii="Arial" w:cs="Arial" w:eastAsia="Arial" w:hAnsi="Arial"/>
          <w:sz w:val="18"/>
          <w:szCs w:val="18"/>
          <w:color w:val="auto"/>
        </w:rPr>
      </w:pPr>
    </w:p>
    <w:p>
      <w:pPr>
        <w:ind w:left="2160" w:hanging="422"/>
        <w:spacing w:after="0"/>
        <w:tabs>
          <w:tab w:leader="none" w:pos="2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approving the management continuity planning process; and</w:t>
      </w:r>
    </w:p>
    <w:p>
      <w:pPr>
        <w:spacing w:after="0" w:line="36" w:lineRule="exact"/>
        <w:rPr>
          <w:rFonts w:ascii="Arial" w:cs="Arial" w:eastAsia="Arial" w:hAnsi="Arial"/>
          <w:sz w:val="18"/>
          <w:szCs w:val="18"/>
          <w:color w:val="auto"/>
        </w:rPr>
      </w:pPr>
    </w:p>
    <w:p>
      <w:pPr>
        <w:ind w:left="2160" w:right="400" w:hanging="422"/>
        <w:spacing w:after="0" w:line="277" w:lineRule="auto"/>
        <w:tabs>
          <w:tab w:leader="none" w:pos="2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reporting to Board of Directors regarding matters covered at each committee meeting on a timely basis.</w:t>
      </w:r>
    </w:p>
    <w:p>
      <w:pPr>
        <w:spacing w:after="0" w:line="197" w:lineRule="exact"/>
        <w:rPr>
          <w:sz w:val="20"/>
          <w:szCs w:val="20"/>
          <w:color w:val="auto"/>
        </w:rPr>
      </w:pPr>
    </w:p>
    <w:p>
      <w:pPr>
        <w:ind w:left="1500" w:right="580"/>
        <w:spacing w:after="0" w:line="277" w:lineRule="auto"/>
        <w:rPr>
          <w:sz w:val="20"/>
          <w:szCs w:val="20"/>
          <w:color w:val="auto"/>
        </w:rPr>
      </w:pPr>
      <w:r>
        <w:rPr>
          <w:rFonts w:ascii="Arial" w:cs="Arial" w:eastAsia="Arial" w:hAnsi="Arial"/>
          <w:sz w:val="18"/>
          <w:szCs w:val="18"/>
          <w:color w:val="auto"/>
        </w:rPr>
        <w:t>In 2016, the Nominating/Corporate Governance Committee held 4 meetings. During 2016, among other things, the Nominating/Corporate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917575</wp:posOffset>
            </wp:positionH>
            <wp:positionV relativeFrom="paragraph">
              <wp:posOffset>-302260</wp:posOffset>
            </wp:positionV>
            <wp:extent cx="5154295" cy="2675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54295" cy="2675890"/>
                    </a:xfrm>
                    <a:prstGeom prst="rect">
                      <a:avLst/>
                    </a:prstGeom>
                    <a:noFill/>
                  </pic:spPr>
                </pic:pic>
              </a:graphicData>
            </a:graphic>
          </wp:anchor>
        </w:drawing>
      </w:r>
    </w:p>
    <w:p>
      <w:pPr>
        <w:spacing w:after="0" w:line="177" w:lineRule="exact"/>
        <w:rPr>
          <w:sz w:val="20"/>
          <w:szCs w:val="20"/>
          <w:color w:val="auto"/>
        </w:rPr>
      </w:pPr>
    </w:p>
    <w:p>
      <w:pPr>
        <w:ind w:left="2160" w:hanging="422"/>
        <w:spacing w:after="0"/>
        <w:tabs>
          <w:tab w:leader="none" w:pos="2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reviewed changes to the governance landscape;</w:t>
      </w:r>
    </w:p>
    <w:p>
      <w:pPr>
        <w:spacing w:after="0" w:line="36" w:lineRule="exact"/>
        <w:rPr>
          <w:rFonts w:ascii="Arial" w:cs="Arial" w:eastAsia="Arial" w:hAnsi="Arial"/>
          <w:sz w:val="18"/>
          <w:szCs w:val="18"/>
          <w:color w:val="auto"/>
        </w:rPr>
      </w:pPr>
    </w:p>
    <w:p>
      <w:pPr>
        <w:ind w:left="2160" w:hanging="422"/>
        <w:spacing w:after="0"/>
        <w:tabs>
          <w:tab w:leader="none" w:pos="2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assessed the independence of the non-management directors;</w:t>
      </w:r>
    </w:p>
    <w:p>
      <w:pPr>
        <w:spacing w:after="0" w:line="36" w:lineRule="exact"/>
        <w:rPr>
          <w:rFonts w:ascii="Arial" w:cs="Arial" w:eastAsia="Arial" w:hAnsi="Arial"/>
          <w:sz w:val="18"/>
          <w:szCs w:val="18"/>
          <w:color w:val="auto"/>
        </w:rPr>
      </w:pPr>
    </w:p>
    <w:p>
      <w:pPr>
        <w:ind w:left="2160" w:hanging="422"/>
        <w:spacing w:after="0"/>
        <w:tabs>
          <w:tab w:leader="none" w:pos="2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recommended changes to the Company’s Certificate of Incorporation and Bylaws;</w:t>
      </w:r>
    </w:p>
    <w:p>
      <w:pPr>
        <w:spacing w:after="0" w:line="36" w:lineRule="exact"/>
        <w:rPr>
          <w:rFonts w:ascii="Arial" w:cs="Arial" w:eastAsia="Arial" w:hAnsi="Arial"/>
          <w:sz w:val="18"/>
          <w:szCs w:val="18"/>
          <w:color w:val="auto"/>
        </w:rPr>
      </w:pPr>
    </w:p>
    <w:p>
      <w:pPr>
        <w:ind w:left="2160" w:hanging="422"/>
        <w:spacing w:after="0"/>
        <w:tabs>
          <w:tab w:leader="none" w:pos="2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adopted changes to the Company’s Political Contributions Policy;</w:t>
      </w:r>
    </w:p>
    <w:p>
      <w:pPr>
        <w:spacing w:after="0" w:line="36" w:lineRule="exact"/>
        <w:rPr>
          <w:rFonts w:ascii="Arial" w:cs="Arial" w:eastAsia="Arial" w:hAnsi="Arial"/>
          <w:sz w:val="18"/>
          <w:szCs w:val="18"/>
          <w:color w:val="auto"/>
        </w:rPr>
      </w:pPr>
    </w:p>
    <w:p>
      <w:pPr>
        <w:ind w:left="2160" w:right="660" w:hanging="422"/>
        <w:spacing w:after="0" w:line="266" w:lineRule="auto"/>
        <w:tabs>
          <w:tab w:leader="none" w:pos="2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reviewed and evaluated the succession plans relating to the Chief Executive Officer and other executive officer positions;</w:t>
      </w:r>
    </w:p>
    <w:p>
      <w:pPr>
        <w:ind w:left="2160" w:hanging="422"/>
        <w:spacing w:after="0"/>
        <w:tabs>
          <w:tab w:leader="none" w:pos="2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considered the proposals submitted by shareholders;</w:t>
      </w:r>
    </w:p>
    <w:p>
      <w:pPr>
        <w:spacing w:after="0" w:line="36" w:lineRule="exact"/>
        <w:rPr>
          <w:rFonts w:ascii="Arial" w:cs="Arial" w:eastAsia="Arial" w:hAnsi="Arial"/>
          <w:sz w:val="18"/>
          <w:szCs w:val="18"/>
          <w:color w:val="auto"/>
        </w:rPr>
      </w:pPr>
    </w:p>
    <w:p>
      <w:pPr>
        <w:ind w:left="2160" w:hanging="422"/>
        <w:spacing w:after="0"/>
        <w:tabs>
          <w:tab w:leader="none" w:pos="2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evaluated changes to the Committee’s charter and Company’s Governance Guidelines;</w:t>
      </w:r>
    </w:p>
    <w:p>
      <w:pPr>
        <w:spacing w:after="0" w:line="36" w:lineRule="exact"/>
        <w:rPr>
          <w:rFonts w:ascii="Arial" w:cs="Arial" w:eastAsia="Arial" w:hAnsi="Arial"/>
          <w:sz w:val="18"/>
          <w:szCs w:val="18"/>
          <w:color w:val="auto"/>
        </w:rPr>
      </w:pPr>
    </w:p>
    <w:p>
      <w:pPr>
        <w:ind w:left="2160" w:right="120" w:hanging="422"/>
        <w:spacing w:after="0" w:line="266" w:lineRule="auto"/>
        <w:tabs>
          <w:tab w:leader="none" w:pos="2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discussed the composition of the Board of Directors, the nomination process and potential candidates for the Board of Directors;</w:t>
      </w:r>
    </w:p>
    <w:p>
      <w:pPr>
        <w:ind w:left="2160" w:right="180" w:hanging="422"/>
        <w:spacing w:after="0" w:line="266" w:lineRule="auto"/>
        <w:tabs>
          <w:tab w:leader="none" w:pos="2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monitored directors’ ongoing continuing education activities and engaged outside experts to provide continuing director education for the Board of Directors;</w:t>
      </w:r>
    </w:p>
    <w:p>
      <w:pPr>
        <w:ind w:left="2160" w:hanging="422"/>
        <w:spacing w:after="0"/>
        <w:tabs>
          <w:tab w:leader="none" w:pos="2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discussed the results of Board and Committee self-evaluations; and</w:t>
      </w:r>
    </w:p>
    <w:p>
      <w:pPr>
        <w:spacing w:after="0" w:line="36" w:lineRule="exact"/>
        <w:rPr>
          <w:rFonts w:ascii="Arial" w:cs="Arial" w:eastAsia="Arial" w:hAnsi="Arial"/>
          <w:sz w:val="18"/>
          <w:szCs w:val="18"/>
          <w:color w:val="auto"/>
        </w:rPr>
      </w:pPr>
    </w:p>
    <w:p>
      <w:pPr>
        <w:ind w:left="2160" w:right="1360" w:hanging="422"/>
        <w:spacing w:after="0" w:line="266" w:lineRule="auto"/>
        <w:tabs>
          <w:tab w:leader="none" w:pos="2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reviewed the process for conducting Board and Committee self-evaluations and any recommendations for improvements to the self-evaluation process.</w:t>
      </w:r>
    </w:p>
    <w:tbl>
      <w:tblPr>
        <w:tblLayout w:type="fixed"/>
        <w:tblInd w:w="0" w:type="dxa"/>
        <w:tblCellMar>
          <w:top w:w="0" w:type="dxa"/>
          <w:left w:w="0" w:type="dxa"/>
          <w:bottom w:w="0" w:type="dxa"/>
          <w:right w:w="0" w:type="dxa"/>
        </w:tblCellMar>
      </w:tblPr>
      <w:tr>
        <w:trPr>
          <w:trHeight w:val="216"/>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Executive</w:t>
            </w:r>
          </w:p>
        </w:tc>
        <w:tc>
          <w:tcPr>
            <w:tcW w:w="8440" w:type="dxa"/>
            <w:vAlign w:val="bottom"/>
          </w:tcPr>
          <w:p>
            <w:pPr>
              <w:ind w:left="380"/>
              <w:spacing w:after="0"/>
              <w:rPr>
                <w:sz w:val="20"/>
                <w:szCs w:val="20"/>
                <w:color w:val="auto"/>
              </w:rPr>
            </w:pPr>
            <w:r>
              <w:rPr>
                <w:rFonts w:ascii="Arial" w:cs="Arial" w:eastAsia="Arial" w:hAnsi="Arial"/>
                <w:sz w:val="18"/>
                <w:szCs w:val="18"/>
                <w:color w:val="auto"/>
                <w:w w:val="96"/>
              </w:rPr>
              <w:t>The Executive Committee may exercise most board powers during periods between board meetings. The</w:t>
            </w:r>
          </w:p>
        </w:tc>
      </w:tr>
      <w:tr>
        <w:trPr>
          <w:trHeight w:val="237"/>
        </w:trPr>
        <w:tc>
          <w:tcPr>
            <w:tcW w:w="440" w:type="dxa"/>
            <w:vAlign w:val="bottom"/>
            <w:tcBorders>
              <w:bottom w:val="single" w:sz="8" w:color="005C7D"/>
            </w:tcBorders>
          </w:tcPr>
          <w:p>
            <w:pPr>
              <w:spacing w:after="0"/>
              <w:rPr>
                <w:sz w:val="20"/>
                <w:szCs w:val="20"/>
                <w:color w:val="auto"/>
              </w:rPr>
            </w:pPr>
          </w:p>
        </w:tc>
        <w:tc>
          <w:tcPr>
            <w:tcW w:w="680" w:type="dxa"/>
            <w:vAlign w:val="bottom"/>
            <w:tcBorders>
              <w:bottom w:val="single" w:sz="8" w:color="005C7D"/>
            </w:tcBorders>
          </w:tcPr>
          <w:p>
            <w:pPr>
              <w:spacing w:after="0"/>
              <w:rPr>
                <w:sz w:val="20"/>
                <w:szCs w:val="20"/>
                <w:color w:val="auto"/>
              </w:rPr>
            </w:pPr>
          </w:p>
        </w:tc>
        <w:tc>
          <w:tcPr>
            <w:tcW w:w="8440" w:type="dxa"/>
            <w:vAlign w:val="bottom"/>
            <w:tcBorders>
              <w:bottom w:val="single" w:sz="8" w:color="005C7D"/>
            </w:tcBorders>
          </w:tcPr>
          <w:p>
            <w:pPr>
              <w:ind w:left="380"/>
              <w:spacing w:after="0"/>
              <w:rPr>
                <w:sz w:val="20"/>
                <w:szCs w:val="20"/>
                <w:color w:val="auto"/>
              </w:rPr>
            </w:pPr>
            <w:r>
              <w:rPr>
                <w:rFonts w:ascii="Arial" w:cs="Arial" w:eastAsia="Arial" w:hAnsi="Arial"/>
                <w:sz w:val="18"/>
                <w:szCs w:val="18"/>
                <w:color w:val="auto"/>
              </w:rPr>
              <w:t>Executive Committee did not meet during 2016.</w:t>
            </w:r>
          </w:p>
        </w:tc>
      </w:tr>
      <w:tr>
        <w:trPr>
          <w:trHeight w:val="527"/>
        </w:trPr>
        <w:tc>
          <w:tcPr>
            <w:tcW w:w="440" w:type="dxa"/>
            <w:vAlign w:val="bottom"/>
          </w:tcPr>
          <w:p>
            <w:pPr>
              <w:ind w:left="40"/>
              <w:spacing w:after="0"/>
              <w:rPr>
                <w:sz w:val="20"/>
                <w:szCs w:val="20"/>
                <w:color w:val="auto"/>
              </w:rPr>
            </w:pPr>
            <w:r>
              <w:rPr>
                <w:rFonts w:ascii="Arial" w:cs="Arial" w:eastAsia="Arial" w:hAnsi="Arial"/>
                <w:sz w:val="18"/>
                <w:szCs w:val="18"/>
                <w:color w:val="005C7D"/>
              </w:rPr>
              <w:t>30</w:t>
            </w:r>
          </w:p>
        </w:tc>
        <w:tc>
          <w:tcPr>
            <w:tcW w:w="9120" w:type="dxa"/>
            <w:vAlign w:val="bottom"/>
            <w:gridSpan w:val="2"/>
          </w:tcPr>
          <w:p>
            <w:pPr>
              <w:ind w:left="240"/>
              <w:spacing w:after="0"/>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tc>
      </w:tr>
      <w:tr>
        <w:trPr>
          <w:trHeight w:val="554"/>
        </w:trPr>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40" w:type="dxa"/>
            <w:vAlign w:val="bottom"/>
          </w:tcPr>
          <w:p>
            <w:pPr>
              <w:spacing w:after="0"/>
              <w:rPr>
                <w:sz w:val="24"/>
                <w:szCs w:val="24"/>
                <w:color w:val="auto"/>
              </w:rPr>
            </w:pPr>
          </w:p>
        </w:tc>
      </w:tr>
      <w:tr>
        <w:trPr>
          <w:trHeight w:val="68"/>
        </w:trPr>
        <w:tc>
          <w:tcPr>
            <w:tcW w:w="44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844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-530860</wp:posOffset>
            </wp:positionV>
            <wp:extent cx="154305"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USE OF CONSULTANTS</w:t>
      </w:r>
    </w:p>
    <w:p>
      <w:pPr>
        <w:spacing w:after="0" w:line="17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As set forth in its charter, the Compensation Committee has the sole authority to retain or terminate, as necessary or appropriate, outside consultants to provide advice to the Compensation Committee in connection with its fulfillment of its responsibilities. The Compensation Committee engages Frederic W. Cook (“FW Cook”) to serve as the Compensation Committee’s independent consultant. FW Cook and its affiliates do not provide any services to the Company or any of the Company’s affiliates other than advising the Compensation Committee on director and executive officer compensation. In 2016, the Compensation Committee requested that FW Cook advise it directly on a variety of compensation-related matters, including:</w:t>
      </w:r>
    </w:p>
    <w:p>
      <w:pPr>
        <w:spacing w:after="0" w:line="57" w:lineRule="exact"/>
        <w:rPr>
          <w:sz w:val="20"/>
          <w:szCs w:val="20"/>
          <w:color w:val="auto"/>
        </w:rPr>
      </w:pPr>
    </w:p>
    <w:p>
      <w:pPr>
        <w:ind w:left="700" w:hanging="356"/>
        <w:spacing w:after="0"/>
        <w:tabs>
          <w:tab w:leader="none" w:pos="700" w:val="left"/>
        </w:tabs>
        <w:numPr>
          <w:ilvl w:val="0"/>
          <w:numId w:val="44"/>
        </w:numPr>
        <w:rPr>
          <w:rFonts w:ascii="Arial" w:cs="Arial" w:eastAsia="Arial" w:hAnsi="Arial"/>
          <w:sz w:val="18"/>
          <w:szCs w:val="18"/>
          <w:color w:val="005C7D"/>
        </w:rPr>
      </w:pPr>
      <w:r>
        <w:rPr>
          <w:rFonts w:ascii="Arial" w:cs="Arial" w:eastAsia="Arial" w:hAnsi="Arial"/>
          <w:sz w:val="18"/>
          <w:szCs w:val="18"/>
          <w:color w:val="auto"/>
        </w:rPr>
        <w:t>validating the compensation peer group to be used for competitive benchmarking;</w:t>
      </w:r>
    </w:p>
    <w:p>
      <w:pPr>
        <w:spacing w:after="0" w:line="117" w:lineRule="exact"/>
        <w:rPr>
          <w:rFonts w:ascii="Arial" w:cs="Arial" w:eastAsia="Arial" w:hAnsi="Arial"/>
          <w:sz w:val="18"/>
          <w:szCs w:val="18"/>
          <w:color w:val="005C7D"/>
        </w:rPr>
      </w:pPr>
    </w:p>
    <w:p>
      <w:pPr>
        <w:ind w:left="700" w:right="160" w:hanging="356"/>
        <w:spacing w:after="0" w:line="277" w:lineRule="auto"/>
        <w:tabs>
          <w:tab w:leader="none" w:pos="700" w:val="left"/>
        </w:tabs>
        <w:numPr>
          <w:ilvl w:val="0"/>
          <w:numId w:val="44"/>
        </w:numPr>
        <w:rPr>
          <w:rFonts w:ascii="Arial" w:cs="Arial" w:eastAsia="Arial" w:hAnsi="Arial"/>
          <w:sz w:val="18"/>
          <w:szCs w:val="18"/>
          <w:color w:val="005C7D"/>
        </w:rPr>
      </w:pPr>
      <w:r>
        <w:rPr>
          <w:rFonts w:ascii="Arial" w:cs="Arial" w:eastAsia="Arial" w:hAnsi="Arial"/>
          <w:sz w:val="18"/>
          <w:szCs w:val="18"/>
          <w:color w:val="auto"/>
        </w:rPr>
        <w:t>preparing analyses and recommendations of senior executive compensation levels as compared to the compensation peer group and published compensation surveys;</w:t>
      </w:r>
    </w:p>
    <w:p>
      <w:pPr>
        <w:spacing w:after="0" w:line="62" w:lineRule="exact"/>
        <w:rPr>
          <w:rFonts w:ascii="Arial" w:cs="Arial" w:eastAsia="Arial" w:hAnsi="Arial"/>
          <w:sz w:val="18"/>
          <w:szCs w:val="18"/>
          <w:color w:val="005C7D"/>
        </w:rPr>
      </w:pPr>
    </w:p>
    <w:p>
      <w:pPr>
        <w:ind w:left="700" w:right="60" w:hanging="356"/>
        <w:spacing w:after="0" w:line="277" w:lineRule="auto"/>
        <w:tabs>
          <w:tab w:leader="none" w:pos="700" w:val="left"/>
        </w:tabs>
        <w:numPr>
          <w:ilvl w:val="0"/>
          <w:numId w:val="44"/>
        </w:numPr>
        <w:rPr>
          <w:rFonts w:ascii="Arial" w:cs="Arial" w:eastAsia="Arial" w:hAnsi="Arial"/>
          <w:sz w:val="18"/>
          <w:szCs w:val="18"/>
          <w:color w:val="005C7D"/>
        </w:rPr>
      </w:pPr>
      <w:r>
        <w:rPr>
          <w:rFonts w:ascii="Arial" w:cs="Arial" w:eastAsia="Arial" w:hAnsi="Arial"/>
          <w:sz w:val="18"/>
          <w:szCs w:val="18"/>
          <w:color w:val="auto"/>
        </w:rPr>
        <w:t>assessing the pay recommendations that the Chief Executive Officer developed for senior executives, including the named executive officers;</w:t>
      </w:r>
    </w:p>
    <w:p>
      <w:pPr>
        <w:spacing w:after="0" w:line="62" w:lineRule="exact"/>
        <w:rPr>
          <w:rFonts w:ascii="Arial" w:cs="Arial" w:eastAsia="Arial" w:hAnsi="Arial"/>
          <w:sz w:val="18"/>
          <w:szCs w:val="18"/>
          <w:color w:val="005C7D"/>
        </w:rPr>
      </w:pPr>
    </w:p>
    <w:p>
      <w:pPr>
        <w:ind w:left="700" w:hanging="356"/>
        <w:spacing w:after="0"/>
        <w:tabs>
          <w:tab w:leader="none" w:pos="700" w:val="left"/>
        </w:tabs>
        <w:numPr>
          <w:ilvl w:val="0"/>
          <w:numId w:val="44"/>
        </w:numPr>
        <w:rPr>
          <w:rFonts w:ascii="Arial" w:cs="Arial" w:eastAsia="Arial" w:hAnsi="Arial"/>
          <w:sz w:val="18"/>
          <w:szCs w:val="18"/>
          <w:color w:val="005C7D"/>
        </w:rPr>
      </w:pPr>
      <w:r>
        <w:rPr>
          <w:rFonts w:ascii="Arial" w:cs="Arial" w:eastAsia="Arial" w:hAnsi="Arial"/>
          <w:sz w:val="18"/>
          <w:szCs w:val="18"/>
          <w:color w:val="auto"/>
        </w:rPr>
        <w:t>developing pay recommendations for the Chief Executive Officer;</w:t>
      </w:r>
    </w:p>
    <w:p>
      <w:pPr>
        <w:spacing w:after="0" w:line="117" w:lineRule="exact"/>
        <w:rPr>
          <w:rFonts w:ascii="Arial" w:cs="Arial" w:eastAsia="Arial" w:hAnsi="Arial"/>
          <w:sz w:val="18"/>
          <w:szCs w:val="18"/>
          <w:color w:val="005C7D"/>
        </w:rPr>
      </w:pPr>
    </w:p>
    <w:p>
      <w:pPr>
        <w:ind w:left="700" w:hanging="356"/>
        <w:spacing w:after="0"/>
        <w:tabs>
          <w:tab w:leader="none" w:pos="700" w:val="left"/>
        </w:tabs>
        <w:numPr>
          <w:ilvl w:val="0"/>
          <w:numId w:val="44"/>
        </w:numPr>
        <w:rPr>
          <w:rFonts w:ascii="Arial" w:cs="Arial" w:eastAsia="Arial" w:hAnsi="Arial"/>
          <w:sz w:val="18"/>
          <w:szCs w:val="18"/>
          <w:color w:val="005C7D"/>
        </w:rPr>
      </w:pPr>
      <w:r>
        <w:rPr>
          <w:rFonts w:ascii="Arial" w:cs="Arial" w:eastAsia="Arial" w:hAnsi="Arial"/>
          <w:sz w:val="18"/>
          <w:szCs w:val="18"/>
          <w:color w:val="auto"/>
        </w:rPr>
        <w:t>assessing the alignment of senior executive pay and company performance;</w:t>
      </w:r>
    </w:p>
    <w:p>
      <w:pPr>
        <w:spacing w:after="0" w:line="117" w:lineRule="exact"/>
        <w:rPr>
          <w:rFonts w:ascii="Arial" w:cs="Arial" w:eastAsia="Arial" w:hAnsi="Arial"/>
          <w:sz w:val="18"/>
          <w:szCs w:val="18"/>
          <w:color w:val="005C7D"/>
        </w:rPr>
      </w:pPr>
    </w:p>
    <w:p>
      <w:pPr>
        <w:ind w:left="700" w:hanging="356"/>
        <w:spacing w:after="0"/>
        <w:tabs>
          <w:tab w:leader="none" w:pos="700" w:val="left"/>
        </w:tabs>
        <w:numPr>
          <w:ilvl w:val="0"/>
          <w:numId w:val="44"/>
        </w:numPr>
        <w:rPr>
          <w:rFonts w:ascii="Arial" w:cs="Arial" w:eastAsia="Arial" w:hAnsi="Arial"/>
          <w:sz w:val="18"/>
          <w:szCs w:val="18"/>
          <w:color w:val="005C7D"/>
        </w:rPr>
      </w:pPr>
      <w:r>
        <w:rPr>
          <w:rFonts w:ascii="Arial" w:cs="Arial" w:eastAsia="Arial" w:hAnsi="Arial"/>
          <w:sz w:val="18"/>
          <w:szCs w:val="18"/>
          <w:color w:val="auto"/>
        </w:rPr>
        <w:t>preparing analyses and recommendations of non-employee director pay levels as compared to the peer group;</w:t>
      </w:r>
    </w:p>
    <w:p>
      <w:pPr>
        <w:spacing w:after="0" w:line="117" w:lineRule="exact"/>
        <w:rPr>
          <w:rFonts w:ascii="Arial" w:cs="Arial" w:eastAsia="Arial" w:hAnsi="Arial"/>
          <w:sz w:val="18"/>
          <w:szCs w:val="18"/>
          <w:color w:val="005C7D"/>
        </w:rPr>
      </w:pPr>
    </w:p>
    <w:p>
      <w:pPr>
        <w:ind w:left="700" w:hanging="356"/>
        <w:spacing w:after="0"/>
        <w:tabs>
          <w:tab w:leader="none" w:pos="700" w:val="left"/>
        </w:tabs>
        <w:numPr>
          <w:ilvl w:val="0"/>
          <w:numId w:val="44"/>
        </w:numPr>
        <w:rPr>
          <w:rFonts w:ascii="Arial" w:cs="Arial" w:eastAsia="Arial" w:hAnsi="Arial"/>
          <w:sz w:val="18"/>
          <w:szCs w:val="18"/>
          <w:color w:val="005C7D"/>
        </w:rPr>
      </w:pPr>
      <w:r>
        <w:rPr>
          <w:rFonts w:ascii="Arial" w:cs="Arial" w:eastAsia="Arial" w:hAnsi="Arial"/>
          <w:sz w:val="18"/>
          <w:szCs w:val="18"/>
          <w:color w:val="auto"/>
        </w:rPr>
        <w:t>preparing analyses of equity plan share usage and share dilution as compared to the peer group;</w:t>
      </w:r>
    </w:p>
    <w:p>
      <w:pPr>
        <w:spacing w:after="0" w:line="117" w:lineRule="exact"/>
        <w:rPr>
          <w:rFonts w:ascii="Arial" w:cs="Arial" w:eastAsia="Arial" w:hAnsi="Arial"/>
          <w:sz w:val="18"/>
          <w:szCs w:val="18"/>
          <w:color w:val="005C7D"/>
        </w:rPr>
      </w:pPr>
    </w:p>
    <w:p>
      <w:pPr>
        <w:ind w:left="700" w:hanging="356"/>
        <w:spacing w:after="0"/>
        <w:tabs>
          <w:tab w:leader="none" w:pos="700" w:val="left"/>
        </w:tabs>
        <w:numPr>
          <w:ilvl w:val="0"/>
          <w:numId w:val="44"/>
        </w:numPr>
        <w:rPr>
          <w:rFonts w:ascii="Arial" w:cs="Arial" w:eastAsia="Arial" w:hAnsi="Arial"/>
          <w:sz w:val="18"/>
          <w:szCs w:val="18"/>
          <w:color w:val="005C7D"/>
        </w:rPr>
      </w:pPr>
      <w:r>
        <w:rPr>
          <w:rFonts w:ascii="Arial" w:cs="Arial" w:eastAsia="Arial" w:hAnsi="Arial"/>
          <w:sz w:val="18"/>
          <w:szCs w:val="18"/>
          <w:color w:val="auto"/>
        </w:rPr>
        <w:t>assessing performance measures and targets for annual and long-term incentive awards;</w:t>
      </w:r>
    </w:p>
    <w:p>
      <w:pPr>
        <w:spacing w:after="0" w:line="117" w:lineRule="exact"/>
        <w:rPr>
          <w:rFonts w:ascii="Arial" w:cs="Arial" w:eastAsia="Arial" w:hAnsi="Arial"/>
          <w:sz w:val="18"/>
          <w:szCs w:val="18"/>
          <w:color w:val="005C7D"/>
        </w:rPr>
      </w:pPr>
    </w:p>
    <w:p>
      <w:pPr>
        <w:ind w:left="700" w:hanging="356"/>
        <w:spacing w:after="0"/>
        <w:tabs>
          <w:tab w:leader="none" w:pos="700" w:val="left"/>
        </w:tabs>
        <w:numPr>
          <w:ilvl w:val="0"/>
          <w:numId w:val="44"/>
        </w:numPr>
        <w:rPr>
          <w:rFonts w:ascii="Arial" w:cs="Arial" w:eastAsia="Arial" w:hAnsi="Arial"/>
          <w:sz w:val="18"/>
          <w:szCs w:val="18"/>
          <w:color w:val="005C7D"/>
        </w:rPr>
      </w:pPr>
      <w:r>
        <w:rPr>
          <w:rFonts w:ascii="Arial" w:cs="Arial" w:eastAsia="Arial" w:hAnsi="Arial"/>
          <w:sz w:val="18"/>
          <w:szCs w:val="18"/>
          <w:color w:val="auto"/>
        </w:rPr>
        <w:t>updating the Compensation Committee on executive compensation trends; and</w:t>
      </w:r>
    </w:p>
    <w:p>
      <w:pPr>
        <w:spacing w:after="0" w:line="117" w:lineRule="exact"/>
        <w:rPr>
          <w:rFonts w:ascii="Arial" w:cs="Arial" w:eastAsia="Arial" w:hAnsi="Arial"/>
          <w:sz w:val="18"/>
          <w:szCs w:val="18"/>
          <w:color w:val="005C7D"/>
        </w:rPr>
      </w:pPr>
    </w:p>
    <w:p>
      <w:pPr>
        <w:ind w:left="700" w:right="220" w:hanging="356"/>
        <w:spacing w:after="0" w:line="277" w:lineRule="auto"/>
        <w:tabs>
          <w:tab w:leader="none" w:pos="700" w:val="left"/>
        </w:tabs>
        <w:numPr>
          <w:ilvl w:val="0"/>
          <w:numId w:val="44"/>
        </w:numPr>
        <w:rPr>
          <w:rFonts w:ascii="Arial" w:cs="Arial" w:eastAsia="Arial" w:hAnsi="Arial"/>
          <w:sz w:val="18"/>
          <w:szCs w:val="18"/>
          <w:color w:val="005C7D"/>
        </w:rPr>
      </w:pPr>
      <w:r>
        <w:rPr>
          <w:rFonts w:ascii="Arial" w:cs="Arial" w:eastAsia="Arial" w:hAnsi="Arial"/>
          <w:sz w:val="18"/>
          <w:szCs w:val="18"/>
          <w:color w:val="auto"/>
        </w:rPr>
        <w:t>recommending executive compensation program changes in response to executive compensation trends and shareholder concerns identified through investor engagement efforts or otherwise.</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course of conducting its activities, FW Cook attended meetings of the Compensation Committee and presented its findings and recommendations to the Compensation Committee for discussion. During 2016, FW Cook also met with management to obtain and validate data and review materials. In March of 2017, the Compensation Committee evaluated whether any work performed by FW Cook raised any conflict of interest and determined that it did not.</w:t>
      </w:r>
    </w:p>
    <w:p>
      <w:pPr>
        <w:spacing w:after="0" w:line="227" w:lineRule="exact"/>
        <w:rPr>
          <w:sz w:val="20"/>
          <w:szCs w:val="20"/>
          <w:color w:val="auto"/>
        </w:rPr>
      </w:pPr>
    </w:p>
    <w:p>
      <w:pPr>
        <w:ind w:left="7820"/>
        <w:spacing w:after="0"/>
        <w:tabs>
          <w:tab w:leader="none" w:pos="932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6071870" cy="431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-107315</wp:posOffset>
            </wp:positionV>
            <wp:extent cx="163195"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7" w:name="page38"/>
    <w:bookmarkEnd w:id="37"/>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7"/>
        <w:spacing w:after="0"/>
        <w:rPr>
          <w:sz w:val="20"/>
          <w:szCs w:val="20"/>
          <w:color w:val="auto"/>
        </w:rPr>
      </w:pPr>
      <w:r>
        <w:rPr>
          <w:rFonts w:ascii="Arial" w:cs="Arial" w:eastAsia="Arial" w:hAnsi="Arial"/>
          <w:sz w:val="14"/>
          <w:szCs w:val="14"/>
          <w:color w:val="005C7D"/>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0718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2" w:lineRule="exact"/>
        <w:rPr>
          <w:sz w:val="20"/>
          <w:szCs w:val="20"/>
          <w:color w:val="auto"/>
        </w:rPr>
      </w:pPr>
    </w:p>
    <w:p>
      <w:pPr>
        <w:ind w:left="7"/>
        <w:spacing w:after="0"/>
        <w:rPr>
          <w:sz w:val="20"/>
          <w:szCs w:val="20"/>
          <w:color w:val="auto"/>
        </w:rPr>
      </w:pPr>
      <w:r>
        <w:rPr>
          <w:rFonts w:ascii="Arial" w:cs="Arial" w:eastAsia="Arial" w:hAnsi="Arial"/>
          <w:sz w:val="17"/>
          <w:szCs w:val="17"/>
          <w:color w:val="auto"/>
        </w:rPr>
        <w:t>The following table sets forth the current members of each of the Committees and the number of meetings held during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60718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87"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20" w:type="dxa"/>
            <w:vAlign w:val="bottom"/>
          </w:tcPr>
          <w:p>
            <w:pPr>
              <w:jc w:val="center"/>
              <w:ind w:right="63"/>
              <w:spacing w:after="0"/>
              <w:rPr>
                <w:sz w:val="20"/>
                <w:szCs w:val="20"/>
                <w:color w:val="auto"/>
              </w:rPr>
            </w:pPr>
            <w:r>
              <w:rPr>
                <w:rFonts w:ascii="Arial" w:cs="Arial" w:eastAsia="Arial" w:hAnsi="Arial"/>
                <w:sz w:val="14"/>
                <w:szCs w:val="14"/>
                <w:b w:val="1"/>
                <w:bCs w:val="1"/>
                <w:color w:val="auto"/>
                <w:w w:val="93"/>
              </w:rPr>
              <w:t>Nominating/</w:t>
            </w:r>
          </w:p>
        </w:tc>
        <w:tc>
          <w:tcPr>
            <w:tcW w:w="1480" w:type="dxa"/>
            <w:vAlign w:val="bottom"/>
          </w:tcPr>
          <w:p>
            <w:pPr>
              <w:spacing w:after="0"/>
              <w:rPr>
                <w:sz w:val="14"/>
                <w:szCs w:val="14"/>
                <w:color w:val="auto"/>
              </w:rPr>
            </w:pPr>
          </w:p>
        </w:tc>
      </w:tr>
      <w:tr>
        <w:trPr>
          <w:trHeight w:val="158"/>
        </w:trPr>
        <w:tc>
          <w:tcPr>
            <w:tcW w:w="26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20" w:type="dxa"/>
            <w:vAlign w:val="bottom"/>
          </w:tcPr>
          <w:p>
            <w:pPr>
              <w:jc w:val="center"/>
              <w:ind w:right="63"/>
              <w:spacing w:after="0" w:line="159" w:lineRule="exact"/>
              <w:rPr>
                <w:sz w:val="20"/>
                <w:szCs w:val="20"/>
                <w:color w:val="auto"/>
              </w:rPr>
            </w:pPr>
            <w:r>
              <w:rPr>
                <w:rFonts w:ascii="Arial" w:cs="Arial" w:eastAsia="Arial" w:hAnsi="Arial"/>
                <w:sz w:val="14"/>
                <w:szCs w:val="14"/>
                <w:b w:val="1"/>
                <w:bCs w:val="1"/>
                <w:color w:val="auto"/>
                <w:w w:val="95"/>
              </w:rPr>
              <w:t>Corporate</w:t>
            </w:r>
          </w:p>
        </w:tc>
        <w:tc>
          <w:tcPr>
            <w:tcW w:w="1480" w:type="dxa"/>
            <w:vAlign w:val="bottom"/>
          </w:tcPr>
          <w:p>
            <w:pPr>
              <w:spacing w:after="0"/>
              <w:rPr>
                <w:sz w:val="13"/>
                <w:szCs w:val="13"/>
                <w:color w:val="auto"/>
              </w:rPr>
            </w:pPr>
          </w:p>
        </w:tc>
      </w:tr>
      <w:tr>
        <w:trPr>
          <w:trHeight w:val="216"/>
        </w:trPr>
        <w:tc>
          <w:tcPr>
            <w:tcW w:w="2680" w:type="dxa"/>
            <w:vAlign w:val="bottom"/>
            <w:tcBorders>
              <w:bottom w:val="single" w:sz="8" w:color="005C7D"/>
            </w:tcBorders>
          </w:tcPr>
          <w:p>
            <w:pPr>
              <w:ind w:left="40"/>
              <w:spacing w:after="0"/>
              <w:rPr>
                <w:sz w:val="20"/>
                <w:szCs w:val="20"/>
                <w:color w:val="auto"/>
              </w:rPr>
            </w:pPr>
            <w:r>
              <w:rPr>
                <w:rFonts w:ascii="Arial" w:cs="Arial" w:eastAsia="Arial" w:hAnsi="Arial"/>
                <w:sz w:val="14"/>
                <w:szCs w:val="14"/>
                <w:b w:val="1"/>
                <w:bCs w:val="1"/>
                <w:color w:val="auto"/>
              </w:rPr>
              <w:t>Name</w:t>
            </w:r>
          </w:p>
        </w:tc>
        <w:tc>
          <w:tcPr>
            <w:tcW w:w="2040" w:type="dxa"/>
            <w:vAlign w:val="bottom"/>
            <w:tcBorders>
              <w:bottom w:val="single" w:sz="8" w:color="005C7D"/>
            </w:tcBorders>
          </w:tcPr>
          <w:p>
            <w:pPr>
              <w:jc w:val="right"/>
              <w:ind w:right="319"/>
              <w:spacing w:after="0" w:line="216" w:lineRule="exact"/>
              <w:rPr>
                <w:sz w:val="20"/>
                <w:szCs w:val="20"/>
                <w:color w:val="auto"/>
              </w:rPr>
            </w:pPr>
            <w:r>
              <w:rPr>
                <w:rFonts w:ascii="Arial" w:cs="Arial" w:eastAsia="Arial" w:hAnsi="Arial"/>
                <w:sz w:val="14"/>
                <w:szCs w:val="14"/>
                <w:b w:val="1"/>
                <w:bCs w:val="1"/>
                <w:color w:val="auto"/>
              </w:rPr>
              <w:t>Audit</w:t>
            </w:r>
            <w:r>
              <w:rPr>
                <w:rFonts w:ascii="Arial" w:cs="Arial" w:eastAsia="Arial" w:hAnsi="Arial"/>
                <w:sz w:val="24"/>
                <w:szCs w:val="24"/>
                <w:b w:val="1"/>
                <w:bCs w:val="1"/>
                <w:color w:val="auto"/>
                <w:vertAlign w:val="superscript"/>
              </w:rPr>
              <w:t>(1)</w:t>
            </w:r>
          </w:p>
        </w:tc>
        <w:tc>
          <w:tcPr>
            <w:tcW w:w="1740" w:type="dxa"/>
            <w:vAlign w:val="bottom"/>
            <w:tcBorders>
              <w:bottom w:val="single" w:sz="8" w:color="005C7D"/>
            </w:tcBorders>
          </w:tcPr>
          <w:p>
            <w:pPr>
              <w:jc w:val="right"/>
              <w:ind w:right="219"/>
              <w:spacing w:after="0" w:line="216"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24"/>
                <w:szCs w:val="24"/>
                <w:b w:val="1"/>
                <w:bCs w:val="1"/>
                <w:color w:val="auto"/>
                <w:vertAlign w:val="superscript"/>
              </w:rPr>
              <w:t>(2)</w:t>
            </w:r>
          </w:p>
        </w:tc>
        <w:tc>
          <w:tcPr>
            <w:tcW w:w="1620" w:type="dxa"/>
            <w:vAlign w:val="bottom"/>
            <w:tcBorders>
              <w:bottom w:val="single" w:sz="8" w:color="005C7D"/>
            </w:tcBorders>
          </w:tcPr>
          <w:p>
            <w:pPr>
              <w:jc w:val="center"/>
              <w:ind w:right="63"/>
              <w:spacing w:after="0" w:line="216" w:lineRule="exact"/>
              <w:rPr>
                <w:sz w:val="20"/>
                <w:szCs w:val="20"/>
                <w:color w:val="auto"/>
              </w:rPr>
            </w:pPr>
            <w:r>
              <w:rPr>
                <w:rFonts w:ascii="Arial" w:cs="Arial" w:eastAsia="Arial" w:hAnsi="Arial"/>
                <w:sz w:val="14"/>
                <w:szCs w:val="14"/>
                <w:b w:val="1"/>
                <w:bCs w:val="1"/>
                <w:color w:val="auto"/>
                <w:w w:val="87"/>
              </w:rPr>
              <w:t>Governance</w:t>
            </w:r>
            <w:r>
              <w:rPr>
                <w:rFonts w:ascii="Arial" w:cs="Arial" w:eastAsia="Arial" w:hAnsi="Arial"/>
                <w:sz w:val="24"/>
                <w:szCs w:val="24"/>
                <w:b w:val="1"/>
                <w:bCs w:val="1"/>
                <w:color w:val="auto"/>
                <w:w w:val="87"/>
                <w:vertAlign w:val="superscript"/>
              </w:rPr>
              <w:t>(3)</w:t>
            </w:r>
          </w:p>
        </w:tc>
        <w:tc>
          <w:tcPr>
            <w:tcW w:w="1480" w:type="dxa"/>
            <w:vAlign w:val="bottom"/>
            <w:tcBorders>
              <w:bottom w:val="single" w:sz="8" w:color="005C7D"/>
            </w:tcBorders>
          </w:tcPr>
          <w:p>
            <w:pPr>
              <w:jc w:val="right"/>
              <w:ind w:right="379"/>
              <w:spacing w:after="0"/>
              <w:rPr>
                <w:sz w:val="20"/>
                <w:szCs w:val="20"/>
                <w:color w:val="auto"/>
              </w:rPr>
            </w:pPr>
            <w:r>
              <w:rPr>
                <w:rFonts w:ascii="Arial" w:cs="Arial" w:eastAsia="Arial" w:hAnsi="Arial"/>
                <w:sz w:val="14"/>
                <w:szCs w:val="14"/>
                <w:b w:val="1"/>
                <w:bCs w:val="1"/>
                <w:color w:val="auto"/>
              </w:rPr>
              <w:t>Executive</w:t>
            </w:r>
          </w:p>
        </w:tc>
      </w:tr>
      <w:tr>
        <w:trPr>
          <w:trHeight w:val="271"/>
        </w:trPr>
        <w:tc>
          <w:tcPr>
            <w:tcW w:w="2680" w:type="dxa"/>
            <w:vAlign w:val="bottom"/>
            <w:tcBorders>
              <w:bottom w:val="single" w:sz="8" w:color="CDDAE6"/>
            </w:tcBorders>
            <w:shd w:val="clear" w:color="auto" w:fill="CDDAE6"/>
          </w:tcPr>
          <w:p>
            <w:pPr>
              <w:ind w:left="40"/>
              <w:spacing w:after="0"/>
              <w:rPr>
                <w:sz w:val="20"/>
                <w:szCs w:val="20"/>
                <w:color w:val="auto"/>
              </w:rPr>
            </w:pPr>
            <w:r>
              <w:rPr>
                <w:rFonts w:ascii="Arial" w:cs="Arial" w:eastAsia="Arial" w:hAnsi="Arial"/>
                <w:sz w:val="18"/>
                <w:szCs w:val="18"/>
                <w:color w:val="auto"/>
              </w:rPr>
              <w:t>Claude R. Canizares*</w:t>
            </w:r>
          </w:p>
        </w:tc>
        <w:tc>
          <w:tcPr>
            <w:tcW w:w="2040" w:type="dxa"/>
            <w:vAlign w:val="bottom"/>
            <w:tcBorders>
              <w:bottom w:val="single" w:sz="8" w:color="CDDAE6"/>
            </w:tcBorders>
            <w:shd w:val="clear" w:color="auto" w:fill="CDDAE6"/>
          </w:tcPr>
          <w:p>
            <w:pPr>
              <w:spacing w:after="0"/>
              <w:rPr>
                <w:sz w:val="23"/>
                <w:szCs w:val="23"/>
                <w:color w:val="auto"/>
              </w:rPr>
            </w:pPr>
          </w:p>
        </w:tc>
        <w:tc>
          <w:tcPr>
            <w:tcW w:w="1740" w:type="dxa"/>
            <w:vAlign w:val="bottom"/>
            <w:tcBorders>
              <w:bottom w:val="single" w:sz="8" w:color="CDDAE6"/>
            </w:tcBorders>
            <w:shd w:val="clear" w:color="auto" w:fill="CDDAE6"/>
          </w:tcPr>
          <w:p>
            <w:pPr>
              <w:spacing w:after="0"/>
              <w:rPr>
                <w:sz w:val="23"/>
                <w:szCs w:val="23"/>
                <w:color w:val="auto"/>
              </w:rPr>
            </w:pPr>
          </w:p>
        </w:tc>
        <w:tc>
          <w:tcPr>
            <w:tcW w:w="1620" w:type="dxa"/>
            <w:vAlign w:val="bottom"/>
            <w:tcBorders>
              <w:bottom w:val="single" w:sz="8" w:color="CDDAE6"/>
            </w:tcBorders>
            <w:shd w:val="clear" w:color="auto" w:fill="CDDAE6"/>
          </w:tcPr>
          <w:p>
            <w:pPr>
              <w:spacing w:after="0"/>
              <w:rPr>
                <w:sz w:val="23"/>
                <w:szCs w:val="23"/>
                <w:color w:val="auto"/>
              </w:rPr>
            </w:pPr>
          </w:p>
        </w:tc>
        <w:tc>
          <w:tcPr>
            <w:tcW w:w="1480" w:type="dxa"/>
            <w:vAlign w:val="bottom"/>
            <w:tcBorders>
              <w:bottom w:val="single" w:sz="8" w:color="CDDAE6"/>
            </w:tcBorders>
            <w:shd w:val="clear" w:color="auto" w:fill="CDDAE6"/>
          </w:tcPr>
          <w:p>
            <w:pPr>
              <w:spacing w:after="0"/>
              <w:rPr>
                <w:sz w:val="23"/>
                <w:szCs w:val="23"/>
                <w:color w:val="auto"/>
              </w:rPr>
            </w:pPr>
          </w:p>
        </w:tc>
      </w:tr>
      <w:tr>
        <w:trPr>
          <w:trHeight w:val="257"/>
        </w:trPr>
        <w:tc>
          <w:tcPr>
            <w:tcW w:w="2680" w:type="dxa"/>
            <w:vAlign w:val="bottom"/>
          </w:tcPr>
          <w:p>
            <w:pPr>
              <w:ind w:left="40"/>
              <w:spacing w:after="0"/>
              <w:rPr>
                <w:sz w:val="20"/>
                <w:szCs w:val="20"/>
                <w:color w:val="auto"/>
              </w:rPr>
            </w:pPr>
            <w:r>
              <w:rPr>
                <w:rFonts w:ascii="Arial" w:cs="Arial" w:eastAsia="Arial" w:hAnsi="Arial"/>
                <w:sz w:val="18"/>
                <w:szCs w:val="18"/>
                <w:color w:val="auto"/>
              </w:rPr>
              <w:t>Thomas A. Corcoran*</w:t>
            </w:r>
          </w:p>
        </w:tc>
        <w:tc>
          <w:tcPr>
            <w:tcW w:w="20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41"/>
        </w:trPr>
        <w:tc>
          <w:tcPr>
            <w:tcW w:w="268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77"/>
        </w:trPr>
        <w:tc>
          <w:tcPr>
            <w:tcW w:w="2680" w:type="dxa"/>
            <w:vAlign w:val="bottom"/>
            <w:tcBorders>
              <w:bottom w:val="single" w:sz="8" w:color="CDDAE6"/>
            </w:tcBorders>
            <w:shd w:val="clear" w:color="auto" w:fill="CDDAE6"/>
          </w:tcPr>
          <w:p>
            <w:pPr>
              <w:ind w:left="40"/>
              <w:spacing w:after="0"/>
              <w:rPr>
                <w:sz w:val="20"/>
                <w:szCs w:val="20"/>
                <w:color w:val="auto"/>
              </w:rPr>
            </w:pPr>
            <w:r>
              <w:rPr>
                <w:rFonts w:ascii="Arial" w:cs="Arial" w:eastAsia="Arial" w:hAnsi="Arial"/>
                <w:sz w:val="18"/>
                <w:szCs w:val="18"/>
                <w:color w:val="auto"/>
              </w:rPr>
              <w:t>Ann E. Dunwoody*</w:t>
            </w:r>
          </w:p>
        </w:tc>
        <w:tc>
          <w:tcPr>
            <w:tcW w:w="2040" w:type="dxa"/>
            <w:vAlign w:val="bottom"/>
            <w:tcBorders>
              <w:bottom w:val="single" w:sz="8" w:color="CDDAE6"/>
            </w:tcBorders>
            <w:shd w:val="clear" w:color="auto" w:fill="CDDAE6"/>
          </w:tcPr>
          <w:p>
            <w:pPr>
              <w:spacing w:after="0"/>
              <w:rPr>
                <w:sz w:val="24"/>
                <w:szCs w:val="24"/>
                <w:color w:val="auto"/>
              </w:rPr>
            </w:pPr>
          </w:p>
        </w:tc>
        <w:tc>
          <w:tcPr>
            <w:tcW w:w="1740" w:type="dxa"/>
            <w:vAlign w:val="bottom"/>
            <w:tcBorders>
              <w:bottom w:val="single" w:sz="8" w:color="CDDAE6"/>
            </w:tcBorders>
            <w:shd w:val="clear" w:color="auto" w:fill="CDDAE6"/>
          </w:tcPr>
          <w:p>
            <w:pPr>
              <w:spacing w:after="0"/>
              <w:rPr>
                <w:sz w:val="24"/>
                <w:szCs w:val="24"/>
                <w:color w:val="auto"/>
              </w:rPr>
            </w:pPr>
          </w:p>
        </w:tc>
        <w:tc>
          <w:tcPr>
            <w:tcW w:w="1620" w:type="dxa"/>
            <w:vAlign w:val="bottom"/>
            <w:tcBorders>
              <w:bottom w:val="single" w:sz="8" w:color="CDDAE6"/>
            </w:tcBorders>
            <w:shd w:val="clear" w:color="auto" w:fill="CDDAE6"/>
          </w:tcPr>
          <w:p>
            <w:pPr>
              <w:spacing w:after="0"/>
              <w:rPr>
                <w:sz w:val="24"/>
                <w:szCs w:val="24"/>
                <w:color w:val="auto"/>
              </w:rPr>
            </w:pPr>
          </w:p>
        </w:tc>
        <w:tc>
          <w:tcPr>
            <w:tcW w:w="1480" w:type="dxa"/>
            <w:vAlign w:val="bottom"/>
            <w:tcBorders>
              <w:bottom w:val="single" w:sz="8" w:color="CDDAE6"/>
            </w:tcBorders>
            <w:shd w:val="clear" w:color="auto" w:fill="CDDAE6"/>
          </w:tcPr>
          <w:p>
            <w:pPr>
              <w:spacing w:after="0"/>
              <w:rPr>
                <w:sz w:val="24"/>
                <w:szCs w:val="24"/>
                <w:color w:val="auto"/>
              </w:rPr>
            </w:pPr>
          </w:p>
        </w:tc>
      </w:tr>
      <w:tr>
        <w:trPr>
          <w:trHeight w:val="257"/>
        </w:trPr>
        <w:tc>
          <w:tcPr>
            <w:tcW w:w="2680" w:type="dxa"/>
            <w:vAlign w:val="bottom"/>
          </w:tcPr>
          <w:p>
            <w:pPr>
              <w:ind w:left="40"/>
              <w:spacing w:after="0"/>
              <w:rPr>
                <w:sz w:val="20"/>
                <w:szCs w:val="20"/>
                <w:color w:val="auto"/>
              </w:rPr>
            </w:pPr>
            <w:r>
              <w:rPr>
                <w:rFonts w:ascii="Arial" w:cs="Arial" w:eastAsia="Arial" w:hAnsi="Arial"/>
                <w:sz w:val="18"/>
                <w:szCs w:val="18"/>
                <w:color w:val="auto"/>
              </w:rPr>
              <w:t>Lewis Kramer*</w:t>
            </w:r>
          </w:p>
        </w:tc>
        <w:tc>
          <w:tcPr>
            <w:tcW w:w="20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41"/>
        </w:trPr>
        <w:tc>
          <w:tcPr>
            <w:tcW w:w="268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84"/>
        </w:trPr>
        <w:tc>
          <w:tcPr>
            <w:tcW w:w="2680" w:type="dxa"/>
            <w:vAlign w:val="bottom"/>
            <w:shd w:val="clear" w:color="auto" w:fill="CDDAE6"/>
          </w:tcPr>
          <w:p>
            <w:pPr>
              <w:ind w:left="40"/>
              <w:spacing w:after="0" w:line="284" w:lineRule="exact"/>
              <w:rPr>
                <w:sz w:val="20"/>
                <w:szCs w:val="20"/>
                <w:color w:val="auto"/>
              </w:rPr>
            </w:pPr>
            <w:r>
              <w:rPr>
                <w:rFonts w:ascii="Arial" w:cs="Arial" w:eastAsia="Arial" w:hAnsi="Arial"/>
                <w:sz w:val="18"/>
                <w:szCs w:val="18"/>
                <w:color w:val="auto"/>
              </w:rPr>
              <w:t>Robert B. Millard*</w:t>
            </w:r>
            <w:r>
              <w:rPr>
                <w:rFonts w:ascii="Arial" w:cs="Arial" w:eastAsia="Arial" w:hAnsi="Arial"/>
                <w:sz w:val="29"/>
                <w:szCs w:val="29"/>
                <w:color w:val="auto"/>
                <w:vertAlign w:val="superscript"/>
              </w:rPr>
              <w:t>(4)</w:t>
            </w:r>
          </w:p>
        </w:tc>
        <w:tc>
          <w:tcPr>
            <w:tcW w:w="2040" w:type="dxa"/>
            <w:vAlign w:val="bottom"/>
            <w:shd w:val="clear" w:color="auto" w:fill="CDDAE6"/>
          </w:tcPr>
          <w:p>
            <w:pPr>
              <w:spacing w:after="0"/>
              <w:rPr>
                <w:sz w:val="24"/>
                <w:szCs w:val="24"/>
                <w:color w:val="auto"/>
              </w:rPr>
            </w:pPr>
          </w:p>
        </w:tc>
        <w:tc>
          <w:tcPr>
            <w:tcW w:w="1740" w:type="dxa"/>
            <w:vAlign w:val="bottom"/>
            <w:shd w:val="clear" w:color="auto" w:fill="CDDAE6"/>
          </w:tcPr>
          <w:p>
            <w:pPr>
              <w:spacing w:after="0"/>
              <w:rPr>
                <w:sz w:val="24"/>
                <w:szCs w:val="24"/>
                <w:color w:val="auto"/>
              </w:rPr>
            </w:pPr>
          </w:p>
        </w:tc>
        <w:tc>
          <w:tcPr>
            <w:tcW w:w="1620" w:type="dxa"/>
            <w:vAlign w:val="bottom"/>
            <w:shd w:val="clear" w:color="auto" w:fill="CDDAE6"/>
          </w:tcPr>
          <w:p>
            <w:pPr>
              <w:spacing w:after="0"/>
              <w:rPr>
                <w:sz w:val="24"/>
                <w:szCs w:val="24"/>
                <w:color w:val="auto"/>
              </w:rPr>
            </w:pPr>
          </w:p>
        </w:tc>
        <w:tc>
          <w:tcPr>
            <w:tcW w:w="1480" w:type="dxa"/>
            <w:vAlign w:val="bottom"/>
            <w:shd w:val="clear" w:color="auto" w:fill="CDDAE6"/>
          </w:tcPr>
          <w:p>
            <w:pPr>
              <w:spacing w:after="0"/>
              <w:rPr>
                <w:sz w:val="24"/>
                <w:szCs w:val="24"/>
                <w:color w:val="auto"/>
              </w:rPr>
            </w:pPr>
          </w:p>
        </w:tc>
      </w:tr>
      <w:tr>
        <w:trPr>
          <w:trHeight w:val="257"/>
        </w:trPr>
        <w:tc>
          <w:tcPr>
            <w:tcW w:w="2680" w:type="dxa"/>
            <w:vAlign w:val="bottom"/>
          </w:tcPr>
          <w:p>
            <w:pPr>
              <w:ind w:left="40"/>
              <w:spacing w:after="0"/>
              <w:rPr>
                <w:sz w:val="20"/>
                <w:szCs w:val="20"/>
                <w:color w:val="auto"/>
              </w:rPr>
            </w:pPr>
            <w:r>
              <w:rPr>
                <w:rFonts w:ascii="Arial" w:cs="Arial" w:eastAsia="Arial" w:hAnsi="Arial"/>
                <w:sz w:val="18"/>
                <w:szCs w:val="18"/>
                <w:color w:val="auto"/>
              </w:rPr>
              <w:t>Lloyd W. Newton*</w:t>
            </w:r>
          </w:p>
        </w:tc>
        <w:tc>
          <w:tcPr>
            <w:tcW w:w="20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41"/>
        </w:trPr>
        <w:tc>
          <w:tcPr>
            <w:tcW w:w="268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77"/>
        </w:trPr>
        <w:tc>
          <w:tcPr>
            <w:tcW w:w="2680" w:type="dxa"/>
            <w:vAlign w:val="bottom"/>
            <w:tcBorders>
              <w:bottom w:val="single" w:sz="8" w:color="CDDAE6"/>
            </w:tcBorders>
            <w:shd w:val="clear" w:color="auto" w:fill="CDDAE6"/>
          </w:tcPr>
          <w:p>
            <w:pPr>
              <w:ind w:left="40"/>
              <w:spacing w:after="0"/>
              <w:rPr>
                <w:sz w:val="20"/>
                <w:szCs w:val="20"/>
                <w:color w:val="auto"/>
              </w:rPr>
            </w:pPr>
            <w:r>
              <w:rPr>
                <w:rFonts w:ascii="Arial" w:cs="Arial" w:eastAsia="Arial" w:hAnsi="Arial"/>
                <w:sz w:val="18"/>
                <w:szCs w:val="18"/>
                <w:color w:val="auto"/>
              </w:rPr>
              <w:t>Vincent Pagano, Jr.*</w:t>
            </w:r>
          </w:p>
        </w:tc>
        <w:tc>
          <w:tcPr>
            <w:tcW w:w="2040" w:type="dxa"/>
            <w:vAlign w:val="bottom"/>
            <w:tcBorders>
              <w:bottom w:val="single" w:sz="8" w:color="CDDAE6"/>
            </w:tcBorders>
            <w:shd w:val="clear" w:color="auto" w:fill="CDDAE6"/>
          </w:tcPr>
          <w:p>
            <w:pPr>
              <w:spacing w:after="0"/>
              <w:rPr>
                <w:sz w:val="24"/>
                <w:szCs w:val="24"/>
                <w:color w:val="auto"/>
              </w:rPr>
            </w:pPr>
          </w:p>
        </w:tc>
        <w:tc>
          <w:tcPr>
            <w:tcW w:w="1740" w:type="dxa"/>
            <w:vAlign w:val="bottom"/>
            <w:tcBorders>
              <w:bottom w:val="single" w:sz="8" w:color="CDDAE6"/>
            </w:tcBorders>
            <w:shd w:val="clear" w:color="auto" w:fill="CDDAE6"/>
          </w:tcPr>
          <w:p>
            <w:pPr>
              <w:spacing w:after="0"/>
              <w:rPr>
                <w:sz w:val="24"/>
                <w:szCs w:val="24"/>
                <w:color w:val="auto"/>
              </w:rPr>
            </w:pPr>
          </w:p>
        </w:tc>
        <w:tc>
          <w:tcPr>
            <w:tcW w:w="1620" w:type="dxa"/>
            <w:vAlign w:val="bottom"/>
            <w:tcBorders>
              <w:bottom w:val="single" w:sz="8" w:color="CDDAE6"/>
            </w:tcBorders>
            <w:shd w:val="clear" w:color="auto" w:fill="CDDAE6"/>
          </w:tcPr>
          <w:p>
            <w:pPr>
              <w:spacing w:after="0"/>
              <w:rPr>
                <w:sz w:val="24"/>
                <w:szCs w:val="24"/>
                <w:color w:val="auto"/>
              </w:rPr>
            </w:pPr>
          </w:p>
        </w:tc>
        <w:tc>
          <w:tcPr>
            <w:tcW w:w="1480" w:type="dxa"/>
            <w:vAlign w:val="bottom"/>
            <w:tcBorders>
              <w:bottom w:val="single" w:sz="8" w:color="CDDAE6"/>
            </w:tcBorders>
            <w:shd w:val="clear" w:color="auto" w:fill="CDDAE6"/>
          </w:tcPr>
          <w:p>
            <w:pPr>
              <w:spacing w:after="0"/>
              <w:rPr>
                <w:sz w:val="24"/>
                <w:szCs w:val="24"/>
                <w:color w:val="auto"/>
              </w:rPr>
            </w:pPr>
          </w:p>
        </w:tc>
      </w:tr>
      <w:tr>
        <w:trPr>
          <w:trHeight w:val="257"/>
        </w:trPr>
        <w:tc>
          <w:tcPr>
            <w:tcW w:w="2680" w:type="dxa"/>
            <w:vAlign w:val="bottom"/>
          </w:tcPr>
          <w:p>
            <w:pPr>
              <w:ind w:left="40"/>
              <w:spacing w:after="0"/>
              <w:rPr>
                <w:sz w:val="20"/>
                <w:szCs w:val="20"/>
                <w:color w:val="auto"/>
              </w:rPr>
            </w:pPr>
            <w:r>
              <w:rPr>
                <w:rFonts w:ascii="Arial" w:cs="Arial" w:eastAsia="Arial" w:hAnsi="Arial"/>
                <w:sz w:val="18"/>
                <w:szCs w:val="18"/>
                <w:color w:val="auto"/>
              </w:rPr>
              <w:t>H. Hugh Shelton*</w:t>
            </w:r>
          </w:p>
        </w:tc>
        <w:tc>
          <w:tcPr>
            <w:tcW w:w="20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41"/>
        </w:trPr>
        <w:tc>
          <w:tcPr>
            <w:tcW w:w="268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77"/>
        </w:trPr>
        <w:tc>
          <w:tcPr>
            <w:tcW w:w="2680" w:type="dxa"/>
            <w:vAlign w:val="bottom"/>
            <w:tcBorders>
              <w:bottom w:val="single" w:sz="8" w:color="CDDAE6"/>
            </w:tcBorders>
            <w:shd w:val="clear" w:color="auto" w:fill="CDDAE6"/>
          </w:tcPr>
          <w:p>
            <w:pPr>
              <w:ind w:left="40"/>
              <w:spacing w:after="0"/>
              <w:rPr>
                <w:sz w:val="20"/>
                <w:szCs w:val="20"/>
                <w:color w:val="auto"/>
              </w:rPr>
            </w:pPr>
            <w:r>
              <w:rPr>
                <w:rFonts w:ascii="Arial" w:cs="Arial" w:eastAsia="Arial" w:hAnsi="Arial"/>
                <w:sz w:val="18"/>
                <w:szCs w:val="18"/>
                <w:color w:val="auto"/>
              </w:rPr>
              <w:t>Arthur L. Simon*</w:t>
            </w:r>
          </w:p>
        </w:tc>
        <w:tc>
          <w:tcPr>
            <w:tcW w:w="2040" w:type="dxa"/>
            <w:vAlign w:val="bottom"/>
            <w:tcBorders>
              <w:bottom w:val="single" w:sz="8" w:color="CDDAE6"/>
            </w:tcBorders>
            <w:shd w:val="clear" w:color="auto" w:fill="CDDAE6"/>
          </w:tcPr>
          <w:p>
            <w:pPr>
              <w:spacing w:after="0"/>
              <w:rPr>
                <w:sz w:val="24"/>
                <w:szCs w:val="24"/>
                <w:color w:val="auto"/>
              </w:rPr>
            </w:pPr>
          </w:p>
        </w:tc>
        <w:tc>
          <w:tcPr>
            <w:tcW w:w="1740" w:type="dxa"/>
            <w:vAlign w:val="bottom"/>
            <w:tcBorders>
              <w:bottom w:val="single" w:sz="8" w:color="CDDAE6"/>
            </w:tcBorders>
            <w:shd w:val="clear" w:color="auto" w:fill="CDDAE6"/>
          </w:tcPr>
          <w:p>
            <w:pPr>
              <w:spacing w:after="0"/>
              <w:rPr>
                <w:sz w:val="24"/>
                <w:szCs w:val="24"/>
                <w:color w:val="auto"/>
              </w:rPr>
            </w:pPr>
          </w:p>
        </w:tc>
        <w:tc>
          <w:tcPr>
            <w:tcW w:w="1620" w:type="dxa"/>
            <w:vAlign w:val="bottom"/>
            <w:tcBorders>
              <w:bottom w:val="single" w:sz="8" w:color="CDDAE6"/>
            </w:tcBorders>
            <w:shd w:val="clear" w:color="auto" w:fill="CDDAE6"/>
          </w:tcPr>
          <w:p>
            <w:pPr>
              <w:spacing w:after="0"/>
              <w:rPr>
                <w:sz w:val="24"/>
                <w:szCs w:val="24"/>
                <w:color w:val="auto"/>
              </w:rPr>
            </w:pPr>
          </w:p>
        </w:tc>
        <w:tc>
          <w:tcPr>
            <w:tcW w:w="1480" w:type="dxa"/>
            <w:vAlign w:val="bottom"/>
            <w:tcBorders>
              <w:bottom w:val="single" w:sz="8" w:color="CDDAE6"/>
            </w:tcBorders>
            <w:shd w:val="clear" w:color="auto" w:fill="CDDAE6"/>
          </w:tcPr>
          <w:p>
            <w:pPr>
              <w:spacing w:after="0"/>
              <w:rPr>
                <w:sz w:val="24"/>
                <w:szCs w:val="24"/>
                <w:color w:val="auto"/>
              </w:rPr>
            </w:pPr>
          </w:p>
        </w:tc>
      </w:tr>
      <w:tr>
        <w:trPr>
          <w:trHeight w:val="257"/>
        </w:trPr>
        <w:tc>
          <w:tcPr>
            <w:tcW w:w="2680" w:type="dxa"/>
            <w:vAlign w:val="bottom"/>
          </w:tcPr>
          <w:p>
            <w:pPr>
              <w:ind w:left="40"/>
              <w:spacing w:after="0"/>
              <w:rPr>
                <w:sz w:val="20"/>
                <w:szCs w:val="20"/>
                <w:color w:val="auto"/>
              </w:rPr>
            </w:pPr>
            <w:r>
              <w:rPr>
                <w:rFonts w:ascii="Arial" w:cs="Arial" w:eastAsia="Arial" w:hAnsi="Arial"/>
                <w:sz w:val="18"/>
                <w:szCs w:val="18"/>
                <w:color w:val="auto"/>
              </w:rPr>
              <w:t>Michael T. Strianese</w:t>
            </w:r>
          </w:p>
        </w:tc>
        <w:tc>
          <w:tcPr>
            <w:tcW w:w="20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41"/>
        </w:trPr>
        <w:tc>
          <w:tcPr>
            <w:tcW w:w="2680" w:type="dxa"/>
            <w:vAlign w:val="bottom"/>
            <w:tcBorders>
              <w:bottom w:val="single" w:sz="8" w:color="005C7D"/>
            </w:tcBorders>
          </w:tcPr>
          <w:p>
            <w:pPr>
              <w:spacing w:after="0"/>
              <w:rPr>
                <w:sz w:val="3"/>
                <w:szCs w:val="3"/>
                <w:color w:val="auto"/>
              </w:rPr>
            </w:pPr>
          </w:p>
        </w:tc>
        <w:tc>
          <w:tcPr>
            <w:tcW w:w="2040" w:type="dxa"/>
            <w:vAlign w:val="bottom"/>
            <w:tcBorders>
              <w:bottom w:val="single" w:sz="8" w:color="005C7D"/>
            </w:tcBorders>
          </w:tcPr>
          <w:p>
            <w:pPr>
              <w:spacing w:after="0"/>
              <w:rPr>
                <w:sz w:val="3"/>
                <w:szCs w:val="3"/>
                <w:color w:val="auto"/>
              </w:rPr>
            </w:pPr>
          </w:p>
        </w:tc>
        <w:tc>
          <w:tcPr>
            <w:tcW w:w="1740" w:type="dxa"/>
            <w:vAlign w:val="bottom"/>
            <w:tcBorders>
              <w:bottom w:val="single" w:sz="8" w:color="005C7D"/>
            </w:tcBorders>
          </w:tcPr>
          <w:p>
            <w:pPr>
              <w:spacing w:after="0"/>
              <w:rPr>
                <w:sz w:val="3"/>
                <w:szCs w:val="3"/>
                <w:color w:val="auto"/>
              </w:rPr>
            </w:pPr>
          </w:p>
        </w:tc>
        <w:tc>
          <w:tcPr>
            <w:tcW w:w="1620" w:type="dxa"/>
            <w:vAlign w:val="bottom"/>
            <w:tcBorders>
              <w:bottom w:val="single" w:sz="8" w:color="005C7D"/>
            </w:tcBorders>
          </w:tcPr>
          <w:p>
            <w:pPr>
              <w:spacing w:after="0"/>
              <w:rPr>
                <w:sz w:val="3"/>
                <w:szCs w:val="3"/>
                <w:color w:val="auto"/>
              </w:rPr>
            </w:pPr>
          </w:p>
        </w:tc>
        <w:tc>
          <w:tcPr>
            <w:tcW w:w="1480" w:type="dxa"/>
            <w:vAlign w:val="bottom"/>
            <w:tcBorders>
              <w:bottom w:val="single" w:sz="8" w:color="005C7D"/>
            </w:tcBorders>
          </w:tcPr>
          <w:p>
            <w:pPr>
              <w:spacing w:after="0"/>
              <w:rPr>
                <w:sz w:val="3"/>
                <w:szCs w:val="3"/>
                <w:color w:val="auto"/>
              </w:rPr>
            </w:pPr>
          </w:p>
        </w:tc>
      </w:tr>
      <w:tr>
        <w:trPr>
          <w:trHeight w:val="232"/>
        </w:trPr>
        <w:tc>
          <w:tcPr>
            <w:tcW w:w="2680" w:type="dxa"/>
            <w:vAlign w:val="bottom"/>
            <w:tcBorders>
              <w:bottom w:val="single" w:sz="8" w:color="005C7D"/>
            </w:tcBorders>
            <w:shd w:val="clear" w:color="auto" w:fill="B2C7D8"/>
          </w:tcPr>
          <w:p>
            <w:pPr>
              <w:ind w:left="40"/>
              <w:spacing w:after="0"/>
              <w:rPr>
                <w:sz w:val="20"/>
                <w:szCs w:val="20"/>
                <w:color w:val="auto"/>
              </w:rPr>
            </w:pPr>
            <w:r>
              <w:rPr>
                <w:rFonts w:ascii="Arial" w:cs="Arial" w:eastAsia="Arial" w:hAnsi="Arial"/>
                <w:sz w:val="18"/>
                <w:szCs w:val="18"/>
                <w:b w:val="1"/>
                <w:bCs w:val="1"/>
                <w:color w:val="auto"/>
              </w:rPr>
              <w:t>2016 Meetings</w:t>
            </w:r>
          </w:p>
        </w:tc>
        <w:tc>
          <w:tcPr>
            <w:tcW w:w="2040" w:type="dxa"/>
            <w:vAlign w:val="bottom"/>
            <w:tcBorders>
              <w:bottom w:val="single" w:sz="8" w:color="005C7D"/>
            </w:tcBorders>
            <w:shd w:val="clear" w:color="auto" w:fill="B2C7D8"/>
          </w:tcPr>
          <w:p>
            <w:pPr>
              <w:jc w:val="right"/>
              <w:ind w:right="399"/>
              <w:spacing w:after="0"/>
              <w:rPr>
                <w:sz w:val="20"/>
                <w:szCs w:val="20"/>
                <w:color w:val="auto"/>
              </w:rPr>
            </w:pPr>
            <w:r>
              <w:rPr>
                <w:rFonts w:ascii="Arial" w:cs="Arial" w:eastAsia="Arial" w:hAnsi="Arial"/>
                <w:sz w:val="18"/>
                <w:szCs w:val="18"/>
                <w:b w:val="1"/>
                <w:bCs w:val="1"/>
                <w:color w:val="auto"/>
              </w:rPr>
              <w:t>10</w:t>
            </w:r>
          </w:p>
        </w:tc>
        <w:tc>
          <w:tcPr>
            <w:tcW w:w="1740" w:type="dxa"/>
            <w:vAlign w:val="bottom"/>
            <w:tcBorders>
              <w:bottom w:val="single" w:sz="8" w:color="005C7D"/>
            </w:tcBorders>
            <w:shd w:val="clear" w:color="auto" w:fill="B2C7D8"/>
          </w:tcPr>
          <w:p>
            <w:pPr>
              <w:jc w:val="right"/>
              <w:ind w:right="619"/>
              <w:spacing w:after="0"/>
              <w:rPr>
                <w:sz w:val="20"/>
                <w:szCs w:val="20"/>
                <w:color w:val="auto"/>
              </w:rPr>
            </w:pPr>
            <w:r>
              <w:rPr>
                <w:rFonts w:ascii="Arial" w:cs="Arial" w:eastAsia="Arial" w:hAnsi="Arial"/>
                <w:sz w:val="18"/>
                <w:szCs w:val="18"/>
                <w:b w:val="1"/>
                <w:bCs w:val="1"/>
                <w:color w:val="auto"/>
              </w:rPr>
              <w:t>5</w:t>
            </w:r>
          </w:p>
        </w:tc>
        <w:tc>
          <w:tcPr>
            <w:tcW w:w="1620" w:type="dxa"/>
            <w:vAlign w:val="bottom"/>
            <w:tcBorders>
              <w:bottom w:val="single" w:sz="8" w:color="005C7D"/>
            </w:tcBorders>
            <w:shd w:val="clear" w:color="auto" w:fill="B2C7D8"/>
          </w:tcPr>
          <w:p>
            <w:pPr>
              <w:jc w:val="right"/>
              <w:ind w:right="683"/>
              <w:spacing w:after="0"/>
              <w:rPr>
                <w:sz w:val="20"/>
                <w:szCs w:val="20"/>
                <w:color w:val="auto"/>
              </w:rPr>
            </w:pPr>
            <w:r>
              <w:rPr>
                <w:rFonts w:ascii="Arial" w:cs="Arial" w:eastAsia="Arial" w:hAnsi="Arial"/>
                <w:sz w:val="18"/>
                <w:szCs w:val="18"/>
                <w:b w:val="1"/>
                <w:bCs w:val="1"/>
                <w:color w:val="auto"/>
              </w:rPr>
              <w:t>4</w:t>
            </w:r>
          </w:p>
        </w:tc>
        <w:tc>
          <w:tcPr>
            <w:tcW w:w="1480" w:type="dxa"/>
            <w:vAlign w:val="bottom"/>
            <w:tcBorders>
              <w:bottom w:val="single" w:sz="8" w:color="005C7D"/>
            </w:tcBorders>
            <w:shd w:val="clear" w:color="auto" w:fill="B2C7D8"/>
          </w:tcPr>
          <w:p>
            <w:pPr>
              <w:jc w:val="right"/>
              <w:ind w:right="559"/>
              <w:spacing w:after="0"/>
              <w:rPr>
                <w:sz w:val="20"/>
                <w:szCs w:val="20"/>
                <w:color w:val="auto"/>
              </w:rPr>
            </w:pPr>
            <w:r>
              <w:rPr>
                <w:rFonts w:ascii="Arial" w:cs="Arial" w:eastAsia="Arial" w:hAnsi="Arial"/>
                <w:sz w:val="18"/>
                <w:szCs w:val="18"/>
                <w:b w:val="1"/>
                <w:bCs w:val="1"/>
                <w:color w:val="auto"/>
              </w:rPr>
              <w:t>0</w:t>
            </w:r>
          </w:p>
        </w:tc>
      </w:tr>
      <w:tr>
        <w:trPr>
          <w:trHeight w:val="173"/>
        </w:trPr>
        <w:tc>
          <w:tcPr>
            <w:tcW w:w="2680" w:type="dxa"/>
            <w:vAlign w:val="bottom"/>
            <w:tcBorders>
              <w:bottom w:val="single" w:sz="8" w:color="auto"/>
            </w:tcBorders>
          </w:tcPr>
          <w:p>
            <w:pPr>
              <w:spacing w:after="0"/>
              <w:rPr>
                <w:sz w:val="15"/>
                <w:szCs w:val="15"/>
                <w:color w:val="auto"/>
              </w:rPr>
            </w:pPr>
          </w:p>
        </w:tc>
        <w:tc>
          <w:tcPr>
            <w:tcW w:w="20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-2160270</wp:posOffset>
            </wp:positionV>
            <wp:extent cx="102870" cy="3600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870" cy="360045"/>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-1783080</wp:posOffset>
            </wp:positionV>
            <wp:extent cx="10287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-1594485</wp:posOffset>
            </wp:positionV>
            <wp:extent cx="10287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-1594485</wp:posOffset>
            </wp:positionV>
            <wp:extent cx="3104515" cy="12947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104515" cy="129476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-1594485</wp:posOffset>
            </wp:positionV>
            <wp:extent cx="3104515" cy="12947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104515" cy="1294765"/>
                    </a:xfrm>
                    <a:prstGeom prst="rect">
                      <a:avLst/>
                    </a:prstGeom>
                    <a:noFill/>
                  </pic:spPr>
                </pic:pic>
              </a:graphicData>
            </a:graphic>
          </wp:anchor>
        </w:drawing>
      </w:r>
    </w:p>
    <w:p>
      <w:pPr>
        <w:spacing w:after="0" w:line="78" w:lineRule="exact"/>
        <w:rPr>
          <w:sz w:val="20"/>
          <w:szCs w:val="20"/>
          <w:color w:val="auto"/>
        </w:rPr>
      </w:pPr>
    </w:p>
    <w:p>
      <w:pPr>
        <w:ind w:left="347" w:hanging="347"/>
        <w:spacing w:after="0"/>
        <w:tabs>
          <w:tab w:leader="none" w:pos="347"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Independent Director.</w:t>
      </w:r>
    </w:p>
    <w:p>
      <w:pPr>
        <w:spacing w:after="0" w:line="46" w:lineRule="exact"/>
        <w:rPr>
          <w:sz w:val="20"/>
          <w:szCs w:val="20"/>
          <w:color w:val="auto"/>
        </w:rPr>
      </w:pPr>
    </w:p>
    <w:p>
      <w:pPr>
        <w:ind w:left="347" w:right="80" w:hanging="347"/>
        <w:spacing w:after="0" w:line="273" w:lineRule="auto"/>
        <w:tabs>
          <w:tab w:leader="none" w:pos="347"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Audit Committee consists entirely of non-management directors all of whom the Board has determined are independent within the meaning of the listing standards of the NYSE and Rule 10A-3 of the Exchange Act. The Board has determined that all members of the Audit Committee are financially literate and that Messrs. Kramer and Simon are both “audit committee financial experts” within the meaning set forth in the regulations of the SEC.</w:t>
      </w:r>
    </w:p>
    <w:p>
      <w:pPr>
        <w:ind w:left="347" w:right="140" w:hanging="347"/>
        <w:spacing w:after="0" w:line="275" w:lineRule="auto"/>
        <w:tabs>
          <w:tab w:leader="none" w:pos="347"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Compensation Committee consists entirely of non-management directors all of whom the Board has determined are independent within the meaning of the listing standards of the NYSE; are non-employee directors for the purposes of Rule 16b-3 of the Exchange Act; and satisfy the requirements of Internal Revenue Code Section 162(m) for outside directors.</w:t>
      </w:r>
    </w:p>
    <w:p>
      <w:pPr>
        <w:spacing w:after="0" w:line="2" w:lineRule="exact"/>
        <w:rPr>
          <w:rFonts w:ascii="Arial" w:cs="Arial" w:eastAsia="Arial" w:hAnsi="Arial"/>
          <w:sz w:val="16"/>
          <w:szCs w:val="16"/>
          <w:color w:val="auto"/>
        </w:rPr>
      </w:pPr>
    </w:p>
    <w:p>
      <w:pPr>
        <w:ind w:left="347" w:right="60" w:hanging="347"/>
        <w:spacing w:after="0" w:line="281" w:lineRule="auto"/>
        <w:tabs>
          <w:tab w:leader="none" w:pos="347"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Nominating/Corporate Governance Committee consists entirely of non-management directors all of whom the Board has determined are independent within the meaning of the listing standards of the NYSE and our standards of independence.</w:t>
      </w:r>
    </w:p>
    <w:p>
      <w:pPr>
        <w:spacing w:after="0" w:line="1" w:lineRule="exact"/>
        <w:rPr>
          <w:rFonts w:ascii="Arial" w:cs="Arial" w:eastAsia="Arial" w:hAnsi="Arial"/>
          <w:sz w:val="16"/>
          <w:szCs w:val="16"/>
          <w:color w:val="auto"/>
        </w:rPr>
      </w:pPr>
    </w:p>
    <w:p>
      <w:pPr>
        <w:ind w:left="347" w:hanging="347"/>
        <w:spacing w:after="0"/>
        <w:tabs>
          <w:tab w:leader="none" w:pos="347" w:val="left"/>
        </w:tabs>
        <w:numPr>
          <w:ilvl w:val="0"/>
          <w:numId w:val="46"/>
        </w:numPr>
        <w:rPr>
          <w:rFonts w:ascii="Arial" w:cs="Arial" w:eastAsia="Arial" w:hAnsi="Arial"/>
          <w:sz w:val="16"/>
          <w:szCs w:val="16"/>
          <w:color w:val="auto"/>
        </w:rPr>
      </w:pPr>
      <w:r>
        <w:rPr>
          <w:rFonts w:ascii="Arial" w:cs="Arial" w:eastAsia="Arial" w:hAnsi="Arial"/>
          <w:sz w:val="16"/>
          <w:szCs w:val="16"/>
          <w:color w:val="auto"/>
        </w:rPr>
        <w:t>Lead Independent Director.</w:t>
      </w:r>
    </w:p>
    <w:p>
      <w:pPr>
        <w:spacing w:after="0" w:line="22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OVERSIGHT OF RISK MANAGEMENT</w:t>
      </w:r>
    </w:p>
    <w:p>
      <w:pPr>
        <w:spacing w:after="0" w:line="175" w:lineRule="exact"/>
        <w:rPr>
          <w:sz w:val="20"/>
          <w:szCs w:val="20"/>
          <w:color w:val="auto"/>
        </w:rPr>
      </w:pPr>
    </w:p>
    <w:p>
      <w:pPr>
        <w:ind w:left="7" w:right="40"/>
        <w:spacing w:after="0" w:line="274" w:lineRule="auto"/>
        <w:rPr>
          <w:sz w:val="20"/>
          <w:szCs w:val="20"/>
          <w:color w:val="auto"/>
        </w:rPr>
      </w:pPr>
      <w:r>
        <w:rPr>
          <w:rFonts w:ascii="Arial" w:cs="Arial" w:eastAsia="Arial" w:hAnsi="Arial"/>
          <w:sz w:val="16"/>
          <w:szCs w:val="16"/>
          <w:color w:val="auto"/>
        </w:rPr>
        <w:t>L3 is exposed to various risks including, but not limited to, strategic, operational, financial, liquidity and reputational, and also risks relating to reporting, pending and threatened litigation, and regulatory and legal compliance. L3’s enterprise risk profile is also affected by changes in the yearly U.S. Department of Defense (“DoD”) budget and spending levels, priorities and procurement practices, and also the fiscal situations and general economic conditions affecting our major customers, especially the DoD. L3’s management designed the Company’s enterprise risk management process to identify, monitor and evaluate these risks and develop an approach to address each identified risk. L3’s enterprise risk management process is a company-wide initiative and involves each of our reportable segments and business units. The Company takes a multi-disciplinary approach to risk.</w:t>
      </w:r>
    </w:p>
    <w:p>
      <w:pPr>
        <w:spacing w:after="0" w:line="110" w:lineRule="exact"/>
        <w:rPr>
          <w:sz w:val="20"/>
          <w:szCs w:val="20"/>
          <w:color w:val="auto"/>
        </w:rPr>
      </w:pPr>
    </w:p>
    <w:p>
      <w:pPr>
        <w:ind w:left="7" w:right="100"/>
        <w:spacing w:after="0" w:line="276" w:lineRule="auto"/>
        <w:rPr>
          <w:sz w:val="20"/>
          <w:szCs w:val="20"/>
          <w:color w:val="auto"/>
        </w:rPr>
      </w:pPr>
      <w:r>
        <w:rPr>
          <w:rFonts w:ascii="Arial" w:cs="Arial" w:eastAsia="Arial" w:hAnsi="Arial"/>
          <w:sz w:val="16"/>
          <w:szCs w:val="16"/>
          <w:color w:val="auto"/>
        </w:rPr>
        <w:t>L3’s Chief Financial Officer, at the direction of the Chief Executive Officer, is responsible for overseeing the Company’s enterprise risk management process and periodically reports enterprise risk information to each of the Chief Executive Officer, the Audit Committee and the Board of Directors. In fulfilling his risk management responsibilities, the Chief Financial Officer works closely with members of the senior management team, including the Company’s Chief Operating Officer, General Counsel, the Executive Vice President of Corporate Strategy and Development, the Controller and Principal Accounting Officer, Treasurer, the Vice President — Planning and each of the business unit group presidents and group chief financial officers.</w:t>
      </w:r>
    </w:p>
    <w:p>
      <w:pPr>
        <w:spacing w:after="0" w:line="108" w:lineRule="exact"/>
        <w:rPr>
          <w:sz w:val="20"/>
          <w:szCs w:val="20"/>
          <w:color w:val="auto"/>
        </w:rPr>
      </w:pPr>
    </w:p>
    <w:p>
      <w:pPr>
        <w:ind w:left="7" w:right="120"/>
        <w:spacing w:after="0"/>
        <w:rPr>
          <w:sz w:val="20"/>
          <w:szCs w:val="20"/>
          <w:color w:val="auto"/>
        </w:rPr>
      </w:pPr>
      <w:r>
        <w:rPr>
          <w:rFonts w:ascii="Arial" w:cs="Arial" w:eastAsia="Arial" w:hAnsi="Arial"/>
          <w:sz w:val="18"/>
          <w:szCs w:val="18"/>
          <w:color w:val="auto"/>
        </w:rPr>
        <w:t>On behalf of the Board of Directors, the Audit Committee plays a key role in the oversight of the Company’s enterprise risk management function. In this regard, the Audit Committee discusses policies with respect to risk assessment and risk management, and the Company’s Chief Financial Officer meets with the Audit Committee at least five times per year to specifically discuss the enterprise risks facing the Company, highlighting any new risks that may have arisen since they last met. Additionally, at each Board of Directors meeting, the Chief Executive Officer, Chief Operating Officer and Chief Financial Officer report information about major risks facing the company.</w:t>
      </w:r>
    </w:p>
    <w:p>
      <w:pPr>
        <w:spacing w:after="0" w:line="260" w:lineRule="exact"/>
        <w:rPr>
          <w:sz w:val="20"/>
          <w:szCs w:val="20"/>
          <w:color w:val="auto"/>
        </w:rPr>
      </w:pPr>
    </w:p>
    <w:p>
      <w:pPr>
        <w:ind w:left="47"/>
        <w:spacing w:after="0"/>
        <w:tabs>
          <w:tab w:leader="none" w:pos="666" w:val="left"/>
        </w:tabs>
        <w:rPr>
          <w:sz w:val="20"/>
          <w:szCs w:val="20"/>
          <w:color w:val="auto"/>
        </w:rPr>
      </w:pPr>
      <w:r>
        <w:rPr>
          <w:rFonts w:ascii="Arial" w:cs="Arial" w:eastAsia="Arial" w:hAnsi="Arial"/>
          <w:sz w:val="18"/>
          <w:szCs w:val="18"/>
          <w:color w:val="005C7D"/>
        </w:rPr>
        <w:t>32</w:t>
      </w:r>
      <w:r>
        <w:rPr>
          <w:sz w:val="20"/>
          <w:szCs w:val="20"/>
          <w:color w:val="auto"/>
        </w:rPr>
        <w:tab/>
      </w: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382270</wp:posOffset>
            </wp:positionV>
            <wp:extent cx="6071870" cy="431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-106045</wp:posOffset>
            </wp:positionV>
            <wp:extent cx="154305"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POLITICAL CONTRIBUTIONS AND LOBBYING</w:t>
      </w:r>
    </w:p>
    <w:p>
      <w:pPr>
        <w:spacing w:after="0" w:line="17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Pursuant to the Company’s political contributions policy, the Company has a global policy against making contributions to political parties, political committees or candidates using Company resources (including monetary and in-kind services), even where permitted by law. In the United States, the Company maintains a political action committee (the “PAC”) which operates under the regulations of the Federal Election Commission and makes federal political contributions to federal candidates that meet specified criteria aligned with the Company’s interests. The contributions made by the PAC are not funded by corporate funds and are fully funded by voluntary contributions made by eligible employees. Corporate funds and facilities, as permitted by law, are used to provide administrative support, including the solicitation of funds from eligible employees and the distribution of contributions. The Company does not penalize in any way eligible employees who do not contribute to the PAC.</w:t>
      </w:r>
    </w:p>
    <w:p>
      <w:pPr>
        <w:spacing w:after="0" w:line="125"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PAC operates in compliance with all applicable laws governing PACs, including laws requiring public disclosure of contributions. The Nominating/Corporate Governance Committee oversees the Company’s political activities. The Company’s political contributions policy is available through the “Corporate Governance” section of our website accessible through http://www.L3T.com/investor-relations/corporate-governance.</w:t>
      </w:r>
    </w:p>
    <w:p>
      <w:pPr>
        <w:spacing w:after="0" w:line="227" w:lineRule="exact"/>
        <w:rPr>
          <w:sz w:val="20"/>
          <w:szCs w:val="20"/>
          <w:color w:val="auto"/>
        </w:rPr>
      </w:pPr>
    </w:p>
    <w:p>
      <w:pPr>
        <w:ind w:left="7820"/>
        <w:spacing w:after="0"/>
        <w:tabs>
          <w:tab w:leader="none" w:pos="932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6071870" cy="431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-107315</wp:posOffset>
            </wp:positionV>
            <wp:extent cx="163195"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005C7D"/>
        </w:rPr>
        <w:t>EXECUTIVES AND CERTAIN OTHER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149860</wp:posOffset>
            </wp:positionV>
            <wp:extent cx="6071870" cy="2057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71870" cy="205740"/>
                    </a:xfrm>
                    <a:prstGeom prst="rect">
                      <a:avLst/>
                    </a:prstGeom>
                    <a:noFill/>
                  </pic:spPr>
                </pic:pic>
              </a:graphicData>
            </a:graphic>
          </wp:anchor>
        </w:drawing>
      </w:r>
    </w:p>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005C7D"/>
        </w:rPr>
        <w:t>EXECUTIVES AND CERTAIN OTHER OFFICERS OF THE COMPANY</w:t>
      </w:r>
    </w:p>
    <w:p>
      <w:pPr>
        <w:spacing w:after="0" w:line="20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Set forth below is certain information regarding each of our current executives, other than Mr. Strianese who is presented under “Proposals Requiring Your Vote – Proposal 1 – Election of Directors – Nominees For Election to the Board of Directors in 2017,” and certain of our other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6071870" cy="18611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71870" cy="1861185"/>
                    </a:xfrm>
                    <a:prstGeom prst="rect">
                      <a:avLst/>
                    </a:prstGeom>
                    <a:noFill/>
                  </pic:spPr>
                </pic:pic>
              </a:graphicData>
            </a:graphic>
          </wp:anchor>
        </w:drawing>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5C7D"/>
        </w:rPr>
        <w:t>CHRISTOPHER E. KUBASIK</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80" w:type="dxa"/>
            <w:vAlign w:val="bottom"/>
            <w:tcBorders>
              <w:top w:val="single" w:sz="8" w:color="005C7D"/>
            </w:tcBorders>
            <w:gridSpan w:val="2"/>
          </w:tcPr>
          <w:p>
            <w:pPr>
              <w:ind w:left="160"/>
              <w:spacing w:after="0"/>
              <w:rPr>
                <w:sz w:val="20"/>
                <w:szCs w:val="20"/>
                <w:color w:val="auto"/>
              </w:rPr>
            </w:pPr>
            <w:r>
              <w:rPr>
                <w:rFonts w:ascii="Arial" w:cs="Arial" w:eastAsia="Arial" w:hAnsi="Arial"/>
                <w:sz w:val="18"/>
                <w:szCs w:val="18"/>
                <w:b w:val="1"/>
                <w:bCs w:val="1"/>
                <w:color w:val="005C7D"/>
              </w:rPr>
              <w:t>President and Chief Operating</w:t>
            </w:r>
          </w:p>
        </w:tc>
        <w:tc>
          <w:tcPr>
            <w:tcW w:w="6780" w:type="dxa"/>
            <w:vAlign w:val="bottom"/>
            <w:tcBorders>
              <w:top w:val="single" w:sz="8" w:color="005C7D"/>
            </w:tcBorders>
          </w:tcPr>
          <w:p>
            <w:pPr>
              <w:ind w:left="200"/>
              <w:spacing w:after="0"/>
              <w:rPr>
                <w:sz w:val="20"/>
                <w:szCs w:val="20"/>
                <w:color w:val="auto"/>
              </w:rPr>
            </w:pPr>
            <w:r>
              <w:rPr>
                <w:rFonts w:ascii="Arial" w:cs="Arial" w:eastAsia="Arial" w:hAnsi="Arial"/>
                <w:sz w:val="18"/>
                <w:szCs w:val="18"/>
                <w:b w:val="1"/>
                <w:bCs w:val="1"/>
                <w:color w:val="005C7D"/>
              </w:rPr>
              <w:t>Principal Occupation And Other Information</w:t>
            </w:r>
          </w:p>
        </w:tc>
        <w:tc>
          <w:tcPr>
            <w:tcW w:w="0" w:type="dxa"/>
            <w:vAlign w:val="bottom"/>
          </w:tcPr>
          <w:p>
            <w:pPr>
              <w:spacing w:after="0"/>
              <w:rPr>
                <w:sz w:val="1"/>
                <w:szCs w:val="1"/>
                <w:color w:val="auto"/>
              </w:rPr>
            </w:pPr>
          </w:p>
        </w:tc>
      </w:tr>
      <w:tr>
        <w:trPr>
          <w:trHeight w:val="261"/>
        </w:trPr>
        <w:tc>
          <w:tcPr>
            <w:tcW w:w="2780" w:type="dxa"/>
            <w:vAlign w:val="bottom"/>
            <w:gridSpan w:val="2"/>
          </w:tcPr>
          <w:p>
            <w:pPr>
              <w:ind w:left="160"/>
              <w:spacing w:after="0"/>
              <w:rPr>
                <w:sz w:val="20"/>
                <w:szCs w:val="20"/>
                <w:color w:val="auto"/>
              </w:rPr>
            </w:pPr>
            <w:r>
              <w:rPr>
                <w:rFonts w:ascii="Arial" w:cs="Arial" w:eastAsia="Arial" w:hAnsi="Arial"/>
                <w:sz w:val="18"/>
                <w:szCs w:val="18"/>
                <w:b w:val="1"/>
                <w:bCs w:val="1"/>
                <w:color w:val="005C7D"/>
              </w:rPr>
              <w:t>Officer</w:t>
            </w:r>
          </w:p>
        </w:tc>
        <w:tc>
          <w:tcPr>
            <w:tcW w:w="6780" w:type="dxa"/>
            <w:vAlign w:val="bottom"/>
          </w:tcPr>
          <w:p>
            <w:pPr>
              <w:ind w:left="200"/>
              <w:spacing w:after="0"/>
              <w:rPr>
                <w:sz w:val="20"/>
                <w:szCs w:val="20"/>
                <w:color w:val="auto"/>
              </w:rPr>
            </w:pPr>
            <w:r>
              <w:rPr>
                <w:rFonts w:ascii="Arial" w:cs="Arial" w:eastAsia="Arial" w:hAnsi="Arial"/>
                <w:sz w:val="18"/>
                <w:szCs w:val="18"/>
                <w:color w:val="auto"/>
                <w:w w:val="95"/>
              </w:rPr>
              <w:t>Mr. Kubasik became our President and Chief Operating Officer in October 2015. From</w:t>
            </w:r>
          </w:p>
        </w:tc>
        <w:tc>
          <w:tcPr>
            <w:tcW w:w="0" w:type="dxa"/>
            <w:vAlign w:val="bottom"/>
          </w:tcPr>
          <w:p>
            <w:pPr>
              <w:spacing w:after="0"/>
              <w:rPr>
                <w:sz w:val="1"/>
                <w:szCs w:val="1"/>
                <w:color w:val="auto"/>
              </w:rPr>
            </w:pPr>
          </w:p>
        </w:tc>
      </w:tr>
      <w:tr>
        <w:trPr>
          <w:trHeight w:val="216"/>
        </w:trPr>
        <w:tc>
          <w:tcPr>
            <w:tcW w:w="680" w:type="dxa"/>
            <w:vAlign w:val="bottom"/>
            <w:vMerge w:val="restart"/>
          </w:tcPr>
          <w:p>
            <w:pPr>
              <w:ind w:left="160"/>
              <w:spacing w:after="0"/>
              <w:rPr>
                <w:sz w:val="20"/>
                <w:szCs w:val="20"/>
                <w:color w:val="auto"/>
              </w:rPr>
            </w:pPr>
            <w:r>
              <w:rPr>
                <w:rFonts w:ascii="Arial" w:cs="Arial" w:eastAsia="Arial" w:hAnsi="Arial"/>
                <w:sz w:val="18"/>
                <w:szCs w:val="18"/>
                <w:b w:val="1"/>
                <w:bCs w:val="1"/>
                <w:color w:val="005C7D"/>
                <w:w w:val="84"/>
              </w:rPr>
              <w:t>Age 55</w:t>
            </w:r>
          </w:p>
        </w:tc>
        <w:tc>
          <w:tcPr>
            <w:tcW w:w="210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0"/>
              </w:rPr>
              <w:t>March 2014 to October 2015, Mr. Kubasik served as President and Chief Executive Officer</w:t>
            </w:r>
          </w:p>
        </w:tc>
        <w:tc>
          <w:tcPr>
            <w:tcW w:w="0" w:type="dxa"/>
            <w:vAlign w:val="bottom"/>
          </w:tcPr>
          <w:p>
            <w:pPr>
              <w:spacing w:after="0"/>
              <w:rPr>
                <w:sz w:val="1"/>
                <w:szCs w:val="1"/>
                <w:color w:val="auto"/>
              </w:rPr>
            </w:pPr>
          </w:p>
        </w:tc>
      </w:tr>
      <w:tr>
        <w:trPr>
          <w:trHeight w:val="216"/>
        </w:trPr>
        <w:tc>
          <w:tcPr>
            <w:tcW w:w="68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2"/>
              </w:rPr>
              <w:t>of the Seabury Advisory Group. From 2013 to 2014, Mr. Kubasik served as President and</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5"/>
              </w:rPr>
              <w:t>Chief Executive Officer of Ackuity Advisors, Inc. Prior to that, Mr. Kubasik held various</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2"/>
              </w:rPr>
              <w:t>executive positions with Lockheed Martin Corporation including Vice Chairman, President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5"/>
              </w:rPr>
              <w:t>and Chief Operating Officer from 2010 to 2012; Executive Vice President of Electronic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5"/>
              </w:rPr>
              <w:t>Systems division from 2007 to 2009; and Executive Vice President and Chief Financial</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3"/>
              </w:rPr>
              <w:t>Officer from 2001 to 2007. In 1983, Mr. Kubasik began his career in public accounting at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5"/>
              </w:rPr>
              <w:t>Ernst &amp; Young, LLP, and served in a number of increasingly responsible positions until</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1"/>
              </w:rPr>
              <w:t>becoming a partner in 1996. Mr. Kubasik graduated magna cum laude from the University</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of Maryland School of Business.</w:t>
            </w:r>
          </w:p>
        </w:tc>
        <w:tc>
          <w:tcPr>
            <w:tcW w:w="0" w:type="dxa"/>
            <w:vAlign w:val="bottom"/>
          </w:tcPr>
          <w:p>
            <w:pPr>
              <w:spacing w:after="0"/>
              <w:rPr>
                <w:sz w:val="1"/>
                <w:szCs w:val="1"/>
                <w:color w:val="auto"/>
              </w:rPr>
            </w:pPr>
          </w:p>
        </w:tc>
      </w:tr>
      <w:tr>
        <w:trPr>
          <w:trHeight w:val="257"/>
        </w:trPr>
        <w:tc>
          <w:tcPr>
            <w:tcW w:w="2780" w:type="dxa"/>
            <w:vAlign w:val="bottom"/>
            <w:tcBorders>
              <w:bottom w:val="single" w:sz="8" w:color="005C7D"/>
            </w:tcBorders>
            <w:gridSpan w:val="2"/>
          </w:tcPr>
          <w:p>
            <w:pPr>
              <w:spacing w:after="0"/>
              <w:rPr>
                <w:sz w:val="22"/>
                <w:szCs w:val="22"/>
                <w:color w:val="auto"/>
              </w:rPr>
            </w:pPr>
          </w:p>
        </w:tc>
        <w:tc>
          <w:tcPr>
            <w:tcW w:w="6780" w:type="dxa"/>
            <w:vAlign w:val="bottom"/>
            <w:tcBorders>
              <w:bottom w:val="single" w:sz="8" w:color="005C7D"/>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780" w:type="dxa"/>
            <w:vAlign w:val="bottom"/>
            <w:tcBorders>
              <w:bottom w:val="single" w:sz="8" w:color="005C7D"/>
            </w:tcBorders>
            <w:gridSpan w:val="2"/>
            <w:shd w:val="clear" w:color="auto" w:fill="CDDAE6"/>
          </w:tcPr>
          <w:p>
            <w:pPr>
              <w:ind w:left="160"/>
              <w:spacing w:after="0"/>
              <w:rPr>
                <w:sz w:val="20"/>
                <w:szCs w:val="20"/>
                <w:color w:val="auto"/>
              </w:rPr>
            </w:pPr>
            <w:r>
              <w:rPr>
                <w:rFonts w:ascii="Arial" w:cs="Arial" w:eastAsia="Arial" w:hAnsi="Arial"/>
                <w:sz w:val="18"/>
                <w:szCs w:val="18"/>
                <w:b w:val="1"/>
                <w:bCs w:val="1"/>
                <w:color w:val="005C7D"/>
              </w:rPr>
              <w:t>CURTIS BRUNSON</w:t>
            </w:r>
          </w:p>
        </w:tc>
        <w:tc>
          <w:tcPr>
            <w:tcW w:w="6780" w:type="dxa"/>
            <w:vAlign w:val="bottom"/>
            <w:tcBorders>
              <w:bottom w:val="single" w:sz="8" w:color="005C7D"/>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780" w:type="dxa"/>
            <w:vAlign w:val="bottom"/>
            <w:gridSpan w:val="2"/>
            <w:shd w:val="clear" w:color="auto" w:fill="CDDAE6"/>
          </w:tcPr>
          <w:p>
            <w:pPr>
              <w:ind w:left="160"/>
              <w:spacing w:after="0"/>
              <w:rPr>
                <w:sz w:val="20"/>
                <w:szCs w:val="20"/>
                <w:color w:val="auto"/>
              </w:rPr>
            </w:pPr>
            <w:r>
              <w:rPr>
                <w:rFonts w:ascii="Arial" w:cs="Arial" w:eastAsia="Arial" w:hAnsi="Arial"/>
                <w:sz w:val="18"/>
                <w:szCs w:val="18"/>
                <w:b w:val="1"/>
                <w:bCs w:val="1"/>
                <w:color w:val="005C7D"/>
              </w:rPr>
              <w:t>Former Executive Vice</w:t>
            </w:r>
          </w:p>
        </w:tc>
        <w:tc>
          <w:tcPr>
            <w:tcW w:w="6780" w:type="dxa"/>
            <w:vAlign w:val="bottom"/>
          </w:tcPr>
          <w:p>
            <w:pPr>
              <w:ind w:left="200"/>
              <w:spacing w:after="0"/>
              <w:rPr>
                <w:sz w:val="20"/>
                <w:szCs w:val="20"/>
                <w:color w:val="auto"/>
              </w:rPr>
            </w:pPr>
            <w:r>
              <w:rPr>
                <w:rFonts w:ascii="Arial" w:cs="Arial" w:eastAsia="Arial" w:hAnsi="Arial"/>
                <w:sz w:val="18"/>
                <w:szCs w:val="18"/>
                <w:b w:val="1"/>
                <w:bCs w:val="1"/>
                <w:color w:val="005C7D"/>
              </w:rPr>
              <w:t>Principal Occupation And Other Information</w:t>
            </w:r>
          </w:p>
        </w:tc>
        <w:tc>
          <w:tcPr>
            <w:tcW w:w="0" w:type="dxa"/>
            <w:vAlign w:val="bottom"/>
          </w:tcPr>
          <w:p>
            <w:pPr>
              <w:spacing w:after="0"/>
              <w:rPr>
                <w:sz w:val="1"/>
                <w:szCs w:val="1"/>
                <w:color w:val="auto"/>
              </w:rPr>
            </w:pPr>
          </w:p>
        </w:tc>
      </w:tr>
      <w:tr>
        <w:trPr>
          <w:trHeight w:val="221"/>
        </w:trPr>
        <w:tc>
          <w:tcPr>
            <w:tcW w:w="2780" w:type="dxa"/>
            <w:vAlign w:val="bottom"/>
            <w:gridSpan w:val="2"/>
            <w:shd w:val="clear" w:color="auto" w:fill="CDDAE6"/>
          </w:tcPr>
          <w:p>
            <w:pPr>
              <w:ind w:left="160"/>
              <w:spacing w:after="0"/>
              <w:rPr>
                <w:sz w:val="20"/>
                <w:szCs w:val="20"/>
                <w:color w:val="auto"/>
              </w:rPr>
            </w:pPr>
            <w:r>
              <w:rPr>
                <w:rFonts w:ascii="Arial" w:cs="Arial" w:eastAsia="Arial" w:hAnsi="Arial"/>
                <w:sz w:val="18"/>
                <w:szCs w:val="18"/>
                <w:b w:val="1"/>
                <w:bCs w:val="1"/>
                <w:color w:val="005C7D"/>
              </w:rPr>
              <w:t>President of Corporate</w:t>
            </w:r>
          </w:p>
        </w:tc>
        <w:tc>
          <w:tcPr>
            <w:tcW w:w="6780" w:type="dxa"/>
            <w:vAlign w:val="bottom"/>
          </w:tcPr>
          <w:p>
            <w:pPr>
              <w:ind w:left="200"/>
              <w:spacing w:after="0"/>
              <w:rPr>
                <w:sz w:val="20"/>
                <w:szCs w:val="20"/>
                <w:color w:val="auto"/>
              </w:rPr>
            </w:pPr>
            <w:r>
              <w:rPr>
                <w:rFonts w:ascii="Arial" w:cs="Arial" w:eastAsia="Arial" w:hAnsi="Arial"/>
                <w:sz w:val="18"/>
                <w:szCs w:val="18"/>
                <w:color w:val="auto"/>
                <w:w w:val="91"/>
              </w:rPr>
              <w:t>Mr. Brunson became an Executive Vice President in February 2009 and is responsible for</w:t>
            </w:r>
          </w:p>
        </w:tc>
        <w:tc>
          <w:tcPr>
            <w:tcW w:w="0" w:type="dxa"/>
            <w:vAlign w:val="bottom"/>
          </w:tcPr>
          <w:p>
            <w:pPr>
              <w:spacing w:after="0"/>
              <w:rPr>
                <w:sz w:val="1"/>
                <w:szCs w:val="1"/>
                <w:color w:val="auto"/>
              </w:rPr>
            </w:pPr>
          </w:p>
        </w:tc>
      </w:tr>
      <w:tr>
        <w:trPr>
          <w:trHeight w:val="256"/>
        </w:trPr>
        <w:tc>
          <w:tcPr>
            <w:tcW w:w="2780" w:type="dxa"/>
            <w:vAlign w:val="bottom"/>
            <w:gridSpan w:val="2"/>
            <w:shd w:val="clear" w:color="auto" w:fill="CDDAE6"/>
          </w:tcPr>
          <w:p>
            <w:pPr>
              <w:ind w:left="160"/>
              <w:spacing w:after="0"/>
              <w:rPr>
                <w:sz w:val="20"/>
                <w:szCs w:val="20"/>
                <w:color w:val="auto"/>
              </w:rPr>
            </w:pPr>
            <w:r>
              <w:rPr>
                <w:rFonts w:ascii="Arial" w:cs="Arial" w:eastAsia="Arial" w:hAnsi="Arial"/>
                <w:sz w:val="18"/>
                <w:szCs w:val="18"/>
                <w:b w:val="1"/>
                <w:bCs w:val="1"/>
                <w:color w:val="005C7D"/>
              </w:rPr>
              <w:t>Strategy and Development</w:t>
            </w:r>
          </w:p>
        </w:tc>
        <w:tc>
          <w:tcPr>
            <w:tcW w:w="6780" w:type="dxa"/>
            <w:vAlign w:val="bottom"/>
          </w:tcPr>
          <w:p>
            <w:pPr>
              <w:ind w:left="200"/>
              <w:spacing w:after="0"/>
              <w:rPr>
                <w:sz w:val="20"/>
                <w:szCs w:val="20"/>
                <w:color w:val="auto"/>
              </w:rPr>
            </w:pPr>
            <w:r>
              <w:rPr>
                <w:rFonts w:ascii="Arial" w:cs="Arial" w:eastAsia="Arial" w:hAnsi="Arial"/>
                <w:sz w:val="18"/>
                <w:szCs w:val="18"/>
                <w:color w:val="auto"/>
                <w:w w:val="91"/>
              </w:rPr>
              <w:t>leading the execution of L3’s business strategy, including customer relationships, technical</w:t>
            </w:r>
          </w:p>
        </w:tc>
        <w:tc>
          <w:tcPr>
            <w:tcW w:w="0" w:type="dxa"/>
            <w:vAlign w:val="bottom"/>
          </w:tcPr>
          <w:p>
            <w:pPr>
              <w:spacing w:after="0"/>
              <w:rPr>
                <w:sz w:val="1"/>
                <w:szCs w:val="1"/>
                <w:color w:val="auto"/>
              </w:rPr>
            </w:pPr>
          </w:p>
        </w:tc>
      </w:tr>
      <w:tr>
        <w:trPr>
          <w:trHeight w:val="216"/>
        </w:trPr>
        <w:tc>
          <w:tcPr>
            <w:tcW w:w="680" w:type="dxa"/>
            <w:vAlign w:val="bottom"/>
            <w:vMerge w:val="restart"/>
            <w:shd w:val="clear" w:color="auto" w:fill="CDDAE6"/>
          </w:tcPr>
          <w:p>
            <w:pPr>
              <w:ind w:left="160"/>
              <w:spacing w:after="0"/>
              <w:rPr>
                <w:sz w:val="20"/>
                <w:szCs w:val="20"/>
                <w:color w:val="auto"/>
              </w:rPr>
            </w:pPr>
            <w:r>
              <w:rPr>
                <w:rFonts w:ascii="Arial" w:cs="Arial" w:eastAsia="Arial" w:hAnsi="Arial"/>
                <w:sz w:val="18"/>
                <w:szCs w:val="18"/>
                <w:b w:val="1"/>
                <w:bCs w:val="1"/>
                <w:color w:val="005C7D"/>
                <w:w w:val="84"/>
              </w:rPr>
              <w:t>Age 69</w:t>
            </w: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6"/>
              </w:rPr>
              <w:t>development and business development. The Company announced that Mr. Brunson</w:t>
            </w:r>
          </w:p>
        </w:tc>
        <w:tc>
          <w:tcPr>
            <w:tcW w:w="0" w:type="dxa"/>
            <w:vAlign w:val="bottom"/>
          </w:tcPr>
          <w:p>
            <w:pPr>
              <w:spacing w:after="0"/>
              <w:rPr>
                <w:sz w:val="1"/>
                <w:szCs w:val="1"/>
                <w:color w:val="auto"/>
              </w:rPr>
            </w:pPr>
          </w:p>
        </w:tc>
      </w:tr>
      <w:tr>
        <w:trPr>
          <w:trHeight w:val="216"/>
        </w:trPr>
        <w:tc>
          <w:tcPr>
            <w:tcW w:w="680" w:type="dxa"/>
            <w:vAlign w:val="bottom"/>
            <w:vMerge w:val="continue"/>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4"/>
              </w:rPr>
              <w:t>transitioned from this role on March 1, 2017 and will be retiring in the second quarter of</w:t>
            </w:r>
          </w:p>
        </w:tc>
        <w:tc>
          <w:tcPr>
            <w:tcW w:w="0" w:type="dxa"/>
            <w:vAlign w:val="bottom"/>
          </w:tcPr>
          <w:p>
            <w:pPr>
              <w:spacing w:after="0"/>
              <w:rPr>
                <w:sz w:val="1"/>
                <w:szCs w:val="1"/>
                <w:color w:val="auto"/>
              </w:rPr>
            </w:pPr>
          </w:p>
        </w:tc>
      </w:tr>
      <w:tr>
        <w:trPr>
          <w:trHeight w:val="216"/>
        </w:trPr>
        <w:tc>
          <w:tcPr>
            <w:tcW w:w="680" w:type="dxa"/>
            <w:vAlign w:val="bottom"/>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1"/>
              </w:rPr>
              <w:t>2017. Prior to that, he was a Senior Vice President. Mr. Brunson began his career in 1972</w:t>
            </w:r>
          </w:p>
        </w:tc>
        <w:tc>
          <w:tcPr>
            <w:tcW w:w="0" w:type="dxa"/>
            <w:vAlign w:val="bottom"/>
          </w:tcPr>
          <w:p>
            <w:pPr>
              <w:spacing w:after="0"/>
              <w:rPr>
                <w:sz w:val="1"/>
                <w:szCs w:val="1"/>
                <w:color w:val="auto"/>
              </w:rPr>
            </w:pPr>
          </w:p>
        </w:tc>
      </w:tr>
      <w:tr>
        <w:trPr>
          <w:trHeight w:val="216"/>
        </w:trPr>
        <w:tc>
          <w:tcPr>
            <w:tcW w:w="680" w:type="dxa"/>
            <w:vAlign w:val="bottom"/>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5"/>
              </w:rPr>
              <w:t>with Sperry Systems Management Division, prior to its merger into Unisys Government</w:t>
            </w:r>
          </w:p>
        </w:tc>
        <w:tc>
          <w:tcPr>
            <w:tcW w:w="0" w:type="dxa"/>
            <w:vAlign w:val="bottom"/>
          </w:tcPr>
          <w:p>
            <w:pPr>
              <w:spacing w:after="0"/>
              <w:rPr>
                <w:sz w:val="1"/>
                <w:szCs w:val="1"/>
                <w:color w:val="auto"/>
              </w:rPr>
            </w:pPr>
          </w:p>
        </w:tc>
      </w:tr>
      <w:tr>
        <w:trPr>
          <w:trHeight w:val="216"/>
        </w:trPr>
        <w:tc>
          <w:tcPr>
            <w:tcW w:w="680" w:type="dxa"/>
            <w:vAlign w:val="bottom"/>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1"/>
              </w:rPr>
              <w:t>Services. At Unisys for over 20 years, he held several management positions of increasing</w:t>
            </w:r>
          </w:p>
        </w:tc>
        <w:tc>
          <w:tcPr>
            <w:tcW w:w="0" w:type="dxa"/>
            <w:vAlign w:val="bottom"/>
          </w:tcPr>
          <w:p>
            <w:pPr>
              <w:spacing w:after="0"/>
              <w:rPr>
                <w:sz w:val="1"/>
                <w:szCs w:val="1"/>
                <w:color w:val="auto"/>
              </w:rPr>
            </w:pPr>
          </w:p>
        </w:tc>
      </w:tr>
      <w:tr>
        <w:trPr>
          <w:trHeight w:val="216"/>
        </w:trPr>
        <w:tc>
          <w:tcPr>
            <w:tcW w:w="680" w:type="dxa"/>
            <w:vAlign w:val="bottom"/>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2"/>
              </w:rPr>
              <w:t>responsibility. When Loral acquired Unisys Communication Systems in Salt Lake City, he</w:t>
            </w:r>
          </w:p>
        </w:tc>
        <w:tc>
          <w:tcPr>
            <w:tcW w:w="0" w:type="dxa"/>
            <w:vAlign w:val="bottom"/>
          </w:tcPr>
          <w:p>
            <w:pPr>
              <w:spacing w:after="0"/>
              <w:rPr>
                <w:sz w:val="1"/>
                <w:szCs w:val="1"/>
                <w:color w:val="auto"/>
              </w:rPr>
            </w:pPr>
          </w:p>
        </w:tc>
      </w:tr>
      <w:tr>
        <w:trPr>
          <w:trHeight w:val="216"/>
        </w:trPr>
        <w:tc>
          <w:tcPr>
            <w:tcW w:w="680" w:type="dxa"/>
            <w:vAlign w:val="bottom"/>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1"/>
              </w:rPr>
              <w:t>was General Manager. That division became part of the Company during L3’s formation in</w:t>
            </w:r>
          </w:p>
        </w:tc>
        <w:tc>
          <w:tcPr>
            <w:tcW w:w="0" w:type="dxa"/>
            <w:vAlign w:val="bottom"/>
          </w:tcPr>
          <w:p>
            <w:pPr>
              <w:spacing w:after="0"/>
              <w:rPr>
                <w:sz w:val="1"/>
                <w:szCs w:val="1"/>
                <w:color w:val="auto"/>
              </w:rPr>
            </w:pPr>
          </w:p>
        </w:tc>
      </w:tr>
      <w:tr>
        <w:trPr>
          <w:trHeight w:val="216"/>
        </w:trPr>
        <w:tc>
          <w:tcPr>
            <w:tcW w:w="680" w:type="dxa"/>
            <w:vAlign w:val="bottom"/>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2"/>
              </w:rPr>
              <w:t>1997, with Mr. Brunson becoming President at that time. Mr. Brunson holds a Bachelor of</w:t>
            </w:r>
          </w:p>
        </w:tc>
        <w:tc>
          <w:tcPr>
            <w:tcW w:w="0" w:type="dxa"/>
            <w:vAlign w:val="bottom"/>
          </w:tcPr>
          <w:p>
            <w:pPr>
              <w:spacing w:after="0"/>
              <w:rPr>
                <w:sz w:val="1"/>
                <w:szCs w:val="1"/>
                <w:color w:val="auto"/>
              </w:rPr>
            </w:pPr>
          </w:p>
        </w:tc>
      </w:tr>
      <w:tr>
        <w:trPr>
          <w:trHeight w:val="216"/>
        </w:trPr>
        <w:tc>
          <w:tcPr>
            <w:tcW w:w="680" w:type="dxa"/>
            <w:vAlign w:val="bottom"/>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5"/>
              </w:rPr>
              <w:t>Science degree in Computer Science from the New York Institute of Technology and a</w:t>
            </w:r>
          </w:p>
        </w:tc>
        <w:tc>
          <w:tcPr>
            <w:tcW w:w="0" w:type="dxa"/>
            <w:vAlign w:val="bottom"/>
          </w:tcPr>
          <w:p>
            <w:pPr>
              <w:spacing w:after="0"/>
              <w:rPr>
                <w:sz w:val="1"/>
                <w:szCs w:val="1"/>
                <w:color w:val="auto"/>
              </w:rPr>
            </w:pPr>
          </w:p>
        </w:tc>
      </w:tr>
      <w:tr>
        <w:trPr>
          <w:trHeight w:val="216"/>
        </w:trPr>
        <w:tc>
          <w:tcPr>
            <w:tcW w:w="680" w:type="dxa"/>
            <w:vAlign w:val="bottom"/>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3"/>
              </w:rPr>
              <w:t>Master’s of Science degree in Computer Science from Polytechnic Institute of New York</w:t>
            </w:r>
          </w:p>
        </w:tc>
        <w:tc>
          <w:tcPr>
            <w:tcW w:w="0" w:type="dxa"/>
            <w:vAlign w:val="bottom"/>
          </w:tcPr>
          <w:p>
            <w:pPr>
              <w:spacing w:after="0"/>
              <w:rPr>
                <w:sz w:val="1"/>
                <w:szCs w:val="1"/>
                <w:color w:val="auto"/>
              </w:rPr>
            </w:pPr>
          </w:p>
        </w:tc>
      </w:tr>
      <w:tr>
        <w:trPr>
          <w:trHeight w:val="244"/>
        </w:trPr>
        <w:tc>
          <w:tcPr>
            <w:tcW w:w="680" w:type="dxa"/>
            <w:vAlign w:val="bottom"/>
            <w:shd w:val="clear" w:color="auto" w:fill="CDDAE6"/>
          </w:tcPr>
          <w:p>
            <w:pPr>
              <w:spacing w:after="0"/>
              <w:rPr>
                <w:sz w:val="21"/>
                <w:szCs w:val="21"/>
                <w:color w:val="auto"/>
              </w:rPr>
            </w:pPr>
          </w:p>
        </w:tc>
        <w:tc>
          <w:tcPr>
            <w:tcW w:w="2100" w:type="dxa"/>
            <w:vAlign w:val="bottom"/>
            <w:shd w:val="clear" w:color="auto" w:fill="CDDAE6"/>
          </w:tcPr>
          <w:p>
            <w:pPr>
              <w:spacing w:after="0"/>
              <w:rPr>
                <w:sz w:val="21"/>
                <w:szCs w:val="21"/>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University.</w:t>
            </w:r>
          </w:p>
        </w:tc>
        <w:tc>
          <w:tcPr>
            <w:tcW w:w="0" w:type="dxa"/>
            <w:vAlign w:val="bottom"/>
          </w:tcPr>
          <w:p>
            <w:pPr>
              <w:spacing w:after="0"/>
              <w:rPr>
                <w:sz w:val="1"/>
                <w:szCs w:val="1"/>
                <w:color w:val="auto"/>
              </w:rPr>
            </w:pPr>
          </w:p>
        </w:tc>
      </w:tr>
      <w:tr>
        <w:trPr>
          <w:trHeight w:val="243"/>
        </w:trPr>
        <w:tc>
          <w:tcPr>
            <w:tcW w:w="2780" w:type="dxa"/>
            <w:vAlign w:val="bottom"/>
            <w:tcBorders>
              <w:bottom w:val="single" w:sz="8" w:color="005C7D"/>
            </w:tcBorders>
            <w:gridSpan w:val="2"/>
          </w:tcPr>
          <w:p>
            <w:pPr>
              <w:spacing w:after="0"/>
              <w:rPr>
                <w:sz w:val="21"/>
                <w:szCs w:val="21"/>
                <w:color w:val="auto"/>
              </w:rPr>
            </w:pPr>
          </w:p>
        </w:tc>
        <w:tc>
          <w:tcPr>
            <w:tcW w:w="6780" w:type="dxa"/>
            <w:vAlign w:val="bottom"/>
            <w:tcBorders>
              <w:bottom w:val="single" w:sz="8" w:color="005C7D"/>
            </w:tcBorders>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780" w:type="dxa"/>
            <w:vAlign w:val="bottom"/>
            <w:tcBorders>
              <w:bottom w:val="single" w:sz="8" w:color="005C7D"/>
            </w:tcBorders>
            <w:gridSpan w:val="2"/>
            <w:shd w:val="clear" w:color="auto" w:fill="CDDAE6"/>
          </w:tcPr>
          <w:p>
            <w:pPr>
              <w:ind w:left="160"/>
              <w:spacing w:after="0"/>
              <w:rPr>
                <w:sz w:val="20"/>
                <w:szCs w:val="20"/>
                <w:color w:val="auto"/>
              </w:rPr>
            </w:pPr>
            <w:r>
              <w:rPr>
                <w:rFonts w:ascii="Arial" w:cs="Arial" w:eastAsia="Arial" w:hAnsi="Arial"/>
                <w:sz w:val="18"/>
                <w:szCs w:val="18"/>
                <w:b w:val="1"/>
                <w:bCs w:val="1"/>
                <w:color w:val="005C7D"/>
              </w:rPr>
              <w:t>RALPH G. D’AMBROSIO</w:t>
            </w:r>
          </w:p>
        </w:tc>
        <w:tc>
          <w:tcPr>
            <w:tcW w:w="6780" w:type="dxa"/>
            <w:vAlign w:val="bottom"/>
            <w:tcBorders>
              <w:bottom w:val="single" w:sz="8" w:color="005C7D"/>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780" w:type="dxa"/>
            <w:vAlign w:val="bottom"/>
            <w:gridSpan w:val="2"/>
            <w:shd w:val="clear" w:color="auto" w:fill="CDDAE6"/>
          </w:tcPr>
          <w:p>
            <w:pPr>
              <w:ind w:left="160"/>
              <w:spacing w:after="0"/>
              <w:rPr>
                <w:sz w:val="20"/>
                <w:szCs w:val="20"/>
                <w:color w:val="auto"/>
              </w:rPr>
            </w:pPr>
            <w:r>
              <w:rPr>
                <w:rFonts w:ascii="Arial" w:cs="Arial" w:eastAsia="Arial" w:hAnsi="Arial"/>
                <w:sz w:val="18"/>
                <w:szCs w:val="18"/>
                <w:b w:val="1"/>
                <w:bCs w:val="1"/>
                <w:color w:val="005C7D"/>
              </w:rPr>
              <w:t>Senior Vice President and</w:t>
            </w:r>
          </w:p>
        </w:tc>
        <w:tc>
          <w:tcPr>
            <w:tcW w:w="6780" w:type="dxa"/>
            <w:vAlign w:val="bottom"/>
          </w:tcPr>
          <w:p>
            <w:pPr>
              <w:ind w:left="200"/>
              <w:spacing w:after="0"/>
              <w:rPr>
                <w:sz w:val="20"/>
                <w:szCs w:val="20"/>
                <w:color w:val="auto"/>
              </w:rPr>
            </w:pPr>
            <w:r>
              <w:rPr>
                <w:rFonts w:ascii="Arial" w:cs="Arial" w:eastAsia="Arial" w:hAnsi="Arial"/>
                <w:sz w:val="18"/>
                <w:szCs w:val="18"/>
                <w:b w:val="1"/>
                <w:bCs w:val="1"/>
                <w:color w:val="005C7D"/>
              </w:rPr>
              <w:t>Principal Occupation And Other Information</w:t>
            </w:r>
          </w:p>
        </w:tc>
        <w:tc>
          <w:tcPr>
            <w:tcW w:w="0" w:type="dxa"/>
            <w:vAlign w:val="bottom"/>
          </w:tcPr>
          <w:p>
            <w:pPr>
              <w:spacing w:after="0"/>
              <w:rPr>
                <w:sz w:val="1"/>
                <w:szCs w:val="1"/>
                <w:color w:val="auto"/>
              </w:rPr>
            </w:pPr>
          </w:p>
        </w:tc>
      </w:tr>
      <w:tr>
        <w:trPr>
          <w:trHeight w:val="261"/>
        </w:trPr>
        <w:tc>
          <w:tcPr>
            <w:tcW w:w="2780" w:type="dxa"/>
            <w:vAlign w:val="bottom"/>
            <w:gridSpan w:val="2"/>
            <w:shd w:val="clear" w:color="auto" w:fill="CDDAE6"/>
          </w:tcPr>
          <w:p>
            <w:pPr>
              <w:ind w:left="160"/>
              <w:spacing w:after="0"/>
              <w:rPr>
                <w:sz w:val="20"/>
                <w:szCs w:val="20"/>
                <w:color w:val="auto"/>
              </w:rPr>
            </w:pPr>
            <w:r>
              <w:rPr>
                <w:rFonts w:ascii="Arial" w:cs="Arial" w:eastAsia="Arial" w:hAnsi="Arial"/>
                <w:sz w:val="18"/>
                <w:szCs w:val="18"/>
                <w:b w:val="1"/>
                <w:bCs w:val="1"/>
                <w:color w:val="005C7D"/>
              </w:rPr>
              <w:t>Chief Financial Officer</w:t>
            </w:r>
          </w:p>
        </w:tc>
        <w:tc>
          <w:tcPr>
            <w:tcW w:w="6780" w:type="dxa"/>
            <w:vAlign w:val="bottom"/>
          </w:tcPr>
          <w:p>
            <w:pPr>
              <w:ind w:left="200"/>
              <w:spacing w:after="0"/>
              <w:rPr>
                <w:sz w:val="20"/>
                <w:szCs w:val="20"/>
                <w:color w:val="auto"/>
              </w:rPr>
            </w:pPr>
            <w:r>
              <w:rPr>
                <w:rFonts w:ascii="Arial" w:cs="Arial" w:eastAsia="Arial" w:hAnsi="Arial"/>
                <w:sz w:val="18"/>
                <w:szCs w:val="18"/>
                <w:color w:val="auto"/>
                <w:w w:val="95"/>
              </w:rPr>
              <w:t>Mr. D’Ambrosio became our Chief Financial Officer in January 2007 and a Senior Vice</w:t>
            </w:r>
          </w:p>
        </w:tc>
        <w:tc>
          <w:tcPr>
            <w:tcW w:w="0" w:type="dxa"/>
            <w:vAlign w:val="bottom"/>
          </w:tcPr>
          <w:p>
            <w:pPr>
              <w:spacing w:after="0"/>
              <w:rPr>
                <w:sz w:val="1"/>
                <w:szCs w:val="1"/>
                <w:color w:val="auto"/>
              </w:rPr>
            </w:pPr>
          </w:p>
        </w:tc>
      </w:tr>
      <w:tr>
        <w:trPr>
          <w:trHeight w:val="216"/>
        </w:trPr>
        <w:tc>
          <w:tcPr>
            <w:tcW w:w="680" w:type="dxa"/>
            <w:vAlign w:val="bottom"/>
            <w:vMerge w:val="restart"/>
            <w:shd w:val="clear" w:color="auto" w:fill="CDDAE6"/>
          </w:tcPr>
          <w:p>
            <w:pPr>
              <w:ind w:left="160"/>
              <w:spacing w:after="0"/>
              <w:rPr>
                <w:sz w:val="20"/>
                <w:szCs w:val="20"/>
                <w:color w:val="auto"/>
              </w:rPr>
            </w:pPr>
            <w:r>
              <w:rPr>
                <w:rFonts w:ascii="Arial" w:cs="Arial" w:eastAsia="Arial" w:hAnsi="Arial"/>
                <w:sz w:val="18"/>
                <w:szCs w:val="18"/>
                <w:b w:val="1"/>
                <w:bCs w:val="1"/>
                <w:color w:val="005C7D"/>
                <w:w w:val="84"/>
              </w:rPr>
              <w:t>Age 49</w:t>
            </w: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7"/>
              </w:rPr>
              <w:t>President in April 2010. From March 2005 to January 2007, he was Vice President –</w:t>
            </w:r>
          </w:p>
        </w:tc>
        <w:tc>
          <w:tcPr>
            <w:tcW w:w="0" w:type="dxa"/>
            <w:vAlign w:val="bottom"/>
          </w:tcPr>
          <w:p>
            <w:pPr>
              <w:spacing w:after="0"/>
              <w:rPr>
                <w:sz w:val="1"/>
                <w:szCs w:val="1"/>
                <w:color w:val="auto"/>
              </w:rPr>
            </w:pPr>
          </w:p>
        </w:tc>
      </w:tr>
      <w:tr>
        <w:trPr>
          <w:trHeight w:val="216"/>
        </w:trPr>
        <w:tc>
          <w:tcPr>
            <w:tcW w:w="680" w:type="dxa"/>
            <w:vAlign w:val="bottom"/>
            <w:vMerge w:val="continue"/>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Finance and Principal Accounting Officer, and he continued to be our Principal</w:t>
            </w:r>
          </w:p>
        </w:tc>
        <w:tc>
          <w:tcPr>
            <w:tcW w:w="0" w:type="dxa"/>
            <w:vAlign w:val="bottom"/>
          </w:tcPr>
          <w:p>
            <w:pPr>
              <w:spacing w:after="0"/>
              <w:rPr>
                <w:sz w:val="1"/>
                <w:szCs w:val="1"/>
                <w:color w:val="auto"/>
              </w:rPr>
            </w:pPr>
          </w:p>
        </w:tc>
      </w:tr>
      <w:tr>
        <w:trPr>
          <w:trHeight w:val="216"/>
        </w:trPr>
        <w:tc>
          <w:tcPr>
            <w:tcW w:w="680" w:type="dxa"/>
            <w:vAlign w:val="bottom"/>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7"/>
              </w:rPr>
              <w:t>Accounting Officer until April 2008. He became Controller in August 2000 and a Vice</w:t>
            </w:r>
          </w:p>
        </w:tc>
        <w:tc>
          <w:tcPr>
            <w:tcW w:w="0" w:type="dxa"/>
            <w:vAlign w:val="bottom"/>
          </w:tcPr>
          <w:p>
            <w:pPr>
              <w:spacing w:after="0"/>
              <w:rPr>
                <w:sz w:val="1"/>
                <w:szCs w:val="1"/>
                <w:color w:val="auto"/>
              </w:rPr>
            </w:pPr>
          </w:p>
        </w:tc>
      </w:tr>
      <w:tr>
        <w:trPr>
          <w:trHeight w:val="216"/>
        </w:trPr>
        <w:tc>
          <w:tcPr>
            <w:tcW w:w="680" w:type="dxa"/>
            <w:vAlign w:val="bottom"/>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2"/>
              </w:rPr>
              <w:t>President in July 2001 and was Vice President and Controller until March 2005. He joined</w:t>
            </w:r>
          </w:p>
        </w:tc>
        <w:tc>
          <w:tcPr>
            <w:tcW w:w="0" w:type="dxa"/>
            <w:vAlign w:val="bottom"/>
          </w:tcPr>
          <w:p>
            <w:pPr>
              <w:spacing w:after="0"/>
              <w:rPr>
                <w:sz w:val="1"/>
                <w:szCs w:val="1"/>
                <w:color w:val="auto"/>
              </w:rPr>
            </w:pPr>
          </w:p>
        </w:tc>
      </w:tr>
      <w:tr>
        <w:trPr>
          <w:trHeight w:val="216"/>
        </w:trPr>
        <w:tc>
          <w:tcPr>
            <w:tcW w:w="680" w:type="dxa"/>
            <w:vAlign w:val="bottom"/>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6"/>
              </w:rPr>
              <w:t>L3 in August 1997 and was Assistant Controller until July 2000. Prior to joining L3, he</w:t>
            </w:r>
          </w:p>
        </w:tc>
        <w:tc>
          <w:tcPr>
            <w:tcW w:w="0" w:type="dxa"/>
            <w:vAlign w:val="bottom"/>
          </w:tcPr>
          <w:p>
            <w:pPr>
              <w:spacing w:after="0"/>
              <w:rPr>
                <w:sz w:val="1"/>
                <w:szCs w:val="1"/>
                <w:color w:val="auto"/>
              </w:rPr>
            </w:pPr>
          </w:p>
        </w:tc>
      </w:tr>
      <w:tr>
        <w:trPr>
          <w:trHeight w:val="216"/>
        </w:trPr>
        <w:tc>
          <w:tcPr>
            <w:tcW w:w="680" w:type="dxa"/>
            <w:vAlign w:val="bottom"/>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4"/>
              </w:rPr>
              <w:t>was a senior manager at Coopers &amp; Lybrand LLP, where he held a number of positions</w:t>
            </w:r>
          </w:p>
        </w:tc>
        <w:tc>
          <w:tcPr>
            <w:tcW w:w="0" w:type="dxa"/>
            <w:vAlign w:val="bottom"/>
          </w:tcPr>
          <w:p>
            <w:pPr>
              <w:spacing w:after="0"/>
              <w:rPr>
                <w:sz w:val="1"/>
                <w:szCs w:val="1"/>
                <w:color w:val="auto"/>
              </w:rPr>
            </w:pPr>
          </w:p>
        </w:tc>
      </w:tr>
      <w:tr>
        <w:trPr>
          <w:trHeight w:val="216"/>
        </w:trPr>
        <w:tc>
          <w:tcPr>
            <w:tcW w:w="680" w:type="dxa"/>
            <w:vAlign w:val="bottom"/>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4"/>
              </w:rPr>
              <w:t>since 1989. Mr. D’Ambrosio holds a Bachelor’s degree, summa cum laude, in Business</w:t>
            </w:r>
          </w:p>
        </w:tc>
        <w:tc>
          <w:tcPr>
            <w:tcW w:w="0" w:type="dxa"/>
            <w:vAlign w:val="bottom"/>
          </w:tcPr>
          <w:p>
            <w:pPr>
              <w:spacing w:after="0"/>
              <w:rPr>
                <w:sz w:val="1"/>
                <w:szCs w:val="1"/>
                <w:color w:val="auto"/>
              </w:rPr>
            </w:pPr>
          </w:p>
        </w:tc>
      </w:tr>
      <w:tr>
        <w:trPr>
          <w:trHeight w:val="216"/>
        </w:trPr>
        <w:tc>
          <w:tcPr>
            <w:tcW w:w="680" w:type="dxa"/>
            <w:vAlign w:val="bottom"/>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Administration from Iona College and a Master’s degree, with honors, in Business</w:t>
            </w:r>
          </w:p>
        </w:tc>
        <w:tc>
          <w:tcPr>
            <w:tcW w:w="0" w:type="dxa"/>
            <w:vAlign w:val="bottom"/>
          </w:tcPr>
          <w:p>
            <w:pPr>
              <w:spacing w:after="0"/>
              <w:rPr>
                <w:sz w:val="1"/>
                <w:szCs w:val="1"/>
                <w:color w:val="auto"/>
              </w:rPr>
            </w:pPr>
          </w:p>
        </w:tc>
      </w:tr>
      <w:tr>
        <w:trPr>
          <w:trHeight w:val="244"/>
        </w:trPr>
        <w:tc>
          <w:tcPr>
            <w:tcW w:w="680" w:type="dxa"/>
            <w:vAlign w:val="bottom"/>
            <w:shd w:val="clear" w:color="auto" w:fill="CDDAE6"/>
          </w:tcPr>
          <w:p>
            <w:pPr>
              <w:spacing w:after="0"/>
              <w:rPr>
                <w:sz w:val="21"/>
                <w:szCs w:val="21"/>
                <w:color w:val="auto"/>
              </w:rPr>
            </w:pPr>
          </w:p>
        </w:tc>
        <w:tc>
          <w:tcPr>
            <w:tcW w:w="2100" w:type="dxa"/>
            <w:vAlign w:val="bottom"/>
            <w:shd w:val="clear" w:color="auto" w:fill="CDDAE6"/>
          </w:tcPr>
          <w:p>
            <w:pPr>
              <w:spacing w:after="0"/>
              <w:rPr>
                <w:sz w:val="21"/>
                <w:szCs w:val="21"/>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Administration from the Stern School of Business at New York University.</w:t>
            </w:r>
          </w:p>
        </w:tc>
        <w:tc>
          <w:tcPr>
            <w:tcW w:w="0" w:type="dxa"/>
            <w:vAlign w:val="bottom"/>
          </w:tcPr>
          <w:p>
            <w:pPr>
              <w:spacing w:after="0"/>
              <w:rPr>
                <w:sz w:val="1"/>
                <w:szCs w:val="1"/>
                <w:color w:val="auto"/>
              </w:rPr>
            </w:pPr>
          </w:p>
        </w:tc>
      </w:tr>
      <w:tr>
        <w:trPr>
          <w:trHeight w:val="527"/>
        </w:trPr>
        <w:tc>
          <w:tcPr>
            <w:tcW w:w="680" w:type="dxa"/>
            <w:vAlign w:val="bottom"/>
          </w:tcPr>
          <w:p>
            <w:pPr>
              <w:ind w:left="40"/>
              <w:spacing w:after="0"/>
              <w:rPr>
                <w:sz w:val="20"/>
                <w:szCs w:val="20"/>
                <w:color w:val="auto"/>
              </w:rPr>
            </w:pPr>
            <w:r>
              <w:rPr>
                <w:rFonts w:ascii="Arial" w:cs="Arial" w:eastAsia="Arial" w:hAnsi="Arial"/>
                <w:sz w:val="18"/>
                <w:szCs w:val="18"/>
                <w:color w:val="005C7D"/>
              </w:rPr>
              <w:t>34</w:t>
            </w:r>
          </w:p>
        </w:tc>
        <w:tc>
          <w:tcPr>
            <w:tcW w:w="2100" w:type="dxa"/>
            <w:vAlign w:val="bottom"/>
          </w:tcPr>
          <w:p>
            <w:pPr>
              <w:spacing w:after="0"/>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tc>
        <w:tc>
          <w:tcPr>
            <w:tcW w:w="6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80" w:type="dxa"/>
            <w:vAlign w:val="bottom"/>
            <w:shd w:val="clear" w:color="auto" w:fill="000000"/>
          </w:tcPr>
          <w:p>
            <w:pPr>
              <w:spacing w:after="0"/>
              <w:rPr>
                <w:sz w:val="5"/>
                <w:szCs w:val="5"/>
                <w:color w:val="auto"/>
              </w:rPr>
            </w:pPr>
          </w:p>
        </w:tc>
        <w:tc>
          <w:tcPr>
            <w:tcW w:w="2100" w:type="dxa"/>
            <w:vAlign w:val="bottom"/>
            <w:shd w:val="clear" w:color="auto" w:fill="000000"/>
          </w:tcPr>
          <w:p>
            <w:pPr>
              <w:spacing w:after="0"/>
              <w:rPr>
                <w:sz w:val="5"/>
                <w:szCs w:val="5"/>
                <w:color w:val="auto"/>
              </w:rPr>
            </w:pPr>
          </w:p>
        </w:tc>
        <w:tc>
          <w:tcPr>
            <w:tcW w:w="67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-530860</wp:posOffset>
            </wp:positionV>
            <wp:extent cx="154305"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780" w:type="dxa"/>
            <w:vAlign w:val="bottom"/>
            <w:tcBorders>
              <w:bottom w:val="single" w:sz="8" w:color="005C7D"/>
            </w:tcBorders>
          </w:tcPr>
          <w:p>
            <w:pPr>
              <w:spacing w:after="0"/>
              <w:rPr>
                <w:sz w:val="14"/>
                <w:szCs w:val="14"/>
                <w:color w:val="auto"/>
              </w:rPr>
            </w:pPr>
          </w:p>
        </w:tc>
        <w:tc>
          <w:tcPr>
            <w:tcW w:w="6780" w:type="dxa"/>
            <w:vAlign w:val="bottom"/>
            <w:tcBorders>
              <w:bottom w:val="single" w:sz="8" w:color="005C7D"/>
            </w:tcBorders>
          </w:tcPr>
          <w:p>
            <w:pPr>
              <w:ind w:left="2400"/>
              <w:spacing w:after="0"/>
              <w:rPr>
                <w:sz w:val="20"/>
                <w:szCs w:val="20"/>
                <w:color w:val="auto"/>
              </w:rPr>
            </w:pPr>
            <w:r>
              <w:rPr>
                <w:rFonts w:ascii="Arial" w:cs="Arial" w:eastAsia="Arial" w:hAnsi="Arial"/>
                <w:sz w:val="14"/>
                <w:szCs w:val="14"/>
                <w:color w:val="005C7D"/>
                <w:w w:val="97"/>
              </w:rPr>
              <w:t>EXECUTIVES AND CERTAIN OTHER OFFICERS OF THE COMPANY</w:t>
            </w:r>
          </w:p>
        </w:tc>
        <w:tc>
          <w:tcPr>
            <w:tcW w:w="0" w:type="dxa"/>
            <w:vAlign w:val="bottom"/>
          </w:tcPr>
          <w:p>
            <w:pPr>
              <w:spacing w:after="0"/>
              <w:rPr>
                <w:sz w:val="1"/>
                <w:szCs w:val="1"/>
                <w:color w:val="auto"/>
              </w:rPr>
            </w:pPr>
          </w:p>
        </w:tc>
      </w:tr>
      <w:tr>
        <w:trPr>
          <w:trHeight w:val="210"/>
        </w:trPr>
        <w:tc>
          <w:tcPr>
            <w:tcW w:w="2780" w:type="dxa"/>
            <w:vAlign w:val="bottom"/>
            <w:tcBorders>
              <w:bottom w:val="single" w:sz="8" w:color="005C7D"/>
            </w:tcBorders>
          </w:tcPr>
          <w:p>
            <w:pPr>
              <w:spacing w:after="0"/>
              <w:rPr>
                <w:sz w:val="18"/>
                <w:szCs w:val="18"/>
                <w:color w:val="auto"/>
              </w:rPr>
            </w:pPr>
          </w:p>
        </w:tc>
        <w:tc>
          <w:tcPr>
            <w:tcW w:w="6780" w:type="dxa"/>
            <w:vAlign w:val="bottom"/>
            <w:tcBorders>
              <w:bottom w:val="single" w:sz="8" w:color="005C7D"/>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80" w:type="dxa"/>
            <w:vAlign w:val="bottom"/>
            <w:tcBorders>
              <w:bottom w:val="single" w:sz="8" w:color="005C7D"/>
            </w:tcBorders>
            <w:shd w:val="clear" w:color="auto" w:fill="CDDAE6"/>
          </w:tcPr>
          <w:p>
            <w:pPr>
              <w:ind w:left="160"/>
              <w:spacing w:after="0"/>
              <w:rPr>
                <w:sz w:val="20"/>
                <w:szCs w:val="20"/>
                <w:color w:val="auto"/>
              </w:rPr>
            </w:pPr>
            <w:r>
              <w:rPr>
                <w:rFonts w:ascii="Arial" w:cs="Arial" w:eastAsia="Arial" w:hAnsi="Arial"/>
                <w:sz w:val="18"/>
                <w:szCs w:val="18"/>
                <w:b w:val="1"/>
                <w:bCs w:val="1"/>
                <w:color w:val="005C7D"/>
              </w:rPr>
              <w:t>ANN D. DAVIDSON</w:t>
            </w:r>
          </w:p>
        </w:tc>
        <w:tc>
          <w:tcPr>
            <w:tcW w:w="6780" w:type="dxa"/>
            <w:vAlign w:val="bottom"/>
            <w:tcBorders>
              <w:bottom w:val="single" w:sz="8" w:color="005C7D"/>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DDAE6"/>
          </w:tcPr>
          <w:p>
            <w:pPr>
              <w:ind w:left="160"/>
              <w:spacing w:after="0"/>
              <w:rPr>
                <w:sz w:val="20"/>
                <w:szCs w:val="20"/>
                <w:color w:val="auto"/>
              </w:rPr>
            </w:pPr>
            <w:r>
              <w:rPr>
                <w:rFonts w:ascii="Arial" w:cs="Arial" w:eastAsia="Arial" w:hAnsi="Arial"/>
                <w:sz w:val="18"/>
                <w:szCs w:val="18"/>
                <w:b w:val="1"/>
                <w:bCs w:val="1"/>
                <w:color w:val="005C7D"/>
                <w:w w:val="99"/>
              </w:rPr>
              <w:t>Senior Vice President, General</w:t>
            </w:r>
          </w:p>
        </w:tc>
        <w:tc>
          <w:tcPr>
            <w:tcW w:w="6780" w:type="dxa"/>
            <w:vAlign w:val="bottom"/>
          </w:tcPr>
          <w:p>
            <w:pPr>
              <w:ind w:left="200"/>
              <w:spacing w:after="0"/>
              <w:rPr>
                <w:sz w:val="20"/>
                <w:szCs w:val="20"/>
                <w:color w:val="auto"/>
              </w:rPr>
            </w:pPr>
            <w:r>
              <w:rPr>
                <w:rFonts w:ascii="Arial" w:cs="Arial" w:eastAsia="Arial" w:hAnsi="Arial"/>
                <w:sz w:val="18"/>
                <w:szCs w:val="18"/>
                <w:b w:val="1"/>
                <w:bCs w:val="1"/>
                <w:color w:val="005C7D"/>
              </w:rPr>
              <w:t>Principal Occupation And Other Information</w:t>
            </w:r>
          </w:p>
        </w:tc>
        <w:tc>
          <w:tcPr>
            <w:tcW w:w="0" w:type="dxa"/>
            <w:vAlign w:val="bottom"/>
          </w:tcPr>
          <w:p>
            <w:pPr>
              <w:spacing w:after="0"/>
              <w:rPr>
                <w:sz w:val="1"/>
                <w:szCs w:val="1"/>
                <w:color w:val="auto"/>
              </w:rPr>
            </w:pPr>
          </w:p>
        </w:tc>
      </w:tr>
      <w:tr>
        <w:trPr>
          <w:trHeight w:val="221"/>
        </w:trPr>
        <w:tc>
          <w:tcPr>
            <w:tcW w:w="2780" w:type="dxa"/>
            <w:vAlign w:val="bottom"/>
            <w:shd w:val="clear" w:color="auto" w:fill="CDDAE6"/>
          </w:tcPr>
          <w:p>
            <w:pPr>
              <w:ind w:left="160"/>
              <w:spacing w:after="0"/>
              <w:rPr>
                <w:sz w:val="20"/>
                <w:szCs w:val="20"/>
                <w:color w:val="auto"/>
              </w:rPr>
            </w:pPr>
            <w:r>
              <w:rPr>
                <w:rFonts w:ascii="Arial" w:cs="Arial" w:eastAsia="Arial" w:hAnsi="Arial"/>
                <w:sz w:val="18"/>
                <w:szCs w:val="18"/>
                <w:b w:val="1"/>
                <w:bCs w:val="1"/>
                <w:color w:val="005C7D"/>
              </w:rPr>
              <w:t>Counsel and Corporate</w:t>
            </w:r>
          </w:p>
        </w:tc>
        <w:tc>
          <w:tcPr>
            <w:tcW w:w="6780" w:type="dxa"/>
            <w:vAlign w:val="bottom"/>
          </w:tcPr>
          <w:p>
            <w:pPr>
              <w:ind w:left="200"/>
              <w:spacing w:after="0"/>
              <w:rPr>
                <w:sz w:val="20"/>
                <w:szCs w:val="20"/>
                <w:color w:val="auto"/>
              </w:rPr>
            </w:pPr>
            <w:r>
              <w:rPr>
                <w:rFonts w:ascii="Arial" w:cs="Arial" w:eastAsia="Arial" w:hAnsi="Arial"/>
                <w:sz w:val="18"/>
                <w:szCs w:val="18"/>
                <w:color w:val="auto"/>
              </w:rPr>
              <w:t>Ms. Davidson became our Senior Vice President, General Counsel and Corporate</w:t>
            </w:r>
          </w:p>
        </w:tc>
        <w:tc>
          <w:tcPr>
            <w:tcW w:w="0" w:type="dxa"/>
            <w:vAlign w:val="bottom"/>
          </w:tcPr>
          <w:p>
            <w:pPr>
              <w:spacing w:after="0"/>
              <w:rPr>
                <w:sz w:val="1"/>
                <w:szCs w:val="1"/>
                <w:color w:val="auto"/>
              </w:rPr>
            </w:pPr>
          </w:p>
        </w:tc>
      </w:tr>
      <w:tr>
        <w:trPr>
          <w:trHeight w:val="256"/>
        </w:trPr>
        <w:tc>
          <w:tcPr>
            <w:tcW w:w="2780" w:type="dxa"/>
            <w:vAlign w:val="bottom"/>
            <w:shd w:val="clear" w:color="auto" w:fill="CDDAE6"/>
          </w:tcPr>
          <w:p>
            <w:pPr>
              <w:ind w:left="160"/>
              <w:spacing w:after="0"/>
              <w:rPr>
                <w:sz w:val="20"/>
                <w:szCs w:val="20"/>
                <w:color w:val="auto"/>
              </w:rPr>
            </w:pPr>
            <w:r>
              <w:rPr>
                <w:rFonts w:ascii="Arial" w:cs="Arial" w:eastAsia="Arial" w:hAnsi="Arial"/>
                <w:sz w:val="18"/>
                <w:szCs w:val="18"/>
                <w:b w:val="1"/>
                <w:bCs w:val="1"/>
                <w:color w:val="005C7D"/>
              </w:rPr>
              <w:t>Secretary</w:t>
            </w:r>
          </w:p>
        </w:tc>
        <w:tc>
          <w:tcPr>
            <w:tcW w:w="6780" w:type="dxa"/>
            <w:vAlign w:val="bottom"/>
          </w:tcPr>
          <w:p>
            <w:pPr>
              <w:ind w:left="200"/>
              <w:spacing w:after="0"/>
              <w:rPr>
                <w:sz w:val="20"/>
                <w:szCs w:val="20"/>
                <w:color w:val="auto"/>
              </w:rPr>
            </w:pPr>
            <w:r>
              <w:rPr>
                <w:rFonts w:ascii="Arial" w:cs="Arial" w:eastAsia="Arial" w:hAnsi="Arial"/>
                <w:sz w:val="18"/>
                <w:szCs w:val="18"/>
                <w:color w:val="auto"/>
              </w:rPr>
              <w:t>Secretary in August 2016. Prior to joining L3, Ms. Davidson was the Senior Vice</w:t>
            </w:r>
          </w:p>
        </w:tc>
        <w:tc>
          <w:tcPr>
            <w:tcW w:w="0" w:type="dxa"/>
            <w:vAlign w:val="bottom"/>
          </w:tcPr>
          <w:p>
            <w:pPr>
              <w:spacing w:after="0"/>
              <w:rPr>
                <w:sz w:val="1"/>
                <w:szCs w:val="1"/>
                <w:color w:val="auto"/>
              </w:rPr>
            </w:pPr>
          </w:p>
        </w:tc>
      </w:tr>
      <w:tr>
        <w:trPr>
          <w:trHeight w:val="216"/>
        </w:trPr>
        <w:tc>
          <w:tcPr>
            <w:tcW w:w="2780" w:type="dxa"/>
            <w:vAlign w:val="bottom"/>
            <w:vMerge w:val="restart"/>
            <w:shd w:val="clear" w:color="auto" w:fill="CDDAE6"/>
          </w:tcPr>
          <w:p>
            <w:pPr>
              <w:ind w:left="160"/>
              <w:spacing w:after="0"/>
              <w:rPr>
                <w:sz w:val="20"/>
                <w:szCs w:val="20"/>
                <w:color w:val="auto"/>
              </w:rPr>
            </w:pPr>
            <w:r>
              <w:rPr>
                <w:rFonts w:ascii="Arial" w:cs="Arial" w:eastAsia="Arial" w:hAnsi="Arial"/>
                <w:sz w:val="18"/>
                <w:szCs w:val="18"/>
                <w:b w:val="1"/>
                <w:bCs w:val="1"/>
                <w:color w:val="005C7D"/>
              </w:rPr>
              <w:t>Age 65</w:t>
            </w:r>
          </w:p>
        </w:tc>
        <w:tc>
          <w:tcPr>
            <w:tcW w:w="6780" w:type="dxa"/>
            <w:vAlign w:val="bottom"/>
          </w:tcPr>
          <w:p>
            <w:pPr>
              <w:ind w:left="200"/>
              <w:spacing w:after="0"/>
              <w:rPr>
                <w:sz w:val="20"/>
                <w:szCs w:val="20"/>
                <w:color w:val="auto"/>
              </w:rPr>
            </w:pPr>
            <w:r>
              <w:rPr>
                <w:rFonts w:ascii="Arial" w:cs="Arial" w:eastAsia="Arial" w:hAnsi="Arial"/>
                <w:sz w:val="18"/>
                <w:szCs w:val="18"/>
                <w:color w:val="auto"/>
                <w:w w:val="96"/>
              </w:rPr>
              <w:t>President, Chief Legal Officer and Corporate Secretary of Exelis Inc. from September</w:t>
            </w:r>
          </w:p>
        </w:tc>
        <w:tc>
          <w:tcPr>
            <w:tcW w:w="0" w:type="dxa"/>
            <w:vAlign w:val="bottom"/>
          </w:tcPr>
          <w:p>
            <w:pPr>
              <w:spacing w:after="0"/>
              <w:rPr>
                <w:sz w:val="1"/>
                <w:szCs w:val="1"/>
                <w:color w:val="auto"/>
              </w:rPr>
            </w:pPr>
          </w:p>
        </w:tc>
      </w:tr>
      <w:tr>
        <w:trPr>
          <w:trHeight w:val="216"/>
        </w:trPr>
        <w:tc>
          <w:tcPr>
            <w:tcW w:w="2780" w:type="dxa"/>
            <w:vAlign w:val="bottom"/>
            <w:vMerge w:val="continue"/>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1"/>
              </w:rPr>
              <w:t>2011 to May 2015. Her legal career includes two decades of working in the aerospace and</w:t>
            </w:r>
          </w:p>
        </w:tc>
        <w:tc>
          <w:tcPr>
            <w:tcW w:w="0" w:type="dxa"/>
            <w:vAlign w:val="bottom"/>
          </w:tcPr>
          <w:p>
            <w:pPr>
              <w:spacing w:after="0"/>
              <w:rPr>
                <w:sz w:val="1"/>
                <w:szCs w:val="1"/>
                <w:color w:val="auto"/>
              </w:rPr>
            </w:pPr>
          </w:p>
        </w:tc>
      </w:tr>
      <w:tr>
        <w:trPr>
          <w:trHeight w:val="216"/>
        </w:trPr>
        <w:tc>
          <w:tcPr>
            <w:tcW w:w="278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5"/>
              </w:rPr>
              <w:t>defense industry with ITT Corporation, Alliant Techsystems Inc., Thales North America</w:t>
            </w:r>
          </w:p>
        </w:tc>
        <w:tc>
          <w:tcPr>
            <w:tcW w:w="0" w:type="dxa"/>
            <w:vAlign w:val="bottom"/>
          </w:tcPr>
          <w:p>
            <w:pPr>
              <w:spacing w:after="0"/>
              <w:rPr>
                <w:sz w:val="1"/>
                <w:szCs w:val="1"/>
                <w:color w:val="auto"/>
              </w:rPr>
            </w:pPr>
          </w:p>
        </w:tc>
      </w:tr>
      <w:tr>
        <w:trPr>
          <w:trHeight w:val="216"/>
        </w:trPr>
        <w:tc>
          <w:tcPr>
            <w:tcW w:w="278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5"/>
              </w:rPr>
              <w:t>Inc., Parker Hannifin Corporation and Honeywell International Inc. Earlier in her career</w:t>
            </w:r>
          </w:p>
        </w:tc>
        <w:tc>
          <w:tcPr>
            <w:tcW w:w="0" w:type="dxa"/>
            <w:vAlign w:val="bottom"/>
          </w:tcPr>
          <w:p>
            <w:pPr>
              <w:spacing w:after="0"/>
              <w:rPr>
                <w:sz w:val="1"/>
                <w:szCs w:val="1"/>
                <w:color w:val="auto"/>
              </w:rPr>
            </w:pPr>
          </w:p>
        </w:tc>
      </w:tr>
      <w:tr>
        <w:trPr>
          <w:trHeight w:val="216"/>
        </w:trPr>
        <w:tc>
          <w:tcPr>
            <w:tcW w:w="278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2"/>
              </w:rPr>
              <w:t>she was an attorney advisor and trial attorney for the Office of the General Counsel of the</w:t>
            </w:r>
          </w:p>
        </w:tc>
        <w:tc>
          <w:tcPr>
            <w:tcW w:w="0" w:type="dxa"/>
            <w:vAlign w:val="bottom"/>
          </w:tcPr>
          <w:p>
            <w:pPr>
              <w:spacing w:after="0"/>
              <w:rPr>
                <w:sz w:val="1"/>
                <w:szCs w:val="1"/>
                <w:color w:val="auto"/>
              </w:rPr>
            </w:pPr>
          </w:p>
        </w:tc>
      </w:tr>
      <w:tr>
        <w:trPr>
          <w:trHeight w:val="216"/>
        </w:trPr>
        <w:tc>
          <w:tcPr>
            <w:tcW w:w="278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5"/>
              </w:rPr>
              <w:t>U.S. Department of the Navy. Ms. Davidson received her Bachelor of Arts degree from</w:t>
            </w:r>
          </w:p>
        </w:tc>
        <w:tc>
          <w:tcPr>
            <w:tcW w:w="0" w:type="dxa"/>
            <w:vAlign w:val="bottom"/>
          </w:tcPr>
          <w:p>
            <w:pPr>
              <w:spacing w:after="0"/>
              <w:rPr>
                <w:sz w:val="1"/>
                <w:szCs w:val="1"/>
                <w:color w:val="auto"/>
              </w:rPr>
            </w:pPr>
          </w:p>
        </w:tc>
      </w:tr>
      <w:tr>
        <w:trPr>
          <w:trHeight w:val="216"/>
        </w:trPr>
        <w:tc>
          <w:tcPr>
            <w:tcW w:w="278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2"/>
              </w:rPr>
              <w:t>Ohio University and her Juris Doctor degree from the University of Dayton School of Law.</w:t>
            </w:r>
          </w:p>
        </w:tc>
        <w:tc>
          <w:tcPr>
            <w:tcW w:w="0" w:type="dxa"/>
            <w:vAlign w:val="bottom"/>
          </w:tcPr>
          <w:p>
            <w:pPr>
              <w:spacing w:after="0"/>
              <w:rPr>
                <w:sz w:val="1"/>
                <w:szCs w:val="1"/>
                <w:color w:val="auto"/>
              </w:rPr>
            </w:pPr>
          </w:p>
        </w:tc>
      </w:tr>
      <w:tr>
        <w:trPr>
          <w:trHeight w:val="244"/>
        </w:trPr>
        <w:tc>
          <w:tcPr>
            <w:tcW w:w="2780" w:type="dxa"/>
            <w:vAlign w:val="bottom"/>
            <w:shd w:val="clear" w:color="auto" w:fill="CDDAE6"/>
          </w:tcPr>
          <w:p>
            <w:pPr>
              <w:spacing w:after="0"/>
              <w:rPr>
                <w:sz w:val="21"/>
                <w:szCs w:val="21"/>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She is a member of the bar in Virginia and New York.</w:t>
            </w:r>
          </w:p>
        </w:tc>
        <w:tc>
          <w:tcPr>
            <w:tcW w:w="0" w:type="dxa"/>
            <w:vAlign w:val="bottom"/>
          </w:tcPr>
          <w:p>
            <w:pPr>
              <w:spacing w:after="0"/>
              <w:rPr>
                <w:sz w:val="1"/>
                <w:szCs w:val="1"/>
                <w:color w:val="auto"/>
              </w:rPr>
            </w:pPr>
          </w:p>
        </w:tc>
      </w:tr>
      <w:tr>
        <w:trPr>
          <w:trHeight w:val="243"/>
        </w:trPr>
        <w:tc>
          <w:tcPr>
            <w:tcW w:w="2780" w:type="dxa"/>
            <w:vAlign w:val="bottom"/>
            <w:tcBorders>
              <w:bottom w:val="single" w:sz="8" w:color="005C7D"/>
            </w:tcBorders>
          </w:tcPr>
          <w:p>
            <w:pPr>
              <w:spacing w:after="0"/>
              <w:rPr>
                <w:sz w:val="21"/>
                <w:szCs w:val="21"/>
                <w:color w:val="auto"/>
              </w:rPr>
            </w:pPr>
          </w:p>
        </w:tc>
        <w:tc>
          <w:tcPr>
            <w:tcW w:w="6780" w:type="dxa"/>
            <w:vAlign w:val="bottom"/>
            <w:tcBorders>
              <w:bottom w:val="single" w:sz="8" w:color="005C7D"/>
            </w:tcBorders>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780" w:type="dxa"/>
            <w:vAlign w:val="bottom"/>
            <w:tcBorders>
              <w:bottom w:val="single" w:sz="8" w:color="005C7D"/>
            </w:tcBorders>
            <w:shd w:val="clear" w:color="auto" w:fill="CDDAE6"/>
          </w:tcPr>
          <w:p>
            <w:pPr>
              <w:ind w:left="160"/>
              <w:spacing w:after="0"/>
              <w:rPr>
                <w:sz w:val="20"/>
                <w:szCs w:val="20"/>
                <w:color w:val="auto"/>
              </w:rPr>
            </w:pPr>
            <w:r>
              <w:rPr>
                <w:rFonts w:ascii="Arial" w:cs="Arial" w:eastAsia="Arial" w:hAnsi="Arial"/>
                <w:sz w:val="18"/>
                <w:szCs w:val="18"/>
                <w:b w:val="1"/>
                <w:bCs w:val="1"/>
                <w:color w:val="005C7D"/>
              </w:rPr>
              <w:t>TODD W. GAUTIER</w:t>
            </w:r>
          </w:p>
        </w:tc>
        <w:tc>
          <w:tcPr>
            <w:tcW w:w="6780" w:type="dxa"/>
            <w:vAlign w:val="bottom"/>
            <w:tcBorders>
              <w:bottom w:val="single" w:sz="8" w:color="005C7D"/>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DDAE6"/>
          </w:tcPr>
          <w:p>
            <w:pPr>
              <w:ind w:left="160"/>
              <w:spacing w:after="0"/>
              <w:rPr>
                <w:sz w:val="20"/>
                <w:szCs w:val="20"/>
                <w:color w:val="auto"/>
              </w:rPr>
            </w:pPr>
            <w:r>
              <w:rPr>
                <w:rFonts w:ascii="Arial" w:cs="Arial" w:eastAsia="Arial" w:hAnsi="Arial"/>
                <w:sz w:val="18"/>
                <w:szCs w:val="18"/>
                <w:b w:val="1"/>
                <w:bCs w:val="1"/>
                <w:color w:val="005C7D"/>
              </w:rPr>
              <w:t>Senior Vice President and</w:t>
            </w:r>
          </w:p>
        </w:tc>
        <w:tc>
          <w:tcPr>
            <w:tcW w:w="6780" w:type="dxa"/>
            <w:vAlign w:val="bottom"/>
          </w:tcPr>
          <w:p>
            <w:pPr>
              <w:ind w:left="200"/>
              <w:spacing w:after="0"/>
              <w:rPr>
                <w:sz w:val="20"/>
                <w:szCs w:val="20"/>
                <w:color w:val="auto"/>
              </w:rPr>
            </w:pPr>
            <w:r>
              <w:rPr>
                <w:rFonts w:ascii="Arial" w:cs="Arial" w:eastAsia="Arial" w:hAnsi="Arial"/>
                <w:sz w:val="18"/>
                <w:szCs w:val="18"/>
                <w:b w:val="1"/>
                <w:bCs w:val="1"/>
                <w:color w:val="005C7D"/>
              </w:rPr>
              <w:t>Principal Occupation And Other Information</w:t>
            </w:r>
          </w:p>
        </w:tc>
        <w:tc>
          <w:tcPr>
            <w:tcW w:w="0" w:type="dxa"/>
            <w:vAlign w:val="bottom"/>
          </w:tcPr>
          <w:p>
            <w:pPr>
              <w:spacing w:after="0"/>
              <w:rPr>
                <w:sz w:val="1"/>
                <w:szCs w:val="1"/>
                <w:color w:val="auto"/>
              </w:rPr>
            </w:pPr>
          </w:p>
        </w:tc>
      </w:tr>
      <w:tr>
        <w:trPr>
          <w:trHeight w:val="221"/>
        </w:trPr>
        <w:tc>
          <w:tcPr>
            <w:tcW w:w="2780" w:type="dxa"/>
            <w:vAlign w:val="bottom"/>
            <w:shd w:val="clear" w:color="auto" w:fill="CDDAE6"/>
          </w:tcPr>
          <w:p>
            <w:pPr>
              <w:ind w:left="160"/>
              <w:spacing w:after="0"/>
              <w:rPr>
                <w:sz w:val="20"/>
                <w:szCs w:val="20"/>
                <w:color w:val="auto"/>
              </w:rPr>
            </w:pPr>
            <w:r>
              <w:rPr>
                <w:rFonts w:ascii="Arial" w:cs="Arial" w:eastAsia="Arial" w:hAnsi="Arial"/>
                <w:sz w:val="18"/>
                <w:szCs w:val="18"/>
                <w:b w:val="1"/>
                <w:bCs w:val="1"/>
                <w:color w:val="005C7D"/>
              </w:rPr>
              <w:t>President of Electronic</w:t>
            </w:r>
          </w:p>
        </w:tc>
        <w:tc>
          <w:tcPr>
            <w:tcW w:w="6780" w:type="dxa"/>
            <w:vAlign w:val="bottom"/>
          </w:tcPr>
          <w:p>
            <w:pPr>
              <w:ind w:left="200"/>
              <w:spacing w:after="0"/>
              <w:rPr>
                <w:sz w:val="20"/>
                <w:szCs w:val="20"/>
                <w:color w:val="auto"/>
              </w:rPr>
            </w:pPr>
            <w:r>
              <w:rPr>
                <w:rFonts w:ascii="Arial" w:cs="Arial" w:eastAsia="Arial" w:hAnsi="Arial"/>
                <w:sz w:val="18"/>
                <w:szCs w:val="18"/>
                <w:color w:val="auto"/>
                <w:w w:val="96"/>
              </w:rPr>
              <w:t>Mr. Gautier became our Senior Vice President and President of Electronic Systems in</w:t>
            </w:r>
          </w:p>
        </w:tc>
        <w:tc>
          <w:tcPr>
            <w:tcW w:w="0" w:type="dxa"/>
            <w:vAlign w:val="bottom"/>
          </w:tcPr>
          <w:p>
            <w:pPr>
              <w:spacing w:after="0"/>
              <w:rPr>
                <w:sz w:val="1"/>
                <w:szCs w:val="1"/>
                <w:color w:val="auto"/>
              </w:rPr>
            </w:pPr>
          </w:p>
        </w:tc>
      </w:tr>
      <w:tr>
        <w:trPr>
          <w:trHeight w:val="256"/>
        </w:trPr>
        <w:tc>
          <w:tcPr>
            <w:tcW w:w="2780" w:type="dxa"/>
            <w:vAlign w:val="bottom"/>
            <w:shd w:val="clear" w:color="auto" w:fill="CDDAE6"/>
          </w:tcPr>
          <w:p>
            <w:pPr>
              <w:ind w:left="160"/>
              <w:spacing w:after="0"/>
              <w:rPr>
                <w:sz w:val="20"/>
                <w:szCs w:val="20"/>
                <w:color w:val="auto"/>
              </w:rPr>
            </w:pPr>
            <w:r>
              <w:rPr>
                <w:rFonts w:ascii="Arial" w:cs="Arial" w:eastAsia="Arial" w:hAnsi="Arial"/>
                <w:sz w:val="18"/>
                <w:szCs w:val="18"/>
                <w:b w:val="1"/>
                <w:bCs w:val="1"/>
                <w:color w:val="005C7D"/>
              </w:rPr>
              <w:t>Systems</w:t>
            </w:r>
          </w:p>
        </w:tc>
        <w:tc>
          <w:tcPr>
            <w:tcW w:w="6780" w:type="dxa"/>
            <w:vAlign w:val="bottom"/>
          </w:tcPr>
          <w:p>
            <w:pPr>
              <w:ind w:left="200"/>
              <w:spacing w:after="0"/>
              <w:rPr>
                <w:sz w:val="20"/>
                <w:szCs w:val="20"/>
                <w:color w:val="auto"/>
              </w:rPr>
            </w:pPr>
            <w:r>
              <w:rPr>
                <w:rFonts w:ascii="Arial" w:cs="Arial" w:eastAsia="Arial" w:hAnsi="Arial"/>
                <w:sz w:val="18"/>
                <w:szCs w:val="18"/>
                <w:color w:val="auto"/>
                <w:w w:val="95"/>
              </w:rPr>
              <w:t>March 2017. Prior to that, he was President of the Precision Engagement and Training</w:t>
            </w:r>
          </w:p>
        </w:tc>
        <w:tc>
          <w:tcPr>
            <w:tcW w:w="0" w:type="dxa"/>
            <w:vAlign w:val="bottom"/>
          </w:tcPr>
          <w:p>
            <w:pPr>
              <w:spacing w:after="0"/>
              <w:rPr>
                <w:sz w:val="1"/>
                <w:szCs w:val="1"/>
                <w:color w:val="auto"/>
              </w:rPr>
            </w:pPr>
          </w:p>
        </w:tc>
      </w:tr>
      <w:tr>
        <w:trPr>
          <w:trHeight w:val="216"/>
        </w:trPr>
        <w:tc>
          <w:tcPr>
            <w:tcW w:w="2780" w:type="dxa"/>
            <w:vAlign w:val="bottom"/>
            <w:vMerge w:val="restart"/>
            <w:shd w:val="clear" w:color="auto" w:fill="CDDAE6"/>
          </w:tcPr>
          <w:p>
            <w:pPr>
              <w:ind w:left="160"/>
              <w:spacing w:after="0"/>
              <w:rPr>
                <w:sz w:val="20"/>
                <w:szCs w:val="20"/>
                <w:color w:val="auto"/>
              </w:rPr>
            </w:pPr>
            <w:r>
              <w:rPr>
                <w:rFonts w:ascii="Arial" w:cs="Arial" w:eastAsia="Arial" w:hAnsi="Arial"/>
                <w:sz w:val="18"/>
                <w:szCs w:val="18"/>
                <w:b w:val="1"/>
                <w:bCs w:val="1"/>
                <w:color w:val="005C7D"/>
              </w:rPr>
              <w:t>Age 53</w:t>
            </w:r>
          </w:p>
        </w:tc>
        <w:tc>
          <w:tcPr>
            <w:tcW w:w="6780" w:type="dxa"/>
            <w:vAlign w:val="bottom"/>
          </w:tcPr>
          <w:p>
            <w:pPr>
              <w:ind w:left="200"/>
              <w:spacing w:after="0"/>
              <w:rPr>
                <w:sz w:val="20"/>
                <w:szCs w:val="20"/>
                <w:color w:val="auto"/>
              </w:rPr>
            </w:pPr>
            <w:r>
              <w:rPr>
                <w:rFonts w:ascii="Arial" w:cs="Arial" w:eastAsia="Arial" w:hAnsi="Arial"/>
                <w:sz w:val="18"/>
                <w:szCs w:val="18"/>
                <w:color w:val="auto"/>
                <w:w w:val="91"/>
              </w:rPr>
              <w:t>Sector, from January 2014 to March 2017, President of the Precision Engagement Sector,</w:t>
            </w:r>
          </w:p>
        </w:tc>
        <w:tc>
          <w:tcPr>
            <w:tcW w:w="0" w:type="dxa"/>
            <w:vAlign w:val="bottom"/>
          </w:tcPr>
          <w:p>
            <w:pPr>
              <w:spacing w:after="0"/>
              <w:rPr>
                <w:sz w:val="1"/>
                <w:szCs w:val="1"/>
                <w:color w:val="auto"/>
              </w:rPr>
            </w:pPr>
          </w:p>
        </w:tc>
      </w:tr>
      <w:tr>
        <w:trPr>
          <w:trHeight w:val="216"/>
        </w:trPr>
        <w:tc>
          <w:tcPr>
            <w:tcW w:w="2780" w:type="dxa"/>
            <w:vAlign w:val="bottom"/>
            <w:vMerge w:val="continue"/>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5"/>
              </w:rPr>
              <w:t>from January 2010 to January 2014, and Vice President of Business Development and</w:t>
            </w:r>
          </w:p>
        </w:tc>
        <w:tc>
          <w:tcPr>
            <w:tcW w:w="0" w:type="dxa"/>
            <w:vAlign w:val="bottom"/>
          </w:tcPr>
          <w:p>
            <w:pPr>
              <w:spacing w:after="0"/>
              <w:rPr>
                <w:sz w:val="1"/>
                <w:szCs w:val="1"/>
                <w:color w:val="auto"/>
              </w:rPr>
            </w:pPr>
          </w:p>
        </w:tc>
      </w:tr>
      <w:tr>
        <w:trPr>
          <w:trHeight w:val="216"/>
        </w:trPr>
        <w:tc>
          <w:tcPr>
            <w:tcW w:w="278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2"/>
              </w:rPr>
              <w:t>Strategy for the Sensors and Simulation Group from January 2005 to January 2010. With</w:t>
            </w:r>
          </w:p>
        </w:tc>
        <w:tc>
          <w:tcPr>
            <w:tcW w:w="0" w:type="dxa"/>
            <w:vAlign w:val="bottom"/>
          </w:tcPr>
          <w:p>
            <w:pPr>
              <w:spacing w:after="0"/>
              <w:rPr>
                <w:sz w:val="1"/>
                <w:szCs w:val="1"/>
                <w:color w:val="auto"/>
              </w:rPr>
            </w:pPr>
          </w:p>
        </w:tc>
      </w:tr>
      <w:tr>
        <w:trPr>
          <w:trHeight w:val="216"/>
        </w:trPr>
        <w:tc>
          <w:tcPr>
            <w:tcW w:w="278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1"/>
              </w:rPr>
              <w:t>30 years of defense, aerospace and leadership experience, Mr. Gautier joined L3 in 2001.</w:t>
            </w:r>
          </w:p>
        </w:tc>
        <w:tc>
          <w:tcPr>
            <w:tcW w:w="0" w:type="dxa"/>
            <w:vAlign w:val="bottom"/>
          </w:tcPr>
          <w:p>
            <w:pPr>
              <w:spacing w:after="0"/>
              <w:rPr>
                <w:sz w:val="1"/>
                <w:szCs w:val="1"/>
                <w:color w:val="auto"/>
              </w:rPr>
            </w:pPr>
          </w:p>
        </w:tc>
      </w:tr>
      <w:tr>
        <w:trPr>
          <w:trHeight w:val="216"/>
        </w:trPr>
        <w:tc>
          <w:tcPr>
            <w:tcW w:w="278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5"/>
              </w:rPr>
              <w:t>Prior to joining L3, Mr. Gautier served in the U.S. Navy for 15 years as a Strike/Fighter</w:t>
            </w:r>
          </w:p>
        </w:tc>
        <w:tc>
          <w:tcPr>
            <w:tcW w:w="0" w:type="dxa"/>
            <w:vAlign w:val="bottom"/>
          </w:tcPr>
          <w:p>
            <w:pPr>
              <w:spacing w:after="0"/>
              <w:rPr>
                <w:sz w:val="1"/>
                <w:szCs w:val="1"/>
                <w:color w:val="auto"/>
              </w:rPr>
            </w:pPr>
          </w:p>
        </w:tc>
      </w:tr>
      <w:tr>
        <w:trPr>
          <w:trHeight w:val="216"/>
        </w:trPr>
        <w:tc>
          <w:tcPr>
            <w:tcW w:w="278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1"/>
              </w:rPr>
              <w:t>Pilot, where he held a variety of leadership, operational, and instructional positions across</w:t>
            </w:r>
          </w:p>
        </w:tc>
        <w:tc>
          <w:tcPr>
            <w:tcW w:w="0" w:type="dxa"/>
            <w:vAlign w:val="bottom"/>
          </w:tcPr>
          <w:p>
            <w:pPr>
              <w:spacing w:after="0"/>
              <w:rPr>
                <w:sz w:val="1"/>
                <w:szCs w:val="1"/>
                <w:color w:val="auto"/>
              </w:rPr>
            </w:pPr>
          </w:p>
        </w:tc>
      </w:tr>
      <w:tr>
        <w:trPr>
          <w:trHeight w:val="216"/>
        </w:trPr>
        <w:tc>
          <w:tcPr>
            <w:tcW w:w="278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3"/>
              </w:rPr>
              <w:t>combat and peacetime operations. After leaving the Navy in 2000, he served as the Vice</w:t>
            </w:r>
          </w:p>
        </w:tc>
        <w:tc>
          <w:tcPr>
            <w:tcW w:w="0" w:type="dxa"/>
            <w:vAlign w:val="bottom"/>
          </w:tcPr>
          <w:p>
            <w:pPr>
              <w:spacing w:after="0"/>
              <w:rPr>
                <w:sz w:val="1"/>
                <w:szCs w:val="1"/>
                <w:color w:val="auto"/>
              </w:rPr>
            </w:pPr>
          </w:p>
        </w:tc>
      </w:tr>
      <w:tr>
        <w:trPr>
          <w:trHeight w:val="216"/>
        </w:trPr>
        <w:tc>
          <w:tcPr>
            <w:tcW w:w="278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3"/>
              </w:rPr>
              <w:t>President of Navy Operations for BGI, LLC, and as a pilot for United Airlines. Mr. Gautier</w:t>
            </w:r>
          </w:p>
        </w:tc>
        <w:tc>
          <w:tcPr>
            <w:tcW w:w="0" w:type="dxa"/>
            <w:vAlign w:val="bottom"/>
          </w:tcPr>
          <w:p>
            <w:pPr>
              <w:spacing w:after="0"/>
              <w:rPr>
                <w:sz w:val="1"/>
                <w:szCs w:val="1"/>
                <w:color w:val="auto"/>
              </w:rPr>
            </w:pPr>
          </w:p>
        </w:tc>
      </w:tr>
      <w:tr>
        <w:trPr>
          <w:trHeight w:val="216"/>
        </w:trPr>
        <w:tc>
          <w:tcPr>
            <w:tcW w:w="278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9"/>
              </w:rPr>
              <w:t>received his Bachelor’s degree in Business Administration, Finance, from Southern</w:t>
            </w:r>
          </w:p>
        </w:tc>
        <w:tc>
          <w:tcPr>
            <w:tcW w:w="0" w:type="dxa"/>
            <w:vAlign w:val="bottom"/>
          </w:tcPr>
          <w:p>
            <w:pPr>
              <w:spacing w:after="0"/>
              <w:rPr>
                <w:sz w:val="1"/>
                <w:szCs w:val="1"/>
                <w:color w:val="auto"/>
              </w:rPr>
            </w:pPr>
          </w:p>
        </w:tc>
      </w:tr>
      <w:tr>
        <w:trPr>
          <w:trHeight w:val="244"/>
        </w:trPr>
        <w:tc>
          <w:tcPr>
            <w:tcW w:w="2780" w:type="dxa"/>
            <w:vAlign w:val="bottom"/>
            <w:shd w:val="clear" w:color="auto" w:fill="CDDAE6"/>
          </w:tcPr>
          <w:p>
            <w:pPr>
              <w:spacing w:after="0"/>
              <w:rPr>
                <w:sz w:val="21"/>
                <w:szCs w:val="21"/>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Methodist University in 1986.</w:t>
            </w:r>
          </w:p>
        </w:tc>
        <w:tc>
          <w:tcPr>
            <w:tcW w:w="0" w:type="dxa"/>
            <w:vAlign w:val="bottom"/>
          </w:tcPr>
          <w:p>
            <w:pPr>
              <w:spacing w:after="0"/>
              <w:rPr>
                <w:sz w:val="1"/>
                <w:szCs w:val="1"/>
                <w:color w:val="auto"/>
              </w:rPr>
            </w:pPr>
          </w:p>
        </w:tc>
      </w:tr>
      <w:tr>
        <w:trPr>
          <w:trHeight w:val="243"/>
        </w:trPr>
        <w:tc>
          <w:tcPr>
            <w:tcW w:w="2780" w:type="dxa"/>
            <w:vAlign w:val="bottom"/>
            <w:tcBorders>
              <w:bottom w:val="single" w:sz="8" w:color="005C7D"/>
            </w:tcBorders>
          </w:tcPr>
          <w:p>
            <w:pPr>
              <w:spacing w:after="0"/>
              <w:rPr>
                <w:sz w:val="21"/>
                <w:szCs w:val="21"/>
                <w:color w:val="auto"/>
              </w:rPr>
            </w:pPr>
          </w:p>
        </w:tc>
        <w:tc>
          <w:tcPr>
            <w:tcW w:w="6780" w:type="dxa"/>
            <w:vAlign w:val="bottom"/>
            <w:tcBorders>
              <w:bottom w:val="single" w:sz="8" w:color="005C7D"/>
            </w:tcBorders>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780" w:type="dxa"/>
            <w:vAlign w:val="bottom"/>
            <w:tcBorders>
              <w:bottom w:val="single" w:sz="8" w:color="005C7D"/>
            </w:tcBorders>
            <w:shd w:val="clear" w:color="auto" w:fill="CDDAE6"/>
          </w:tcPr>
          <w:p>
            <w:pPr>
              <w:ind w:left="160"/>
              <w:spacing w:after="0"/>
              <w:rPr>
                <w:sz w:val="20"/>
                <w:szCs w:val="20"/>
                <w:color w:val="auto"/>
              </w:rPr>
            </w:pPr>
            <w:r>
              <w:rPr>
                <w:rFonts w:ascii="Arial" w:cs="Arial" w:eastAsia="Arial" w:hAnsi="Arial"/>
                <w:sz w:val="18"/>
                <w:szCs w:val="18"/>
                <w:b w:val="1"/>
                <w:bCs w:val="1"/>
                <w:color w:val="005C7D"/>
              </w:rPr>
              <w:t>STEVE KANTOR</w:t>
            </w:r>
          </w:p>
        </w:tc>
        <w:tc>
          <w:tcPr>
            <w:tcW w:w="6780" w:type="dxa"/>
            <w:vAlign w:val="bottom"/>
            <w:tcBorders>
              <w:bottom w:val="single" w:sz="8" w:color="005C7D"/>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DDAE6"/>
          </w:tcPr>
          <w:p>
            <w:pPr>
              <w:ind w:left="160"/>
              <w:spacing w:after="0"/>
              <w:rPr>
                <w:sz w:val="20"/>
                <w:szCs w:val="20"/>
                <w:color w:val="auto"/>
              </w:rPr>
            </w:pPr>
            <w:r>
              <w:rPr>
                <w:rFonts w:ascii="Arial" w:cs="Arial" w:eastAsia="Arial" w:hAnsi="Arial"/>
                <w:sz w:val="18"/>
                <w:szCs w:val="18"/>
                <w:b w:val="1"/>
                <w:bCs w:val="1"/>
                <w:color w:val="005C7D"/>
              </w:rPr>
              <w:t>Former Senior Vice President</w:t>
            </w:r>
          </w:p>
        </w:tc>
        <w:tc>
          <w:tcPr>
            <w:tcW w:w="6780" w:type="dxa"/>
            <w:vAlign w:val="bottom"/>
          </w:tcPr>
          <w:p>
            <w:pPr>
              <w:ind w:left="200"/>
              <w:spacing w:after="0"/>
              <w:rPr>
                <w:sz w:val="20"/>
                <w:szCs w:val="20"/>
                <w:color w:val="auto"/>
              </w:rPr>
            </w:pPr>
            <w:r>
              <w:rPr>
                <w:rFonts w:ascii="Arial" w:cs="Arial" w:eastAsia="Arial" w:hAnsi="Arial"/>
                <w:sz w:val="18"/>
                <w:szCs w:val="18"/>
                <w:b w:val="1"/>
                <w:bCs w:val="1"/>
                <w:color w:val="005C7D"/>
              </w:rPr>
              <w:t>Principal Occupation And Other Information</w:t>
            </w:r>
          </w:p>
        </w:tc>
        <w:tc>
          <w:tcPr>
            <w:tcW w:w="0" w:type="dxa"/>
            <w:vAlign w:val="bottom"/>
          </w:tcPr>
          <w:p>
            <w:pPr>
              <w:spacing w:after="0"/>
              <w:rPr>
                <w:sz w:val="1"/>
                <w:szCs w:val="1"/>
                <w:color w:val="auto"/>
              </w:rPr>
            </w:pPr>
          </w:p>
        </w:tc>
      </w:tr>
      <w:tr>
        <w:trPr>
          <w:trHeight w:val="221"/>
        </w:trPr>
        <w:tc>
          <w:tcPr>
            <w:tcW w:w="2780" w:type="dxa"/>
            <w:vAlign w:val="bottom"/>
            <w:shd w:val="clear" w:color="auto" w:fill="CDDAE6"/>
          </w:tcPr>
          <w:p>
            <w:pPr>
              <w:ind w:left="160"/>
              <w:spacing w:after="0"/>
              <w:rPr>
                <w:sz w:val="20"/>
                <w:szCs w:val="20"/>
                <w:color w:val="auto"/>
              </w:rPr>
            </w:pPr>
            <w:r>
              <w:rPr>
                <w:rFonts w:ascii="Arial" w:cs="Arial" w:eastAsia="Arial" w:hAnsi="Arial"/>
                <w:sz w:val="18"/>
                <w:szCs w:val="18"/>
                <w:b w:val="1"/>
                <w:bCs w:val="1"/>
                <w:color w:val="005C7D"/>
              </w:rPr>
              <w:t>and President of Electronic</w:t>
            </w:r>
          </w:p>
        </w:tc>
        <w:tc>
          <w:tcPr>
            <w:tcW w:w="6780" w:type="dxa"/>
            <w:vAlign w:val="bottom"/>
          </w:tcPr>
          <w:p>
            <w:pPr>
              <w:ind w:left="200"/>
              <w:spacing w:after="0"/>
              <w:rPr>
                <w:sz w:val="20"/>
                <w:szCs w:val="20"/>
                <w:color w:val="auto"/>
              </w:rPr>
            </w:pPr>
            <w:r>
              <w:rPr>
                <w:rFonts w:ascii="Arial" w:cs="Arial" w:eastAsia="Arial" w:hAnsi="Arial"/>
                <w:sz w:val="18"/>
                <w:szCs w:val="18"/>
                <w:color w:val="auto"/>
                <w:w w:val="91"/>
              </w:rPr>
              <w:t>Mr. Kantor has been our Senior Vice President and President of Electronic Systems since</w:t>
            </w:r>
          </w:p>
        </w:tc>
        <w:tc>
          <w:tcPr>
            <w:tcW w:w="0" w:type="dxa"/>
            <w:vAlign w:val="bottom"/>
          </w:tcPr>
          <w:p>
            <w:pPr>
              <w:spacing w:after="0"/>
              <w:rPr>
                <w:sz w:val="1"/>
                <w:szCs w:val="1"/>
                <w:color w:val="auto"/>
              </w:rPr>
            </w:pPr>
          </w:p>
        </w:tc>
      </w:tr>
      <w:tr>
        <w:trPr>
          <w:trHeight w:val="256"/>
        </w:trPr>
        <w:tc>
          <w:tcPr>
            <w:tcW w:w="2780" w:type="dxa"/>
            <w:vAlign w:val="bottom"/>
            <w:shd w:val="clear" w:color="auto" w:fill="CDDAE6"/>
          </w:tcPr>
          <w:p>
            <w:pPr>
              <w:ind w:left="160"/>
              <w:spacing w:after="0"/>
              <w:rPr>
                <w:sz w:val="20"/>
                <w:szCs w:val="20"/>
                <w:color w:val="auto"/>
              </w:rPr>
            </w:pPr>
            <w:r>
              <w:rPr>
                <w:rFonts w:ascii="Arial" w:cs="Arial" w:eastAsia="Arial" w:hAnsi="Arial"/>
                <w:sz w:val="18"/>
                <w:szCs w:val="18"/>
                <w:b w:val="1"/>
                <w:bCs w:val="1"/>
                <w:color w:val="005C7D"/>
              </w:rPr>
              <w:t>Systems</w:t>
            </w:r>
          </w:p>
        </w:tc>
        <w:tc>
          <w:tcPr>
            <w:tcW w:w="6780" w:type="dxa"/>
            <w:vAlign w:val="bottom"/>
          </w:tcPr>
          <w:p>
            <w:pPr>
              <w:ind w:left="200"/>
              <w:spacing w:after="0"/>
              <w:rPr>
                <w:sz w:val="20"/>
                <w:szCs w:val="20"/>
                <w:color w:val="auto"/>
              </w:rPr>
            </w:pPr>
            <w:r>
              <w:rPr>
                <w:rFonts w:ascii="Arial" w:cs="Arial" w:eastAsia="Arial" w:hAnsi="Arial"/>
                <w:sz w:val="18"/>
                <w:szCs w:val="18"/>
                <w:color w:val="auto"/>
                <w:w w:val="97"/>
              </w:rPr>
              <w:t>August 2012. The Company announced that Mr. Kantor transitioned from this role on</w:t>
            </w:r>
          </w:p>
        </w:tc>
        <w:tc>
          <w:tcPr>
            <w:tcW w:w="0" w:type="dxa"/>
            <w:vAlign w:val="bottom"/>
          </w:tcPr>
          <w:p>
            <w:pPr>
              <w:spacing w:after="0"/>
              <w:rPr>
                <w:sz w:val="1"/>
                <w:szCs w:val="1"/>
                <w:color w:val="auto"/>
              </w:rPr>
            </w:pPr>
          </w:p>
        </w:tc>
      </w:tr>
      <w:tr>
        <w:trPr>
          <w:trHeight w:val="216"/>
        </w:trPr>
        <w:tc>
          <w:tcPr>
            <w:tcW w:w="2780" w:type="dxa"/>
            <w:vAlign w:val="bottom"/>
            <w:vMerge w:val="restart"/>
            <w:shd w:val="clear" w:color="auto" w:fill="CDDAE6"/>
          </w:tcPr>
          <w:p>
            <w:pPr>
              <w:ind w:left="160"/>
              <w:spacing w:after="0"/>
              <w:rPr>
                <w:sz w:val="20"/>
                <w:szCs w:val="20"/>
                <w:color w:val="auto"/>
              </w:rPr>
            </w:pPr>
            <w:r>
              <w:rPr>
                <w:rFonts w:ascii="Arial" w:cs="Arial" w:eastAsia="Arial" w:hAnsi="Arial"/>
                <w:sz w:val="18"/>
                <w:szCs w:val="18"/>
                <w:b w:val="1"/>
                <w:bCs w:val="1"/>
                <w:color w:val="005C7D"/>
              </w:rPr>
              <w:t>Age 72</w:t>
            </w:r>
          </w:p>
        </w:tc>
        <w:tc>
          <w:tcPr>
            <w:tcW w:w="6780" w:type="dxa"/>
            <w:vAlign w:val="bottom"/>
          </w:tcPr>
          <w:p>
            <w:pPr>
              <w:ind w:left="200"/>
              <w:spacing w:after="0"/>
              <w:rPr>
                <w:sz w:val="20"/>
                <w:szCs w:val="20"/>
                <w:color w:val="auto"/>
              </w:rPr>
            </w:pPr>
            <w:r>
              <w:rPr>
                <w:rFonts w:ascii="Arial" w:cs="Arial" w:eastAsia="Arial" w:hAnsi="Arial"/>
                <w:sz w:val="18"/>
                <w:szCs w:val="18"/>
                <w:color w:val="auto"/>
                <w:w w:val="97"/>
              </w:rPr>
              <w:t>March 1, 2017 and will be retiring in the second quarter of 2017. Prior to that, he was</w:t>
            </w:r>
          </w:p>
        </w:tc>
        <w:tc>
          <w:tcPr>
            <w:tcW w:w="0" w:type="dxa"/>
            <w:vAlign w:val="bottom"/>
          </w:tcPr>
          <w:p>
            <w:pPr>
              <w:spacing w:after="0"/>
              <w:rPr>
                <w:sz w:val="1"/>
                <w:szCs w:val="1"/>
                <w:color w:val="auto"/>
              </w:rPr>
            </w:pPr>
          </w:p>
        </w:tc>
      </w:tr>
      <w:tr>
        <w:trPr>
          <w:trHeight w:val="216"/>
        </w:trPr>
        <w:tc>
          <w:tcPr>
            <w:tcW w:w="2780" w:type="dxa"/>
            <w:vAlign w:val="bottom"/>
            <w:vMerge w:val="continue"/>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0"/>
              </w:rPr>
              <w:t>Senior Vice President and President of L-3 Services Group from June 2010 to August 2012</w:t>
            </w:r>
          </w:p>
        </w:tc>
        <w:tc>
          <w:tcPr>
            <w:tcW w:w="0" w:type="dxa"/>
            <w:vAlign w:val="bottom"/>
          </w:tcPr>
          <w:p>
            <w:pPr>
              <w:spacing w:after="0"/>
              <w:rPr>
                <w:sz w:val="1"/>
                <w:szCs w:val="1"/>
                <w:color w:val="auto"/>
              </w:rPr>
            </w:pPr>
          </w:p>
        </w:tc>
      </w:tr>
      <w:tr>
        <w:trPr>
          <w:trHeight w:val="216"/>
        </w:trPr>
        <w:tc>
          <w:tcPr>
            <w:tcW w:w="278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and, prior to that, from 2005 until 2010, Mr. Kantor was President of L3’s Power &amp;</w:t>
            </w:r>
          </w:p>
        </w:tc>
        <w:tc>
          <w:tcPr>
            <w:tcW w:w="0" w:type="dxa"/>
            <w:vAlign w:val="bottom"/>
          </w:tcPr>
          <w:p>
            <w:pPr>
              <w:spacing w:after="0"/>
              <w:rPr>
                <w:sz w:val="1"/>
                <w:szCs w:val="1"/>
                <w:color w:val="auto"/>
              </w:rPr>
            </w:pPr>
          </w:p>
        </w:tc>
      </w:tr>
      <w:tr>
        <w:trPr>
          <w:trHeight w:val="216"/>
        </w:trPr>
        <w:tc>
          <w:tcPr>
            <w:tcW w:w="278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3"/>
              </w:rPr>
              <w:t>Controls Systems Group which was later renamed Marine &amp; Power Systems Group. Mr.</w:t>
            </w:r>
          </w:p>
        </w:tc>
        <w:tc>
          <w:tcPr>
            <w:tcW w:w="0" w:type="dxa"/>
            <w:vAlign w:val="bottom"/>
          </w:tcPr>
          <w:p>
            <w:pPr>
              <w:spacing w:after="0"/>
              <w:rPr>
                <w:sz w:val="1"/>
                <w:szCs w:val="1"/>
                <w:color w:val="auto"/>
              </w:rPr>
            </w:pPr>
          </w:p>
        </w:tc>
      </w:tr>
      <w:tr>
        <w:trPr>
          <w:trHeight w:val="216"/>
        </w:trPr>
        <w:tc>
          <w:tcPr>
            <w:tcW w:w="278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3"/>
              </w:rPr>
              <w:t>Kantor joined L3 in 2003 and has over 35 years of experience in the defense electronics</w:t>
            </w:r>
          </w:p>
        </w:tc>
        <w:tc>
          <w:tcPr>
            <w:tcW w:w="0" w:type="dxa"/>
            <w:vAlign w:val="bottom"/>
          </w:tcPr>
          <w:p>
            <w:pPr>
              <w:spacing w:after="0"/>
              <w:rPr>
                <w:sz w:val="1"/>
                <w:szCs w:val="1"/>
                <w:color w:val="auto"/>
              </w:rPr>
            </w:pPr>
          </w:p>
        </w:tc>
      </w:tr>
      <w:tr>
        <w:trPr>
          <w:trHeight w:val="216"/>
        </w:trPr>
        <w:tc>
          <w:tcPr>
            <w:tcW w:w="278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industry, serving the U.S. Department of Defense, prime contractors and original</w:t>
            </w:r>
          </w:p>
        </w:tc>
        <w:tc>
          <w:tcPr>
            <w:tcW w:w="0" w:type="dxa"/>
            <w:vAlign w:val="bottom"/>
          </w:tcPr>
          <w:p>
            <w:pPr>
              <w:spacing w:after="0"/>
              <w:rPr>
                <w:sz w:val="1"/>
                <w:szCs w:val="1"/>
                <w:color w:val="auto"/>
              </w:rPr>
            </w:pPr>
          </w:p>
        </w:tc>
      </w:tr>
      <w:tr>
        <w:trPr>
          <w:trHeight w:val="216"/>
        </w:trPr>
        <w:tc>
          <w:tcPr>
            <w:tcW w:w="278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1"/>
              </w:rPr>
              <w:t>equipment manufacturers, and foreign allies. Previously, Mr. Kantor served as president of</w:t>
            </w:r>
          </w:p>
        </w:tc>
        <w:tc>
          <w:tcPr>
            <w:tcW w:w="0" w:type="dxa"/>
            <w:vAlign w:val="bottom"/>
          </w:tcPr>
          <w:p>
            <w:pPr>
              <w:spacing w:after="0"/>
              <w:rPr>
                <w:sz w:val="1"/>
                <w:szCs w:val="1"/>
                <w:color w:val="auto"/>
              </w:rPr>
            </w:pPr>
          </w:p>
        </w:tc>
      </w:tr>
      <w:tr>
        <w:trPr>
          <w:trHeight w:val="216"/>
        </w:trPr>
        <w:tc>
          <w:tcPr>
            <w:tcW w:w="278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2"/>
              </w:rPr>
              <w:t>BAE Systems’ Reconnaissance and Surveillance Systems, a position he held since 1998.</w:t>
            </w:r>
          </w:p>
        </w:tc>
        <w:tc>
          <w:tcPr>
            <w:tcW w:w="0" w:type="dxa"/>
            <w:vAlign w:val="bottom"/>
          </w:tcPr>
          <w:p>
            <w:pPr>
              <w:spacing w:after="0"/>
              <w:rPr>
                <w:sz w:val="1"/>
                <w:szCs w:val="1"/>
                <w:color w:val="auto"/>
              </w:rPr>
            </w:pPr>
          </w:p>
        </w:tc>
      </w:tr>
      <w:tr>
        <w:trPr>
          <w:trHeight w:val="216"/>
        </w:trPr>
        <w:tc>
          <w:tcPr>
            <w:tcW w:w="278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5"/>
              </w:rPr>
              <w:t>Prior to that, Mr. Kantor held various executive positions at Lockheed Martin, Loral and</w:t>
            </w:r>
          </w:p>
        </w:tc>
        <w:tc>
          <w:tcPr>
            <w:tcW w:w="0" w:type="dxa"/>
            <w:vAlign w:val="bottom"/>
          </w:tcPr>
          <w:p>
            <w:pPr>
              <w:spacing w:after="0"/>
              <w:rPr>
                <w:sz w:val="1"/>
                <w:szCs w:val="1"/>
                <w:color w:val="auto"/>
              </w:rPr>
            </w:pPr>
          </w:p>
        </w:tc>
      </w:tr>
      <w:tr>
        <w:trPr>
          <w:trHeight w:val="216"/>
        </w:trPr>
        <w:tc>
          <w:tcPr>
            <w:tcW w:w="278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United Technologies. Mr. Kantor holds a Bachelor of Science degree in electrical</w:t>
            </w:r>
          </w:p>
        </w:tc>
        <w:tc>
          <w:tcPr>
            <w:tcW w:w="0" w:type="dxa"/>
            <w:vAlign w:val="bottom"/>
          </w:tcPr>
          <w:p>
            <w:pPr>
              <w:spacing w:after="0"/>
              <w:rPr>
                <w:sz w:val="1"/>
                <w:szCs w:val="1"/>
                <w:color w:val="auto"/>
              </w:rPr>
            </w:pPr>
          </w:p>
        </w:tc>
      </w:tr>
      <w:tr>
        <w:trPr>
          <w:trHeight w:val="244"/>
        </w:trPr>
        <w:tc>
          <w:tcPr>
            <w:tcW w:w="2780" w:type="dxa"/>
            <w:vAlign w:val="bottom"/>
            <w:shd w:val="clear" w:color="auto" w:fill="CDDAE6"/>
          </w:tcPr>
          <w:p>
            <w:pPr>
              <w:spacing w:after="0"/>
              <w:rPr>
                <w:sz w:val="21"/>
                <w:szCs w:val="21"/>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engineering from the New York Institute of Technology.</w:t>
            </w:r>
          </w:p>
        </w:tc>
        <w:tc>
          <w:tcPr>
            <w:tcW w:w="0" w:type="dxa"/>
            <w:vAlign w:val="bottom"/>
          </w:tcPr>
          <w:p>
            <w:pPr>
              <w:spacing w:after="0"/>
              <w:rPr>
                <w:sz w:val="1"/>
                <w:szCs w:val="1"/>
                <w:color w:val="auto"/>
              </w:rPr>
            </w:pPr>
          </w:p>
        </w:tc>
      </w:tr>
      <w:tr>
        <w:trPr>
          <w:trHeight w:val="473"/>
        </w:trPr>
        <w:tc>
          <w:tcPr>
            <w:tcW w:w="2780" w:type="dxa"/>
            <w:vAlign w:val="bottom"/>
          </w:tcPr>
          <w:p>
            <w:pPr>
              <w:spacing w:after="0"/>
              <w:rPr>
                <w:sz w:val="24"/>
                <w:szCs w:val="24"/>
                <w:color w:val="auto"/>
              </w:rPr>
            </w:pPr>
          </w:p>
        </w:tc>
        <w:tc>
          <w:tcPr>
            <w:tcW w:w="6780" w:type="dxa"/>
            <w:vAlign w:val="bottom"/>
          </w:tcPr>
          <w:p>
            <w:pPr>
              <w:ind w:left="5040"/>
              <w:spacing w:after="0"/>
              <w:rPr>
                <w:sz w:val="20"/>
                <w:szCs w:val="20"/>
                <w:color w:val="auto"/>
              </w:rPr>
            </w:pPr>
            <w:r>
              <w:rPr>
                <w:rFonts w:ascii="Arial" w:cs="Arial" w:eastAsia="Arial" w:hAnsi="Arial"/>
                <w:sz w:val="14"/>
                <w:szCs w:val="14"/>
                <w:color w:val="005C7D"/>
                <w:w w:val="96"/>
              </w:rPr>
              <w:t xml:space="preserve">– </w:t>
            </w:r>
            <w:r>
              <w:rPr>
                <w:rFonts w:ascii="Arial" w:cs="Arial" w:eastAsia="Arial" w:hAnsi="Arial"/>
                <w:sz w:val="14"/>
                <w:szCs w:val="14"/>
                <w:i w:val="1"/>
                <w:iCs w:val="1"/>
                <w:color w:val="005C7D"/>
                <w:w w:val="96"/>
              </w:rPr>
              <w:t>2017 Proxy Statement</w:t>
            </w:r>
            <w:r>
              <w:rPr>
                <w:rFonts w:ascii="Arial" w:cs="Arial" w:eastAsia="Arial" w:hAnsi="Arial"/>
                <w:sz w:val="14"/>
                <w:szCs w:val="14"/>
                <w:color w:val="005C7D"/>
                <w:w w:val="96"/>
              </w:rPr>
              <w:t xml:space="preserve">  </w:t>
            </w:r>
            <w:r>
              <w:rPr>
                <w:rFonts w:ascii="Arial" w:cs="Arial" w:eastAsia="Arial" w:hAnsi="Arial"/>
                <w:sz w:val="18"/>
                <w:szCs w:val="18"/>
                <w:color w:val="005C7D"/>
                <w:w w:val="96"/>
              </w:rPr>
              <w:t>35</w:t>
            </w:r>
          </w:p>
        </w:tc>
        <w:tc>
          <w:tcPr>
            <w:tcW w:w="0" w:type="dxa"/>
            <w:vAlign w:val="bottom"/>
          </w:tcPr>
          <w:p>
            <w:pPr>
              <w:spacing w:after="0"/>
              <w:rPr>
                <w:sz w:val="1"/>
                <w:szCs w:val="1"/>
                <w:color w:val="auto"/>
              </w:rPr>
            </w:pPr>
          </w:p>
        </w:tc>
      </w:tr>
      <w:tr>
        <w:trPr>
          <w:trHeight w:val="554"/>
        </w:trPr>
        <w:tc>
          <w:tcPr>
            <w:tcW w:w="27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780" w:type="dxa"/>
            <w:vAlign w:val="bottom"/>
            <w:shd w:val="clear" w:color="auto" w:fill="000000"/>
          </w:tcPr>
          <w:p>
            <w:pPr>
              <w:spacing w:after="0"/>
              <w:rPr>
                <w:sz w:val="5"/>
                <w:szCs w:val="5"/>
                <w:color w:val="auto"/>
              </w:rPr>
            </w:pPr>
          </w:p>
        </w:tc>
        <w:tc>
          <w:tcPr>
            <w:tcW w:w="67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4742180</wp:posOffset>
            </wp:positionH>
            <wp:positionV relativeFrom="paragraph">
              <wp:posOffset>-530860</wp:posOffset>
            </wp:positionV>
            <wp:extent cx="163195"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005C7D"/>
        </w:rPr>
        <w:t>EXECUTIVES AND CERTAIN OTHER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149860</wp:posOffset>
            </wp:positionV>
            <wp:extent cx="6071870" cy="131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71870" cy="1311910"/>
                    </a:xfrm>
                    <a:prstGeom prst="rect">
                      <a:avLst/>
                    </a:prstGeom>
                    <a:noFill/>
                  </pic:spPr>
                </pic:pic>
              </a:graphicData>
            </a:graphic>
          </wp:anchor>
        </w:drawing>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5C7D"/>
        </w:rPr>
        <w:t>JOHN S. MEGA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80" w:type="dxa"/>
            <w:vAlign w:val="bottom"/>
            <w:tcBorders>
              <w:top w:val="single" w:sz="8" w:color="005C7D"/>
            </w:tcBorders>
            <w:gridSpan w:val="2"/>
          </w:tcPr>
          <w:p>
            <w:pPr>
              <w:ind w:left="160"/>
              <w:spacing w:after="0"/>
              <w:rPr>
                <w:sz w:val="20"/>
                <w:szCs w:val="20"/>
                <w:color w:val="auto"/>
              </w:rPr>
            </w:pPr>
            <w:r>
              <w:rPr>
                <w:rFonts w:ascii="Arial" w:cs="Arial" w:eastAsia="Arial" w:hAnsi="Arial"/>
                <w:sz w:val="18"/>
                <w:szCs w:val="18"/>
                <w:b w:val="1"/>
                <w:bCs w:val="1"/>
                <w:color w:val="005C7D"/>
              </w:rPr>
              <w:t>Senior Vice President and</w:t>
            </w:r>
          </w:p>
        </w:tc>
        <w:tc>
          <w:tcPr>
            <w:tcW w:w="6780" w:type="dxa"/>
            <w:vAlign w:val="bottom"/>
            <w:tcBorders>
              <w:top w:val="single" w:sz="8" w:color="005C7D"/>
            </w:tcBorders>
          </w:tcPr>
          <w:p>
            <w:pPr>
              <w:ind w:left="200"/>
              <w:spacing w:after="0"/>
              <w:rPr>
                <w:sz w:val="20"/>
                <w:szCs w:val="20"/>
                <w:color w:val="auto"/>
              </w:rPr>
            </w:pPr>
            <w:r>
              <w:rPr>
                <w:rFonts w:ascii="Arial" w:cs="Arial" w:eastAsia="Arial" w:hAnsi="Arial"/>
                <w:sz w:val="18"/>
                <w:szCs w:val="18"/>
                <w:b w:val="1"/>
                <w:bCs w:val="1"/>
                <w:color w:val="005C7D"/>
              </w:rPr>
              <w:t>Principal Occupation And Other Information</w:t>
            </w:r>
          </w:p>
        </w:tc>
        <w:tc>
          <w:tcPr>
            <w:tcW w:w="0" w:type="dxa"/>
            <w:vAlign w:val="bottom"/>
          </w:tcPr>
          <w:p>
            <w:pPr>
              <w:spacing w:after="0"/>
              <w:rPr>
                <w:sz w:val="1"/>
                <w:szCs w:val="1"/>
                <w:color w:val="auto"/>
              </w:rPr>
            </w:pPr>
          </w:p>
        </w:tc>
      </w:tr>
      <w:tr>
        <w:trPr>
          <w:trHeight w:val="221"/>
        </w:trPr>
        <w:tc>
          <w:tcPr>
            <w:tcW w:w="2780" w:type="dxa"/>
            <w:vAlign w:val="bottom"/>
            <w:gridSpan w:val="2"/>
          </w:tcPr>
          <w:p>
            <w:pPr>
              <w:ind w:left="160"/>
              <w:spacing w:after="0"/>
              <w:rPr>
                <w:sz w:val="20"/>
                <w:szCs w:val="20"/>
                <w:color w:val="auto"/>
              </w:rPr>
            </w:pPr>
            <w:r>
              <w:rPr>
                <w:rFonts w:ascii="Arial" w:cs="Arial" w:eastAsia="Arial" w:hAnsi="Arial"/>
                <w:sz w:val="18"/>
                <w:szCs w:val="18"/>
                <w:b w:val="1"/>
                <w:bCs w:val="1"/>
                <w:color w:val="005C7D"/>
              </w:rPr>
              <w:t>President of Communication</w:t>
            </w:r>
          </w:p>
        </w:tc>
        <w:tc>
          <w:tcPr>
            <w:tcW w:w="6780" w:type="dxa"/>
            <w:vAlign w:val="bottom"/>
          </w:tcPr>
          <w:p>
            <w:pPr>
              <w:ind w:left="200"/>
              <w:spacing w:after="0"/>
              <w:rPr>
                <w:sz w:val="20"/>
                <w:szCs w:val="20"/>
                <w:color w:val="auto"/>
              </w:rPr>
            </w:pPr>
            <w:r>
              <w:rPr>
                <w:rFonts w:ascii="Arial" w:cs="Arial" w:eastAsia="Arial" w:hAnsi="Arial"/>
                <w:sz w:val="18"/>
                <w:szCs w:val="18"/>
                <w:color w:val="auto"/>
                <w:w w:val="93"/>
              </w:rPr>
              <w:t>Mr. Mega has been our Senior Vice President and President of Communication Systems</w:t>
            </w:r>
          </w:p>
        </w:tc>
        <w:tc>
          <w:tcPr>
            <w:tcW w:w="0" w:type="dxa"/>
            <w:vAlign w:val="bottom"/>
          </w:tcPr>
          <w:p>
            <w:pPr>
              <w:spacing w:after="0"/>
              <w:rPr>
                <w:sz w:val="1"/>
                <w:szCs w:val="1"/>
                <w:color w:val="auto"/>
              </w:rPr>
            </w:pPr>
          </w:p>
        </w:tc>
      </w:tr>
      <w:tr>
        <w:trPr>
          <w:trHeight w:val="256"/>
        </w:trPr>
        <w:tc>
          <w:tcPr>
            <w:tcW w:w="2780" w:type="dxa"/>
            <w:vAlign w:val="bottom"/>
            <w:gridSpan w:val="2"/>
          </w:tcPr>
          <w:p>
            <w:pPr>
              <w:ind w:left="160"/>
              <w:spacing w:after="0"/>
              <w:rPr>
                <w:sz w:val="20"/>
                <w:szCs w:val="20"/>
                <w:color w:val="auto"/>
              </w:rPr>
            </w:pPr>
            <w:r>
              <w:rPr>
                <w:rFonts w:ascii="Arial" w:cs="Arial" w:eastAsia="Arial" w:hAnsi="Arial"/>
                <w:sz w:val="18"/>
                <w:szCs w:val="18"/>
                <w:b w:val="1"/>
                <w:bCs w:val="1"/>
                <w:color w:val="005C7D"/>
              </w:rPr>
              <w:t>Systems</w:t>
            </w:r>
          </w:p>
        </w:tc>
        <w:tc>
          <w:tcPr>
            <w:tcW w:w="6780" w:type="dxa"/>
            <w:vAlign w:val="bottom"/>
          </w:tcPr>
          <w:p>
            <w:pPr>
              <w:ind w:left="200"/>
              <w:spacing w:after="0"/>
              <w:rPr>
                <w:sz w:val="20"/>
                <w:szCs w:val="20"/>
                <w:color w:val="auto"/>
              </w:rPr>
            </w:pPr>
            <w:r>
              <w:rPr>
                <w:rFonts w:ascii="Arial" w:cs="Arial" w:eastAsia="Arial" w:hAnsi="Arial"/>
                <w:sz w:val="18"/>
                <w:szCs w:val="18"/>
                <w:color w:val="auto"/>
                <w:w w:val="92"/>
              </w:rPr>
              <w:t>since its formation in March 2014. Prior to that, Mr. Mega was President of the Microwave</w:t>
            </w:r>
          </w:p>
        </w:tc>
        <w:tc>
          <w:tcPr>
            <w:tcW w:w="0" w:type="dxa"/>
            <w:vAlign w:val="bottom"/>
          </w:tcPr>
          <w:p>
            <w:pPr>
              <w:spacing w:after="0"/>
              <w:rPr>
                <w:sz w:val="1"/>
                <w:szCs w:val="1"/>
                <w:color w:val="auto"/>
              </w:rPr>
            </w:pPr>
          </w:p>
        </w:tc>
      </w:tr>
      <w:tr>
        <w:trPr>
          <w:trHeight w:val="216"/>
        </w:trPr>
        <w:tc>
          <w:tcPr>
            <w:tcW w:w="680" w:type="dxa"/>
            <w:vAlign w:val="bottom"/>
            <w:vMerge w:val="restart"/>
          </w:tcPr>
          <w:p>
            <w:pPr>
              <w:ind w:left="160"/>
              <w:spacing w:after="0"/>
              <w:rPr>
                <w:sz w:val="20"/>
                <w:szCs w:val="20"/>
                <w:color w:val="auto"/>
              </w:rPr>
            </w:pPr>
            <w:r>
              <w:rPr>
                <w:rFonts w:ascii="Arial" w:cs="Arial" w:eastAsia="Arial" w:hAnsi="Arial"/>
                <w:sz w:val="18"/>
                <w:szCs w:val="18"/>
                <w:b w:val="1"/>
                <w:bCs w:val="1"/>
                <w:color w:val="005C7D"/>
                <w:w w:val="84"/>
              </w:rPr>
              <w:t>Age 64</w:t>
            </w:r>
          </w:p>
        </w:tc>
        <w:tc>
          <w:tcPr>
            <w:tcW w:w="210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Group since he joined L3 in 1997. Having started his career at Raytheon and held</w:t>
            </w:r>
          </w:p>
        </w:tc>
        <w:tc>
          <w:tcPr>
            <w:tcW w:w="0" w:type="dxa"/>
            <w:vAlign w:val="bottom"/>
          </w:tcPr>
          <w:p>
            <w:pPr>
              <w:spacing w:after="0"/>
              <w:rPr>
                <w:sz w:val="1"/>
                <w:szCs w:val="1"/>
                <w:color w:val="auto"/>
              </w:rPr>
            </w:pPr>
          </w:p>
        </w:tc>
      </w:tr>
      <w:tr>
        <w:trPr>
          <w:trHeight w:val="216"/>
        </w:trPr>
        <w:tc>
          <w:tcPr>
            <w:tcW w:w="68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4"/>
              </w:rPr>
              <w:t>executive positions at Loral, Lockheed Martin and, since its inception, L3 Technologies,</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9"/>
              </w:rPr>
              <w:t>Inc., Mr. Mega has worked his entire career in the defense electronics industry. He</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1"/>
              </w:rPr>
              <w:t>received his Bachelor of Science degree, magna cum laude, from Boston College and is a</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member of American Mensa.</w:t>
            </w:r>
          </w:p>
        </w:tc>
        <w:tc>
          <w:tcPr>
            <w:tcW w:w="0" w:type="dxa"/>
            <w:vAlign w:val="bottom"/>
          </w:tcPr>
          <w:p>
            <w:pPr>
              <w:spacing w:after="0"/>
              <w:rPr>
                <w:sz w:val="1"/>
                <w:szCs w:val="1"/>
                <w:color w:val="auto"/>
              </w:rPr>
            </w:pPr>
          </w:p>
        </w:tc>
      </w:tr>
      <w:tr>
        <w:trPr>
          <w:trHeight w:val="257"/>
        </w:trPr>
        <w:tc>
          <w:tcPr>
            <w:tcW w:w="2780" w:type="dxa"/>
            <w:vAlign w:val="bottom"/>
            <w:tcBorders>
              <w:bottom w:val="single" w:sz="8" w:color="005C7D"/>
            </w:tcBorders>
            <w:gridSpan w:val="2"/>
          </w:tcPr>
          <w:p>
            <w:pPr>
              <w:spacing w:after="0"/>
              <w:rPr>
                <w:sz w:val="22"/>
                <w:szCs w:val="22"/>
                <w:color w:val="auto"/>
              </w:rPr>
            </w:pPr>
          </w:p>
        </w:tc>
        <w:tc>
          <w:tcPr>
            <w:tcW w:w="6780" w:type="dxa"/>
            <w:vAlign w:val="bottom"/>
            <w:tcBorders>
              <w:bottom w:val="single" w:sz="8" w:color="005C7D"/>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780" w:type="dxa"/>
            <w:vAlign w:val="bottom"/>
            <w:tcBorders>
              <w:bottom w:val="single" w:sz="8" w:color="005C7D"/>
            </w:tcBorders>
            <w:gridSpan w:val="2"/>
            <w:shd w:val="clear" w:color="auto" w:fill="CDDAE6"/>
          </w:tcPr>
          <w:p>
            <w:pPr>
              <w:ind w:left="160"/>
              <w:spacing w:after="0"/>
              <w:rPr>
                <w:sz w:val="20"/>
                <w:szCs w:val="20"/>
                <w:color w:val="auto"/>
              </w:rPr>
            </w:pPr>
            <w:r>
              <w:rPr>
                <w:rFonts w:ascii="Arial" w:cs="Arial" w:eastAsia="Arial" w:hAnsi="Arial"/>
                <w:sz w:val="18"/>
                <w:szCs w:val="18"/>
                <w:b w:val="1"/>
                <w:bCs w:val="1"/>
                <w:color w:val="005C7D"/>
              </w:rPr>
              <w:t>JEFF MILLER</w:t>
            </w:r>
          </w:p>
        </w:tc>
        <w:tc>
          <w:tcPr>
            <w:tcW w:w="6780" w:type="dxa"/>
            <w:vAlign w:val="bottom"/>
            <w:tcBorders>
              <w:bottom w:val="single" w:sz="8" w:color="005C7D"/>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780" w:type="dxa"/>
            <w:vAlign w:val="bottom"/>
            <w:gridSpan w:val="2"/>
            <w:shd w:val="clear" w:color="auto" w:fill="CDDAE6"/>
          </w:tcPr>
          <w:p>
            <w:pPr>
              <w:ind w:left="160"/>
              <w:spacing w:after="0"/>
              <w:rPr>
                <w:sz w:val="20"/>
                <w:szCs w:val="20"/>
                <w:color w:val="auto"/>
              </w:rPr>
            </w:pPr>
            <w:r>
              <w:rPr>
                <w:rFonts w:ascii="Arial" w:cs="Arial" w:eastAsia="Arial" w:hAnsi="Arial"/>
                <w:sz w:val="18"/>
                <w:szCs w:val="18"/>
                <w:b w:val="1"/>
                <w:bCs w:val="1"/>
                <w:color w:val="005C7D"/>
              </w:rPr>
              <w:t>Senior Vice President and</w:t>
            </w:r>
          </w:p>
        </w:tc>
        <w:tc>
          <w:tcPr>
            <w:tcW w:w="6780" w:type="dxa"/>
            <w:vAlign w:val="bottom"/>
          </w:tcPr>
          <w:p>
            <w:pPr>
              <w:ind w:left="200"/>
              <w:spacing w:after="0"/>
              <w:rPr>
                <w:sz w:val="20"/>
                <w:szCs w:val="20"/>
                <w:color w:val="auto"/>
              </w:rPr>
            </w:pPr>
            <w:r>
              <w:rPr>
                <w:rFonts w:ascii="Arial" w:cs="Arial" w:eastAsia="Arial" w:hAnsi="Arial"/>
                <w:sz w:val="18"/>
                <w:szCs w:val="18"/>
                <w:b w:val="1"/>
                <w:bCs w:val="1"/>
                <w:color w:val="005C7D"/>
              </w:rPr>
              <w:t>Principal Occupation And Other Information</w:t>
            </w:r>
          </w:p>
        </w:tc>
        <w:tc>
          <w:tcPr>
            <w:tcW w:w="0" w:type="dxa"/>
            <w:vAlign w:val="bottom"/>
          </w:tcPr>
          <w:p>
            <w:pPr>
              <w:spacing w:after="0"/>
              <w:rPr>
                <w:sz w:val="1"/>
                <w:szCs w:val="1"/>
                <w:color w:val="auto"/>
              </w:rPr>
            </w:pPr>
          </w:p>
        </w:tc>
      </w:tr>
      <w:tr>
        <w:trPr>
          <w:trHeight w:val="221"/>
        </w:trPr>
        <w:tc>
          <w:tcPr>
            <w:tcW w:w="2780" w:type="dxa"/>
            <w:vAlign w:val="bottom"/>
            <w:gridSpan w:val="2"/>
            <w:shd w:val="clear" w:color="auto" w:fill="CDDAE6"/>
          </w:tcPr>
          <w:p>
            <w:pPr>
              <w:ind w:left="160"/>
              <w:spacing w:after="0"/>
              <w:rPr>
                <w:sz w:val="20"/>
                <w:szCs w:val="20"/>
                <w:color w:val="auto"/>
              </w:rPr>
            </w:pPr>
            <w:r>
              <w:rPr>
                <w:rFonts w:ascii="Arial" w:cs="Arial" w:eastAsia="Arial" w:hAnsi="Arial"/>
                <w:sz w:val="18"/>
                <w:szCs w:val="18"/>
                <w:b w:val="1"/>
                <w:bCs w:val="1"/>
                <w:color w:val="005C7D"/>
              </w:rPr>
              <w:t>President of Sensor</w:t>
            </w:r>
          </w:p>
        </w:tc>
        <w:tc>
          <w:tcPr>
            <w:tcW w:w="6780" w:type="dxa"/>
            <w:vAlign w:val="bottom"/>
          </w:tcPr>
          <w:p>
            <w:pPr>
              <w:ind w:left="200"/>
              <w:spacing w:after="0"/>
              <w:rPr>
                <w:sz w:val="20"/>
                <w:szCs w:val="20"/>
                <w:color w:val="auto"/>
              </w:rPr>
            </w:pPr>
            <w:r>
              <w:rPr>
                <w:rFonts w:ascii="Arial" w:cs="Arial" w:eastAsia="Arial" w:hAnsi="Arial"/>
                <w:sz w:val="18"/>
                <w:szCs w:val="18"/>
                <w:color w:val="auto"/>
                <w:w w:val="93"/>
              </w:rPr>
              <w:t>Mr. Miller became our Senior Vice President and President of Sensor Systems in March</w:t>
            </w:r>
          </w:p>
        </w:tc>
        <w:tc>
          <w:tcPr>
            <w:tcW w:w="0" w:type="dxa"/>
            <w:vAlign w:val="bottom"/>
          </w:tcPr>
          <w:p>
            <w:pPr>
              <w:spacing w:after="0"/>
              <w:rPr>
                <w:sz w:val="1"/>
                <w:szCs w:val="1"/>
                <w:color w:val="auto"/>
              </w:rPr>
            </w:pPr>
          </w:p>
        </w:tc>
      </w:tr>
      <w:tr>
        <w:trPr>
          <w:trHeight w:val="256"/>
        </w:trPr>
        <w:tc>
          <w:tcPr>
            <w:tcW w:w="2780" w:type="dxa"/>
            <w:vAlign w:val="bottom"/>
            <w:gridSpan w:val="2"/>
            <w:shd w:val="clear" w:color="auto" w:fill="CDDAE6"/>
          </w:tcPr>
          <w:p>
            <w:pPr>
              <w:ind w:left="160"/>
              <w:spacing w:after="0"/>
              <w:rPr>
                <w:sz w:val="20"/>
                <w:szCs w:val="20"/>
                <w:color w:val="auto"/>
              </w:rPr>
            </w:pPr>
            <w:r>
              <w:rPr>
                <w:rFonts w:ascii="Arial" w:cs="Arial" w:eastAsia="Arial" w:hAnsi="Arial"/>
                <w:sz w:val="18"/>
                <w:szCs w:val="18"/>
                <w:b w:val="1"/>
                <w:bCs w:val="1"/>
                <w:color w:val="005C7D"/>
              </w:rPr>
              <w:t>Systems</w:t>
            </w:r>
          </w:p>
        </w:tc>
        <w:tc>
          <w:tcPr>
            <w:tcW w:w="6780" w:type="dxa"/>
            <w:vAlign w:val="bottom"/>
          </w:tcPr>
          <w:p>
            <w:pPr>
              <w:ind w:left="200"/>
              <w:spacing w:after="0"/>
              <w:rPr>
                <w:sz w:val="20"/>
                <w:szCs w:val="20"/>
                <w:color w:val="auto"/>
              </w:rPr>
            </w:pPr>
            <w:r>
              <w:rPr>
                <w:rFonts w:ascii="Arial" w:cs="Arial" w:eastAsia="Arial" w:hAnsi="Arial"/>
                <w:sz w:val="18"/>
                <w:szCs w:val="18"/>
                <w:color w:val="auto"/>
                <w:w w:val="91"/>
              </w:rPr>
              <w:t>2017. Mr. Miller joined L3 in April 2014 as Sector President of Integrated Sensor Systems.</w:t>
            </w:r>
          </w:p>
        </w:tc>
        <w:tc>
          <w:tcPr>
            <w:tcW w:w="0" w:type="dxa"/>
            <w:vAlign w:val="bottom"/>
          </w:tcPr>
          <w:p>
            <w:pPr>
              <w:spacing w:after="0"/>
              <w:rPr>
                <w:sz w:val="1"/>
                <w:szCs w:val="1"/>
                <w:color w:val="auto"/>
              </w:rPr>
            </w:pPr>
          </w:p>
        </w:tc>
      </w:tr>
      <w:tr>
        <w:trPr>
          <w:trHeight w:val="216"/>
        </w:trPr>
        <w:tc>
          <w:tcPr>
            <w:tcW w:w="680" w:type="dxa"/>
            <w:vAlign w:val="bottom"/>
            <w:vMerge w:val="restart"/>
            <w:shd w:val="clear" w:color="auto" w:fill="CDDAE6"/>
          </w:tcPr>
          <w:p>
            <w:pPr>
              <w:ind w:left="160"/>
              <w:spacing w:after="0"/>
              <w:rPr>
                <w:sz w:val="20"/>
                <w:szCs w:val="20"/>
                <w:color w:val="auto"/>
              </w:rPr>
            </w:pPr>
            <w:r>
              <w:rPr>
                <w:rFonts w:ascii="Arial" w:cs="Arial" w:eastAsia="Arial" w:hAnsi="Arial"/>
                <w:sz w:val="18"/>
                <w:szCs w:val="18"/>
                <w:b w:val="1"/>
                <w:bCs w:val="1"/>
                <w:color w:val="005C7D"/>
                <w:w w:val="84"/>
              </w:rPr>
              <w:t>Age 53</w:t>
            </w: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Prior to joining L3, Mr. Miller held executive positions with Raytheon. Earlier in his</w:t>
            </w:r>
          </w:p>
        </w:tc>
        <w:tc>
          <w:tcPr>
            <w:tcW w:w="0" w:type="dxa"/>
            <w:vAlign w:val="bottom"/>
          </w:tcPr>
          <w:p>
            <w:pPr>
              <w:spacing w:after="0"/>
              <w:rPr>
                <w:sz w:val="1"/>
                <w:szCs w:val="1"/>
                <w:color w:val="auto"/>
              </w:rPr>
            </w:pPr>
          </w:p>
        </w:tc>
      </w:tr>
      <w:tr>
        <w:trPr>
          <w:trHeight w:val="216"/>
        </w:trPr>
        <w:tc>
          <w:tcPr>
            <w:tcW w:w="680" w:type="dxa"/>
            <w:vAlign w:val="bottom"/>
            <w:vMerge w:val="continue"/>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7"/>
              </w:rPr>
              <w:t>career, he was an F-16 product line manager for identification and electronic warfare</w:t>
            </w:r>
          </w:p>
        </w:tc>
        <w:tc>
          <w:tcPr>
            <w:tcW w:w="0" w:type="dxa"/>
            <w:vAlign w:val="bottom"/>
          </w:tcPr>
          <w:p>
            <w:pPr>
              <w:spacing w:after="0"/>
              <w:rPr>
                <w:sz w:val="1"/>
                <w:szCs w:val="1"/>
                <w:color w:val="auto"/>
              </w:rPr>
            </w:pPr>
          </w:p>
        </w:tc>
      </w:tr>
      <w:tr>
        <w:trPr>
          <w:trHeight w:val="216"/>
        </w:trPr>
        <w:tc>
          <w:tcPr>
            <w:tcW w:w="680" w:type="dxa"/>
            <w:vAlign w:val="bottom"/>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3"/>
              </w:rPr>
              <w:t>programs at Teledyne Electronics. Mr. Miller has over 30 years of industry experience in</w:t>
            </w:r>
          </w:p>
        </w:tc>
        <w:tc>
          <w:tcPr>
            <w:tcW w:w="0" w:type="dxa"/>
            <w:vAlign w:val="bottom"/>
          </w:tcPr>
          <w:p>
            <w:pPr>
              <w:spacing w:after="0"/>
              <w:rPr>
                <w:sz w:val="1"/>
                <w:szCs w:val="1"/>
                <w:color w:val="auto"/>
              </w:rPr>
            </w:pPr>
          </w:p>
        </w:tc>
      </w:tr>
      <w:tr>
        <w:trPr>
          <w:trHeight w:val="216"/>
        </w:trPr>
        <w:tc>
          <w:tcPr>
            <w:tcW w:w="680" w:type="dxa"/>
            <w:vAlign w:val="bottom"/>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4"/>
              </w:rPr>
              <w:t>U.S. and international sensors and fire control systems, battlefield information systems,</w:t>
            </w:r>
          </w:p>
        </w:tc>
        <w:tc>
          <w:tcPr>
            <w:tcW w:w="0" w:type="dxa"/>
            <w:vAlign w:val="bottom"/>
          </w:tcPr>
          <w:p>
            <w:pPr>
              <w:spacing w:after="0"/>
              <w:rPr>
                <w:sz w:val="1"/>
                <w:szCs w:val="1"/>
                <w:color w:val="auto"/>
              </w:rPr>
            </w:pPr>
          </w:p>
        </w:tc>
      </w:tr>
      <w:tr>
        <w:trPr>
          <w:trHeight w:val="216"/>
        </w:trPr>
        <w:tc>
          <w:tcPr>
            <w:tcW w:w="680" w:type="dxa"/>
            <w:vAlign w:val="bottom"/>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3"/>
              </w:rPr>
              <w:t>networked communication, command and control, electronic warfare, missiles, and force</w:t>
            </w:r>
          </w:p>
        </w:tc>
        <w:tc>
          <w:tcPr>
            <w:tcW w:w="0" w:type="dxa"/>
            <w:vAlign w:val="bottom"/>
          </w:tcPr>
          <w:p>
            <w:pPr>
              <w:spacing w:after="0"/>
              <w:rPr>
                <w:sz w:val="1"/>
                <w:szCs w:val="1"/>
                <w:color w:val="auto"/>
              </w:rPr>
            </w:pPr>
          </w:p>
        </w:tc>
      </w:tr>
      <w:tr>
        <w:trPr>
          <w:trHeight w:val="216"/>
        </w:trPr>
        <w:tc>
          <w:tcPr>
            <w:tcW w:w="680" w:type="dxa"/>
            <w:vAlign w:val="bottom"/>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7"/>
              </w:rPr>
              <w:t>protection systems. Mr. Miller studied electronic engineering at California Polytechnic</w:t>
            </w:r>
          </w:p>
        </w:tc>
        <w:tc>
          <w:tcPr>
            <w:tcW w:w="0" w:type="dxa"/>
            <w:vAlign w:val="bottom"/>
          </w:tcPr>
          <w:p>
            <w:pPr>
              <w:spacing w:after="0"/>
              <w:rPr>
                <w:sz w:val="1"/>
                <w:szCs w:val="1"/>
                <w:color w:val="auto"/>
              </w:rPr>
            </w:pPr>
          </w:p>
        </w:tc>
      </w:tr>
      <w:tr>
        <w:trPr>
          <w:trHeight w:val="216"/>
        </w:trPr>
        <w:tc>
          <w:tcPr>
            <w:tcW w:w="680" w:type="dxa"/>
            <w:vAlign w:val="bottom"/>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4"/>
              </w:rPr>
              <w:t>State University. In addition, he has studied electronic engineering at various university</w:t>
            </w:r>
          </w:p>
        </w:tc>
        <w:tc>
          <w:tcPr>
            <w:tcW w:w="0" w:type="dxa"/>
            <w:vAlign w:val="bottom"/>
          </w:tcPr>
          <w:p>
            <w:pPr>
              <w:spacing w:after="0"/>
              <w:rPr>
                <w:sz w:val="1"/>
                <w:szCs w:val="1"/>
                <w:color w:val="auto"/>
              </w:rPr>
            </w:pPr>
          </w:p>
        </w:tc>
      </w:tr>
      <w:tr>
        <w:trPr>
          <w:trHeight w:val="216"/>
        </w:trPr>
        <w:tc>
          <w:tcPr>
            <w:tcW w:w="680" w:type="dxa"/>
            <w:vAlign w:val="bottom"/>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0"/>
              </w:rPr>
              <w:t>programs and participated in executive management development and business leadership</w:t>
            </w:r>
          </w:p>
        </w:tc>
        <w:tc>
          <w:tcPr>
            <w:tcW w:w="0" w:type="dxa"/>
            <w:vAlign w:val="bottom"/>
          </w:tcPr>
          <w:p>
            <w:pPr>
              <w:spacing w:after="0"/>
              <w:rPr>
                <w:sz w:val="1"/>
                <w:szCs w:val="1"/>
                <w:color w:val="auto"/>
              </w:rPr>
            </w:pPr>
          </w:p>
        </w:tc>
      </w:tr>
      <w:tr>
        <w:trPr>
          <w:trHeight w:val="244"/>
        </w:trPr>
        <w:tc>
          <w:tcPr>
            <w:tcW w:w="680" w:type="dxa"/>
            <w:vAlign w:val="bottom"/>
            <w:shd w:val="clear" w:color="auto" w:fill="CDDAE6"/>
          </w:tcPr>
          <w:p>
            <w:pPr>
              <w:spacing w:after="0"/>
              <w:rPr>
                <w:sz w:val="21"/>
                <w:szCs w:val="21"/>
                <w:color w:val="auto"/>
              </w:rPr>
            </w:pPr>
          </w:p>
        </w:tc>
        <w:tc>
          <w:tcPr>
            <w:tcW w:w="2100" w:type="dxa"/>
            <w:vAlign w:val="bottom"/>
            <w:shd w:val="clear" w:color="auto" w:fill="CDDAE6"/>
          </w:tcPr>
          <w:p>
            <w:pPr>
              <w:spacing w:after="0"/>
              <w:rPr>
                <w:sz w:val="21"/>
                <w:szCs w:val="21"/>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programs.</w:t>
            </w:r>
          </w:p>
        </w:tc>
        <w:tc>
          <w:tcPr>
            <w:tcW w:w="0" w:type="dxa"/>
            <w:vAlign w:val="bottom"/>
          </w:tcPr>
          <w:p>
            <w:pPr>
              <w:spacing w:after="0"/>
              <w:rPr>
                <w:sz w:val="1"/>
                <w:szCs w:val="1"/>
                <w:color w:val="auto"/>
              </w:rPr>
            </w:pPr>
          </w:p>
        </w:tc>
      </w:tr>
      <w:tr>
        <w:trPr>
          <w:trHeight w:val="243"/>
        </w:trPr>
        <w:tc>
          <w:tcPr>
            <w:tcW w:w="2780" w:type="dxa"/>
            <w:vAlign w:val="bottom"/>
            <w:tcBorders>
              <w:bottom w:val="single" w:sz="8" w:color="005C7D"/>
            </w:tcBorders>
            <w:gridSpan w:val="2"/>
          </w:tcPr>
          <w:p>
            <w:pPr>
              <w:spacing w:after="0"/>
              <w:rPr>
                <w:sz w:val="21"/>
                <w:szCs w:val="21"/>
                <w:color w:val="auto"/>
              </w:rPr>
            </w:pPr>
          </w:p>
        </w:tc>
        <w:tc>
          <w:tcPr>
            <w:tcW w:w="6780" w:type="dxa"/>
            <w:vAlign w:val="bottom"/>
            <w:tcBorders>
              <w:bottom w:val="single" w:sz="8" w:color="005C7D"/>
            </w:tcBorders>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780" w:type="dxa"/>
            <w:vAlign w:val="bottom"/>
            <w:tcBorders>
              <w:bottom w:val="single" w:sz="8" w:color="005C7D"/>
            </w:tcBorders>
            <w:gridSpan w:val="2"/>
            <w:shd w:val="clear" w:color="auto" w:fill="CDDAE6"/>
          </w:tcPr>
          <w:p>
            <w:pPr>
              <w:ind w:left="160"/>
              <w:spacing w:after="0"/>
              <w:rPr>
                <w:sz w:val="20"/>
                <w:szCs w:val="20"/>
                <w:color w:val="auto"/>
              </w:rPr>
            </w:pPr>
            <w:r>
              <w:rPr>
                <w:rFonts w:ascii="Arial" w:cs="Arial" w:eastAsia="Arial" w:hAnsi="Arial"/>
                <w:sz w:val="18"/>
                <w:szCs w:val="18"/>
                <w:b w:val="1"/>
                <w:bCs w:val="1"/>
                <w:color w:val="005C7D"/>
              </w:rPr>
              <w:t>MARK VON SCHWARZ</w:t>
            </w:r>
          </w:p>
        </w:tc>
        <w:tc>
          <w:tcPr>
            <w:tcW w:w="6780" w:type="dxa"/>
            <w:vAlign w:val="bottom"/>
            <w:tcBorders>
              <w:bottom w:val="single" w:sz="8" w:color="005C7D"/>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780" w:type="dxa"/>
            <w:vAlign w:val="bottom"/>
            <w:gridSpan w:val="2"/>
            <w:shd w:val="clear" w:color="auto" w:fill="CDDAE6"/>
          </w:tcPr>
          <w:p>
            <w:pPr>
              <w:ind w:left="160"/>
              <w:spacing w:after="0"/>
              <w:rPr>
                <w:sz w:val="20"/>
                <w:szCs w:val="20"/>
                <w:color w:val="auto"/>
              </w:rPr>
            </w:pPr>
            <w:r>
              <w:rPr>
                <w:rFonts w:ascii="Arial" w:cs="Arial" w:eastAsia="Arial" w:hAnsi="Arial"/>
                <w:sz w:val="18"/>
                <w:szCs w:val="18"/>
                <w:b w:val="1"/>
                <w:bCs w:val="1"/>
                <w:color w:val="005C7D"/>
              </w:rPr>
              <w:t>Senior Vice President and</w:t>
            </w:r>
          </w:p>
        </w:tc>
        <w:tc>
          <w:tcPr>
            <w:tcW w:w="6780" w:type="dxa"/>
            <w:vAlign w:val="bottom"/>
          </w:tcPr>
          <w:p>
            <w:pPr>
              <w:ind w:left="200"/>
              <w:spacing w:after="0"/>
              <w:rPr>
                <w:sz w:val="20"/>
                <w:szCs w:val="20"/>
                <w:color w:val="auto"/>
              </w:rPr>
            </w:pPr>
            <w:r>
              <w:rPr>
                <w:rFonts w:ascii="Arial" w:cs="Arial" w:eastAsia="Arial" w:hAnsi="Arial"/>
                <w:sz w:val="18"/>
                <w:szCs w:val="18"/>
                <w:b w:val="1"/>
                <w:bCs w:val="1"/>
                <w:color w:val="005C7D"/>
              </w:rPr>
              <w:t>Principal Occupation And Other Information</w:t>
            </w:r>
          </w:p>
        </w:tc>
        <w:tc>
          <w:tcPr>
            <w:tcW w:w="0" w:type="dxa"/>
            <w:vAlign w:val="bottom"/>
          </w:tcPr>
          <w:p>
            <w:pPr>
              <w:spacing w:after="0"/>
              <w:rPr>
                <w:sz w:val="1"/>
                <w:szCs w:val="1"/>
                <w:color w:val="auto"/>
              </w:rPr>
            </w:pPr>
          </w:p>
        </w:tc>
      </w:tr>
      <w:tr>
        <w:trPr>
          <w:trHeight w:val="221"/>
        </w:trPr>
        <w:tc>
          <w:tcPr>
            <w:tcW w:w="2780" w:type="dxa"/>
            <w:vAlign w:val="bottom"/>
            <w:gridSpan w:val="2"/>
            <w:shd w:val="clear" w:color="auto" w:fill="CDDAE6"/>
          </w:tcPr>
          <w:p>
            <w:pPr>
              <w:ind w:left="160"/>
              <w:spacing w:after="0"/>
              <w:rPr>
                <w:sz w:val="20"/>
                <w:szCs w:val="20"/>
                <w:color w:val="auto"/>
              </w:rPr>
            </w:pPr>
            <w:r>
              <w:rPr>
                <w:rFonts w:ascii="Arial" w:cs="Arial" w:eastAsia="Arial" w:hAnsi="Arial"/>
                <w:sz w:val="18"/>
                <w:szCs w:val="18"/>
                <w:b w:val="1"/>
                <w:bCs w:val="1"/>
                <w:color w:val="005C7D"/>
              </w:rPr>
              <w:t>President of Aerospace</w:t>
            </w:r>
          </w:p>
        </w:tc>
        <w:tc>
          <w:tcPr>
            <w:tcW w:w="6780" w:type="dxa"/>
            <w:vAlign w:val="bottom"/>
          </w:tcPr>
          <w:p>
            <w:pPr>
              <w:ind w:left="200"/>
              <w:spacing w:after="0"/>
              <w:rPr>
                <w:sz w:val="20"/>
                <w:szCs w:val="20"/>
                <w:color w:val="auto"/>
              </w:rPr>
            </w:pPr>
            <w:r>
              <w:rPr>
                <w:rFonts w:ascii="Arial" w:cs="Arial" w:eastAsia="Arial" w:hAnsi="Arial"/>
                <w:sz w:val="18"/>
                <w:szCs w:val="18"/>
                <w:color w:val="auto"/>
                <w:w w:val="95"/>
              </w:rPr>
              <w:t>Mr. Von Schwarz was appointed to Senior Vice President and President of Aerospace</w:t>
            </w:r>
          </w:p>
        </w:tc>
        <w:tc>
          <w:tcPr>
            <w:tcW w:w="0" w:type="dxa"/>
            <w:vAlign w:val="bottom"/>
          </w:tcPr>
          <w:p>
            <w:pPr>
              <w:spacing w:after="0"/>
              <w:rPr>
                <w:sz w:val="1"/>
                <w:szCs w:val="1"/>
                <w:color w:val="auto"/>
              </w:rPr>
            </w:pPr>
          </w:p>
        </w:tc>
      </w:tr>
      <w:tr>
        <w:trPr>
          <w:trHeight w:val="256"/>
        </w:trPr>
        <w:tc>
          <w:tcPr>
            <w:tcW w:w="2780" w:type="dxa"/>
            <w:vAlign w:val="bottom"/>
            <w:gridSpan w:val="2"/>
            <w:shd w:val="clear" w:color="auto" w:fill="CDDAE6"/>
          </w:tcPr>
          <w:p>
            <w:pPr>
              <w:ind w:left="160"/>
              <w:spacing w:after="0"/>
              <w:rPr>
                <w:sz w:val="20"/>
                <w:szCs w:val="20"/>
                <w:color w:val="auto"/>
              </w:rPr>
            </w:pPr>
            <w:r>
              <w:rPr>
                <w:rFonts w:ascii="Arial" w:cs="Arial" w:eastAsia="Arial" w:hAnsi="Arial"/>
                <w:sz w:val="18"/>
                <w:szCs w:val="18"/>
                <w:b w:val="1"/>
                <w:bCs w:val="1"/>
                <w:color w:val="005C7D"/>
              </w:rPr>
              <w:t>Systems</w:t>
            </w:r>
          </w:p>
        </w:tc>
        <w:tc>
          <w:tcPr>
            <w:tcW w:w="6780" w:type="dxa"/>
            <w:vAlign w:val="bottom"/>
          </w:tcPr>
          <w:p>
            <w:pPr>
              <w:ind w:left="200"/>
              <w:spacing w:after="0"/>
              <w:rPr>
                <w:sz w:val="20"/>
                <w:szCs w:val="20"/>
                <w:color w:val="auto"/>
              </w:rPr>
            </w:pPr>
            <w:r>
              <w:rPr>
                <w:rFonts w:ascii="Arial" w:cs="Arial" w:eastAsia="Arial" w:hAnsi="Arial"/>
                <w:sz w:val="18"/>
                <w:szCs w:val="18"/>
                <w:color w:val="auto"/>
              </w:rPr>
              <w:t>Systems in June 2015. Prior to that, he was Sector President for Intelligence,</w:t>
            </w:r>
          </w:p>
        </w:tc>
        <w:tc>
          <w:tcPr>
            <w:tcW w:w="0" w:type="dxa"/>
            <w:vAlign w:val="bottom"/>
          </w:tcPr>
          <w:p>
            <w:pPr>
              <w:spacing w:after="0"/>
              <w:rPr>
                <w:sz w:val="1"/>
                <w:szCs w:val="1"/>
                <w:color w:val="auto"/>
              </w:rPr>
            </w:pPr>
          </w:p>
        </w:tc>
      </w:tr>
      <w:tr>
        <w:trPr>
          <w:trHeight w:val="216"/>
        </w:trPr>
        <w:tc>
          <w:tcPr>
            <w:tcW w:w="680" w:type="dxa"/>
            <w:vAlign w:val="bottom"/>
            <w:vMerge w:val="restart"/>
            <w:shd w:val="clear" w:color="auto" w:fill="CDDAE6"/>
          </w:tcPr>
          <w:p>
            <w:pPr>
              <w:ind w:left="160"/>
              <w:spacing w:after="0"/>
              <w:rPr>
                <w:sz w:val="20"/>
                <w:szCs w:val="20"/>
                <w:color w:val="auto"/>
              </w:rPr>
            </w:pPr>
            <w:r>
              <w:rPr>
                <w:rFonts w:ascii="Arial" w:cs="Arial" w:eastAsia="Arial" w:hAnsi="Arial"/>
                <w:sz w:val="18"/>
                <w:szCs w:val="18"/>
                <w:b w:val="1"/>
                <w:bCs w:val="1"/>
                <w:color w:val="005C7D"/>
                <w:w w:val="84"/>
              </w:rPr>
              <w:t>Age 57</w:t>
            </w: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0"/>
              </w:rPr>
              <w:t>Reconnaissance and Surveillance (ISR) and Aircraft Systems for Aerospace Systems, from</w:t>
            </w:r>
          </w:p>
        </w:tc>
        <w:tc>
          <w:tcPr>
            <w:tcW w:w="0" w:type="dxa"/>
            <w:vAlign w:val="bottom"/>
          </w:tcPr>
          <w:p>
            <w:pPr>
              <w:spacing w:after="0"/>
              <w:rPr>
                <w:sz w:val="1"/>
                <w:szCs w:val="1"/>
                <w:color w:val="auto"/>
              </w:rPr>
            </w:pPr>
          </w:p>
        </w:tc>
      </w:tr>
      <w:tr>
        <w:trPr>
          <w:trHeight w:val="216"/>
        </w:trPr>
        <w:tc>
          <w:tcPr>
            <w:tcW w:w="680" w:type="dxa"/>
            <w:vAlign w:val="bottom"/>
            <w:vMerge w:val="continue"/>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1"/>
              </w:rPr>
              <w:t>2012 to 2015, and President of L-3 Mission Integration, from 2008 to 2015. Before serving</w:t>
            </w:r>
          </w:p>
        </w:tc>
        <w:tc>
          <w:tcPr>
            <w:tcW w:w="0" w:type="dxa"/>
            <w:vAlign w:val="bottom"/>
          </w:tcPr>
          <w:p>
            <w:pPr>
              <w:spacing w:after="0"/>
              <w:rPr>
                <w:sz w:val="1"/>
                <w:szCs w:val="1"/>
                <w:color w:val="auto"/>
              </w:rPr>
            </w:pPr>
          </w:p>
        </w:tc>
      </w:tr>
      <w:tr>
        <w:trPr>
          <w:trHeight w:val="216"/>
        </w:trPr>
        <w:tc>
          <w:tcPr>
            <w:tcW w:w="680" w:type="dxa"/>
            <w:vAlign w:val="bottom"/>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8"/>
              </w:rPr>
              <w:t>as President of L-3 Mission Integration, Mr. Von Schwarz served as President of L-3</w:t>
            </w:r>
          </w:p>
        </w:tc>
        <w:tc>
          <w:tcPr>
            <w:tcW w:w="0" w:type="dxa"/>
            <w:vAlign w:val="bottom"/>
          </w:tcPr>
          <w:p>
            <w:pPr>
              <w:spacing w:after="0"/>
              <w:rPr>
                <w:sz w:val="1"/>
                <w:szCs w:val="1"/>
                <w:color w:val="auto"/>
              </w:rPr>
            </w:pPr>
          </w:p>
        </w:tc>
      </w:tr>
      <w:tr>
        <w:trPr>
          <w:trHeight w:val="216"/>
        </w:trPr>
        <w:tc>
          <w:tcPr>
            <w:tcW w:w="680" w:type="dxa"/>
            <w:vAlign w:val="bottom"/>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1"/>
              </w:rPr>
              <w:t>ComCept, from 2003 to 2008, and Chief of Operations, from 2001 to 2003. Prior to joining</w:t>
            </w:r>
          </w:p>
        </w:tc>
        <w:tc>
          <w:tcPr>
            <w:tcW w:w="0" w:type="dxa"/>
            <w:vAlign w:val="bottom"/>
          </w:tcPr>
          <w:p>
            <w:pPr>
              <w:spacing w:after="0"/>
              <w:rPr>
                <w:sz w:val="1"/>
                <w:szCs w:val="1"/>
                <w:color w:val="auto"/>
              </w:rPr>
            </w:pPr>
          </w:p>
        </w:tc>
      </w:tr>
      <w:tr>
        <w:trPr>
          <w:trHeight w:val="216"/>
        </w:trPr>
        <w:tc>
          <w:tcPr>
            <w:tcW w:w="680" w:type="dxa"/>
            <w:vAlign w:val="bottom"/>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7"/>
              </w:rPr>
              <w:t>L3, Mr. Von Schwarz served as Vice President of Engineering for Raytheon’s Aircraft</w:t>
            </w:r>
          </w:p>
        </w:tc>
        <w:tc>
          <w:tcPr>
            <w:tcW w:w="0" w:type="dxa"/>
            <w:vAlign w:val="bottom"/>
          </w:tcPr>
          <w:p>
            <w:pPr>
              <w:spacing w:after="0"/>
              <w:rPr>
                <w:sz w:val="1"/>
                <w:szCs w:val="1"/>
                <w:color w:val="auto"/>
              </w:rPr>
            </w:pPr>
          </w:p>
        </w:tc>
      </w:tr>
      <w:tr>
        <w:trPr>
          <w:trHeight w:val="216"/>
        </w:trPr>
        <w:tc>
          <w:tcPr>
            <w:tcW w:w="680" w:type="dxa"/>
            <w:vAlign w:val="bottom"/>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2"/>
              </w:rPr>
              <w:t>Integration Systems. Mr. Von Schwarz also served as an Electronic Warfare Specialist in</w:t>
            </w:r>
          </w:p>
        </w:tc>
        <w:tc>
          <w:tcPr>
            <w:tcW w:w="0" w:type="dxa"/>
            <w:vAlign w:val="bottom"/>
          </w:tcPr>
          <w:p>
            <w:pPr>
              <w:spacing w:after="0"/>
              <w:rPr>
                <w:sz w:val="1"/>
                <w:szCs w:val="1"/>
                <w:color w:val="auto"/>
              </w:rPr>
            </w:pPr>
          </w:p>
        </w:tc>
      </w:tr>
      <w:tr>
        <w:trPr>
          <w:trHeight w:val="216"/>
        </w:trPr>
        <w:tc>
          <w:tcPr>
            <w:tcW w:w="680" w:type="dxa"/>
            <w:vAlign w:val="bottom"/>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w w:val="96"/>
              </w:rPr>
              <w:t>the Army Security Agency. Mr. Von Schwarz holds a Bachelor of Science degree with</w:t>
            </w:r>
          </w:p>
        </w:tc>
        <w:tc>
          <w:tcPr>
            <w:tcW w:w="0" w:type="dxa"/>
            <w:vAlign w:val="bottom"/>
          </w:tcPr>
          <w:p>
            <w:pPr>
              <w:spacing w:after="0"/>
              <w:rPr>
                <w:sz w:val="1"/>
                <w:szCs w:val="1"/>
                <w:color w:val="auto"/>
              </w:rPr>
            </w:pPr>
          </w:p>
        </w:tc>
      </w:tr>
      <w:tr>
        <w:trPr>
          <w:trHeight w:val="216"/>
        </w:trPr>
        <w:tc>
          <w:tcPr>
            <w:tcW w:w="680" w:type="dxa"/>
            <w:vAlign w:val="bottom"/>
            <w:shd w:val="clear" w:color="auto" w:fill="CDDAE6"/>
          </w:tcPr>
          <w:p>
            <w:pPr>
              <w:spacing w:after="0"/>
              <w:rPr>
                <w:sz w:val="18"/>
                <w:szCs w:val="18"/>
                <w:color w:val="auto"/>
              </w:rPr>
            </w:pPr>
          </w:p>
        </w:tc>
        <w:tc>
          <w:tcPr>
            <w:tcW w:w="2100" w:type="dxa"/>
            <w:vAlign w:val="bottom"/>
            <w:shd w:val="clear" w:color="auto" w:fill="CDDAE6"/>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Academic Distinction in Physics and Mathematics from Texas A&amp;M University-</w:t>
            </w:r>
          </w:p>
        </w:tc>
        <w:tc>
          <w:tcPr>
            <w:tcW w:w="0" w:type="dxa"/>
            <w:vAlign w:val="bottom"/>
          </w:tcPr>
          <w:p>
            <w:pPr>
              <w:spacing w:after="0"/>
              <w:rPr>
                <w:sz w:val="1"/>
                <w:szCs w:val="1"/>
                <w:color w:val="auto"/>
              </w:rPr>
            </w:pPr>
          </w:p>
        </w:tc>
      </w:tr>
      <w:tr>
        <w:trPr>
          <w:trHeight w:val="244"/>
        </w:trPr>
        <w:tc>
          <w:tcPr>
            <w:tcW w:w="680" w:type="dxa"/>
            <w:vAlign w:val="bottom"/>
            <w:shd w:val="clear" w:color="auto" w:fill="CDDAE6"/>
          </w:tcPr>
          <w:p>
            <w:pPr>
              <w:spacing w:after="0"/>
              <w:rPr>
                <w:sz w:val="21"/>
                <w:szCs w:val="21"/>
                <w:color w:val="auto"/>
              </w:rPr>
            </w:pPr>
          </w:p>
        </w:tc>
        <w:tc>
          <w:tcPr>
            <w:tcW w:w="2100" w:type="dxa"/>
            <w:vAlign w:val="bottom"/>
            <w:shd w:val="clear" w:color="auto" w:fill="CDDAE6"/>
          </w:tcPr>
          <w:p>
            <w:pPr>
              <w:spacing w:after="0"/>
              <w:rPr>
                <w:sz w:val="21"/>
                <w:szCs w:val="21"/>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Commerce and graduated with honors from the U.S. Army Intelligence Schools.</w:t>
            </w:r>
          </w:p>
        </w:tc>
        <w:tc>
          <w:tcPr>
            <w:tcW w:w="0" w:type="dxa"/>
            <w:vAlign w:val="bottom"/>
          </w:tcPr>
          <w:p>
            <w:pPr>
              <w:spacing w:after="0"/>
              <w:rPr>
                <w:sz w:val="1"/>
                <w:szCs w:val="1"/>
                <w:color w:val="auto"/>
              </w:rPr>
            </w:pPr>
          </w:p>
        </w:tc>
      </w:tr>
      <w:tr>
        <w:trPr>
          <w:trHeight w:val="527"/>
        </w:trPr>
        <w:tc>
          <w:tcPr>
            <w:tcW w:w="680" w:type="dxa"/>
            <w:vAlign w:val="bottom"/>
          </w:tcPr>
          <w:p>
            <w:pPr>
              <w:ind w:left="40"/>
              <w:spacing w:after="0"/>
              <w:rPr>
                <w:sz w:val="20"/>
                <w:szCs w:val="20"/>
                <w:color w:val="auto"/>
              </w:rPr>
            </w:pPr>
            <w:r>
              <w:rPr>
                <w:rFonts w:ascii="Arial" w:cs="Arial" w:eastAsia="Arial" w:hAnsi="Arial"/>
                <w:sz w:val="18"/>
                <w:szCs w:val="18"/>
                <w:color w:val="005C7D"/>
              </w:rPr>
              <w:t>36</w:t>
            </w:r>
          </w:p>
        </w:tc>
        <w:tc>
          <w:tcPr>
            <w:tcW w:w="2100" w:type="dxa"/>
            <w:vAlign w:val="bottom"/>
          </w:tcPr>
          <w:p>
            <w:pPr>
              <w:spacing w:after="0"/>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tc>
        <w:tc>
          <w:tcPr>
            <w:tcW w:w="6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80" w:type="dxa"/>
            <w:vAlign w:val="bottom"/>
            <w:shd w:val="clear" w:color="auto" w:fill="000000"/>
          </w:tcPr>
          <w:p>
            <w:pPr>
              <w:spacing w:after="0"/>
              <w:rPr>
                <w:sz w:val="5"/>
                <w:szCs w:val="5"/>
                <w:color w:val="auto"/>
              </w:rPr>
            </w:pPr>
          </w:p>
        </w:tc>
        <w:tc>
          <w:tcPr>
            <w:tcW w:w="2100" w:type="dxa"/>
            <w:vAlign w:val="bottom"/>
            <w:shd w:val="clear" w:color="auto" w:fill="000000"/>
          </w:tcPr>
          <w:p>
            <w:pPr>
              <w:spacing w:after="0"/>
              <w:rPr>
                <w:sz w:val="5"/>
                <w:szCs w:val="5"/>
                <w:color w:val="auto"/>
              </w:rPr>
            </w:pPr>
          </w:p>
        </w:tc>
        <w:tc>
          <w:tcPr>
            <w:tcW w:w="67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-530860</wp:posOffset>
            </wp:positionV>
            <wp:extent cx="154305"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2" w:name="page43"/>
    <w:bookmarkEnd w:id="42"/>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SECURITY OWNERSHIP OF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0718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149860</wp:posOffset>
            </wp:positionV>
            <wp:extent cx="6071870" cy="2057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71870" cy="205740"/>
                    </a:xfrm>
                    <a:prstGeom prst="rect">
                      <a:avLst/>
                    </a:prstGeom>
                    <a:noFill/>
                  </pic:spPr>
                </pic:pic>
              </a:graphicData>
            </a:graphic>
          </wp:anchor>
        </w:drawing>
      </w:r>
    </w:p>
    <w:p>
      <w:pPr>
        <w:spacing w:after="0" w:line="229" w:lineRule="exact"/>
        <w:rPr>
          <w:sz w:val="20"/>
          <w:szCs w:val="20"/>
          <w:color w:val="auto"/>
        </w:rPr>
      </w:pPr>
    </w:p>
    <w:p>
      <w:pPr>
        <w:jc w:val="center"/>
        <w:ind w:right="113"/>
        <w:spacing w:after="0"/>
        <w:rPr>
          <w:sz w:val="20"/>
          <w:szCs w:val="20"/>
          <w:color w:val="auto"/>
        </w:rPr>
      </w:pPr>
      <w:r>
        <w:rPr>
          <w:rFonts w:ascii="Arial" w:cs="Arial" w:eastAsia="Arial" w:hAnsi="Arial"/>
          <w:sz w:val="22"/>
          <w:szCs w:val="22"/>
          <w:b w:val="1"/>
          <w:bCs w:val="1"/>
          <w:color w:val="005C7D"/>
        </w:rPr>
        <w:t>SECURITY OWNERSHIP OF CERTAIN BENEFICIAL OWNERS</w:t>
      </w:r>
    </w:p>
    <w:p>
      <w:pPr>
        <w:spacing w:after="0" w:line="206" w:lineRule="exact"/>
        <w:rPr>
          <w:sz w:val="20"/>
          <w:szCs w:val="20"/>
          <w:color w:val="auto"/>
        </w:rPr>
      </w:pPr>
    </w:p>
    <w:p>
      <w:pPr>
        <w:ind w:left="7" w:right="200"/>
        <w:spacing w:after="0" w:line="277" w:lineRule="auto"/>
        <w:rPr>
          <w:sz w:val="20"/>
          <w:szCs w:val="20"/>
          <w:color w:val="auto"/>
        </w:rPr>
      </w:pPr>
      <w:r>
        <w:rPr>
          <w:rFonts w:ascii="Arial" w:cs="Arial" w:eastAsia="Arial" w:hAnsi="Arial"/>
          <w:sz w:val="18"/>
          <w:szCs w:val="18"/>
          <w:color w:val="auto"/>
        </w:rPr>
        <w:t>Based on information available to us as of March 13, 2017, the Record Date, we know of no person who beneficially owned more than five percent of the Common Stock, except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14605</wp:posOffset>
            </wp:positionV>
            <wp:extent cx="43649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 w:lineRule="exact"/>
        <w:rPr>
          <w:sz w:val="20"/>
          <w:szCs w:val="20"/>
          <w:color w:val="auto"/>
        </w:rPr>
      </w:pPr>
    </w:p>
    <w:tbl>
      <w:tblPr>
        <w:tblLayout w:type="fixed"/>
        <w:tblInd w:w="1347" w:type="dxa"/>
        <w:tblCellMar>
          <w:top w:w="0" w:type="dxa"/>
          <w:left w:w="0" w:type="dxa"/>
          <w:bottom w:w="0" w:type="dxa"/>
          <w:right w:w="0" w:type="dxa"/>
        </w:tblCellMar>
      </w:tblPr>
      <w:tr>
        <w:trPr>
          <w:trHeight w:val="162"/>
        </w:trPr>
        <w:tc>
          <w:tcPr>
            <w:tcW w:w="338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9"/>
              </w:rPr>
              <w:t>Name and Address of Beneficial Owner</w:t>
            </w:r>
          </w:p>
        </w:tc>
        <w:tc>
          <w:tcPr>
            <w:tcW w:w="1980" w:type="dxa"/>
            <w:vAlign w:val="bottom"/>
          </w:tcPr>
          <w:p>
            <w:pPr>
              <w:jc w:val="right"/>
              <w:ind w:right="177"/>
              <w:spacing w:after="0"/>
              <w:rPr>
                <w:sz w:val="20"/>
                <w:szCs w:val="20"/>
                <w:color w:val="auto"/>
              </w:rPr>
            </w:pPr>
            <w:r>
              <w:rPr>
                <w:rFonts w:ascii="Arial" w:cs="Arial" w:eastAsia="Arial" w:hAnsi="Arial"/>
                <w:sz w:val="14"/>
                <w:szCs w:val="14"/>
                <w:b w:val="1"/>
                <w:bCs w:val="1"/>
                <w:color w:val="auto"/>
              </w:rPr>
              <w:t>Amount and Nature of</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380" w:type="dxa"/>
            <w:vAlign w:val="bottom"/>
            <w:tcBorders>
              <w:bottom w:val="single" w:sz="8" w:color="005C7D"/>
            </w:tcBorders>
            <w:vMerge w:val="continue"/>
          </w:tcPr>
          <w:p>
            <w:pPr>
              <w:spacing w:after="0"/>
              <w:rPr>
                <w:sz w:val="16"/>
                <w:szCs w:val="16"/>
                <w:color w:val="auto"/>
              </w:rPr>
            </w:pPr>
          </w:p>
        </w:tc>
        <w:tc>
          <w:tcPr>
            <w:tcW w:w="1980" w:type="dxa"/>
            <w:vAlign w:val="bottom"/>
            <w:tcBorders>
              <w:bottom w:val="single" w:sz="8" w:color="005C7D"/>
            </w:tcBorders>
          </w:tcPr>
          <w:p>
            <w:pPr>
              <w:jc w:val="right"/>
              <w:ind w:right="197"/>
              <w:spacing w:after="0"/>
              <w:rPr>
                <w:sz w:val="20"/>
                <w:szCs w:val="20"/>
                <w:color w:val="auto"/>
              </w:rPr>
            </w:pPr>
            <w:r>
              <w:rPr>
                <w:rFonts w:ascii="Arial" w:cs="Arial" w:eastAsia="Arial" w:hAnsi="Arial"/>
                <w:sz w:val="14"/>
                <w:szCs w:val="14"/>
                <w:b w:val="1"/>
                <w:bCs w:val="1"/>
                <w:color w:val="auto"/>
              </w:rPr>
              <w:t>Beneficial Ownership</w:t>
            </w:r>
          </w:p>
        </w:tc>
        <w:tc>
          <w:tcPr>
            <w:tcW w:w="1520" w:type="dxa"/>
            <w:vAlign w:val="bottom"/>
            <w:tcBorders>
              <w:bottom w:val="single" w:sz="8" w:color="005C7D"/>
            </w:tcBorders>
          </w:tcPr>
          <w:p>
            <w:pPr>
              <w:jc w:val="right"/>
              <w:ind w:right="254"/>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209"/>
        </w:trPr>
        <w:tc>
          <w:tcPr>
            <w:tcW w:w="3380" w:type="dxa"/>
            <w:vAlign w:val="bottom"/>
            <w:shd w:val="clear" w:color="auto" w:fill="CDDAE6"/>
          </w:tcPr>
          <w:p>
            <w:pPr>
              <w:ind w:left="20"/>
              <w:spacing w:after="0"/>
              <w:rPr>
                <w:sz w:val="20"/>
                <w:szCs w:val="20"/>
                <w:color w:val="auto"/>
              </w:rPr>
            </w:pPr>
            <w:r>
              <w:rPr>
                <w:rFonts w:ascii="Arial" w:cs="Arial" w:eastAsia="Arial" w:hAnsi="Arial"/>
                <w:sz w:val="18"/>
                <w:szCs w:val="18"/>
                <w:color w:val="auto"/>
              </w:rPr>
              <w:t>The Vanguard Group, Inc.</w:t>
            </w:r>
          </w:p>
        </w:tc>
        <w:tc>
          <w:tcPr>
            <w:tcW w:w="1980" w:type="dxa"/>
            <w:vAlign w:val="bottom"/>
            <w:shd w:val="clear" w:color="auto" w:fill="CDDAE6"/>
          </w:tcPr>
          <w:p>
            <w:pPr>
              <w:spacing w:after="0"/>
              <w:rPr>
                <w:sz w:val="18"/>
                <w:szCs w:val="18"/>
                <w:color w:val="auto"/>
              </w:rPr>
            </w:pPr>
          </w:p>
        </w:tc>
        <w:tc>
          <w:tcPr>
            <w:tcW w:w="1520" w:type="dxa"/>
            <w:vAlign w:val="bottom"/>
            <w:shd w:val="clear" w:color="auto" w:fill="CDDAE6"/>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DDAE6"/>
          </w:tcPr>
          <w:p>
            <w:pPr>
              <w:ind w:left="20"/>
              <w:spacing w:after="0"/>
              <w:rPr>
                <w:sz w:val="20"/>
                <w:szCs w:val="20"/>
                <w:color w:val="auto"/>
              </w:rPr>
            </w:pPr>
            <w:r>
              <w:rPr>
                <w:rFonts w:ascii="Arial" w:cs="Arial" w:eastAsia="Arial" w:hAnsi="Arial"/>
                <w:sz w:val="18"/>
                <w:szCs w:val="18"/>
                <w:color w:val="auto"/>
              </w:rPr>
              <w:t>100 Vanguard Blvd.</w:t>
            </w:r>
          </w:p>
        </w:tc>
        <w:tc>
          <w:tcPr>
            <w:tcW w:w="1980" w:type="dxa"/>
            <w:vAlign w:val="bottom"/>
            <w:shd w:val="clear" w:color="auto" w:fill="CDDAE6"/>
          </w:tcPr>
          <w:p>
            <w:pPr>
              <w:spacing w:after="0"/>
              <w:rPr>
                <w:sz w:val="19"/>
                <w:szCs w:val="19"/>
                <w:color w:val="auto"/>
              </w:rPr>
            </w:pPr>
          </w:p>
        </w:tc>
        <w:tc>
          <w:tcPr>
            <w:tcW w:w="1520" w:type="dxa"/>
            <w:vAlign w:val="bottom"/>
            <w:shd w:val="clear" w:color="auto" w:fill="CDDAE6"/>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3380" w:type="dxa"/>
            <w:vAlign w:val="bottom"/>
            <w:shd w:val="clear" w:color="auto" w:fill="CDDAE6"/>
          </w:tcPr>
          <w:p>
            <w:pPr>
              <w:ind w:left="20"/>
              <w:spacing w:after="0" w:line="280" w:lineRule="exact"/>
              <w:rPr>
                <w:sz w:val="20"/>
                <w:szCs w:val="20"/>
                <w:color w:val="auto"/>
              </w:rPr>
            </w:pPr>
            <w:r>
              <w:rPr>
                <w:rFonts w:ascii="Arial" w:cs="Arial" w:eastAsia="Arial" w:hAnsi="Arial"/>
                <w:sz w:val="18"/>
                <w:szCs w:val="18"/>
                <w:color w:val="auto"/>
              </w:rPr>
              <w:t>Malvern, PA 19355</w:t>
            </w:r>
            <w:r>
              <w:rPr>
                <w:rFonts w:ascii="Arial" w:cs="Arial" w:eastAsia="Arial" w:hAnsi="Arial"/>
                <w:sz w:val="29"/>
                <w:szCs w:val="29"/>
                <w:color w:val="auto"/>
                <w:vertAlign w:val="superscript"/>
              </w:rPr>
              <w:t>(1)</w:t>
            </w:r>
          </w:p>
        </w:tc>
        <w:tc>
          <w:tcPr>
            <w:tcW w:w="1980" w:type="dxa"/>
            <w:vAlign w:val="bottom"/>
            <w:shd w:val="clear" w:color="auto" w:fill="CDDAE6"/>
          </w:tcPr>
          <w:p>
            <w:pPr>
              <w:jc w:val="right"/>
              <w:ind w:right="97"/>
              <w:spacing w:after="0" w:line="280" w:lineRule="exact"/>
              <w:rPr>
                <w:sz w:val="20"/>
                <w:szCs w:val="20"/>
                <w:color w:val="auto"/>
              </w:rPr>
            </w:pPr>
            <w:r>
              <w:rPr>
                <w:rFonts w:ascii="Arial" w:cs="Arial" w:eastAsia="Arial" w:hAnsi="Arial"/>
                <w:sz w:val="18"/>
                <w:szCs w:val="18"/>
                <w:color w:val="auto"/>
              </w:rPr>
              <w:t>7,618,575</w:t>
            </w:r>
            <w:r>
              <w:rPr>
                <w:rFonts w:ascii="Arial" w:cs="Arial" w:eastAsia="Arial" w:hAnsi="Arial"/>
                <w:sz w:val="29"/>
                <w:szCs w:val="29"/>
                <w:color w:val="auto"/>
                <w:vertAlign w:val="superscript"/>
              </w:rPr>
              <w:t>(1</w:t>
            </w:r>
            <w:r>
              <w:rPr>
                <w:rFonts w:ascii="Arial" w:cs="Arial" w:eastAsia="Arial" w:hAnsi="Arial"/>
                <w:sz w:val="14"/>
                <w:szCs w:val="14"/>
                <w:color w:val="auto"/>
              </w:rPr>
              <w:t>)</w:t>
            </w:r>
          </w:p>
        </w:tc>
        <w:tc>
          <w:tcPr>
            <w:tcW w:w="1520" w:type="dxa"/>
            <w:vAlign w:val="bottom"/>
            <w:shd w:val="clear" w:color="auto" w:fill="CDDAE6"/>
          </w:tcPr>
          <w:p>
            <w:pPr>
              <w:jc w:val="right"/>
              <w:ind w:right="14"/>
              <w:spacing w:after="0" w:line="280" w:lineRule="exact"/>
              <w:rPr>
                <w:sz w:val="20"/>
                <w:szCs w:val="20"/>
                <w:color w:val="auto"/>
              </w:rPr>
            </w:pPr>
            <w:r>
              <w:rPr>
                <w:rFonts w:ascii="Arial" w:cs="Arial" w:eastAsia="Arial" w:hAnsi="Arial"/>
                <w:sz w:val="18"/>
                <w:szCs w:val="18"/>
                <w:color w:val="auto"/>
              </w:rPr>
              <w:t>9.9%</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15"/>
        </w:trPr>
        <w:tc>
          <w:tcPr>
            <w:tcW w:w="3380" w:type="dxa"/>
            <w:vAlign w:val="bottom"/>
          </w:tcPr>
          <w:p>
            <w:pPr>
              <w:ind w:left="20"/>
              <w:spacing w:after="0"/>
              <w:rPr>
                <w:sz w:val="20"/>
                <w:szCs w:val="20"/>
                <w:color w:val="auto"/>
              </w:rPr>
            </w:pPr>
            <w:r>
              <w:rPr>
                <w:rFonts w:ascii="Arial" w:cs="Arial" w:eastAsia="Arial" w:hAnsi="Arial"/>
                <w:sz w:val="18"/>
                <w:szCs w:val="18"/>
                <w:color w:val="auto"/>
              </w:rPr>
              <w:t>ClearBridge Investments, LLC</w:t>
            </w:r>
          </w:p>
        </w:tc>
        <w:tc>
          <w:tcPr>
            <w:tcW w:w="1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8"/>
                <w:szCs w:val="18"/>
                <w:color w:val="auto"/>
              </w:rPr>
              <w:t>620 8th Avenue</w:t>
            </w:r>
          </w:p>
        </w:tc>
        <w:tc>
          <w:tcPr>
            <w:tcW w:w="19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3380" w:type="dxa"/>
            <w:vAlign w:val="bottom"/>
          </w:tcPr>
          <w:p>
            <w:pPr>
              <w:ind w:left="20"/>
              <w:spacing w:after="0" w:line="280" w:lineRule="exact"/>
              <w:rPr>
                <w:sz w:val="20"/>
                <w:szCs w:val="20"/>
                <w:color w:val="auto"/>
              </w:rPr>
            </w:pPr>
            <w:r>
              <w:rPr>
                <w:rFonts w:ascii="Arial" w:cs="Arial" w:eastAsia="Arial" w:hAnsi="Arial"/>
                <w:sz w:val="18"/>
                <w:szCs w:val="18"/>
                <w:color w:val="auto"/>
              </w:rPr>
              <w:t>New York, NY 10018</w:t>
            </w:r>
            <w:r>
              <w:rPr>
                <w:rFonts w:ascii="Arial" w:cs="Arial" w:eastAsia="Arial" w:hAnsi="Arial"/>
                <w:sz w:val="29"/>
                <w:szCs w:val="29"/>
                <w:color w:val="auto"/>
                <w:vertAlign w:val="superscript"/>
              </w:rPr>
              <w:t>(2)</w:t>
            </w:r>
          </w:p>
        </w:tc>
        <w:tc>
          <w:tcPr>
            <w:tcW w:w="1980" w:type="dxa"/>
            <w:vAlign w:val="bottom"/>
          </w:tcPr>
          <w:p>
            <w:pPr>
              <w:jc w:val="right"/>
              <w:ind w:right="97"/>
              <w:spacing w:after="0" w:line="280" w:lineRule="exact"/>
              <w:rPr>
                <w:sz w:val="20"/>
                <w:szCs w:val="20"/>
                <w:color w:val="auto"/>
              </w:rPr>
            </w:pPr>
            <w:r>
              <w:rPr>
                <w:rFonts w:ascii="Arial" w:cs="Arial" w:eastAsia="Arial" w:hAnsi="Arial"/>
                <w:sz w:val="18"/>
                <w:szCs w:val="18"/>
                <w:color w:val="auto"/>
              </w:rPr>
              <w:t>6,048,342</w:t>
            </w:r>
            <w:r>
              <w:rPr>
                <w:rFonts w:ascii="Arial" w:cs="Arial" w:eastAsia="Arial" w:hAnsi="Arial"/>
                <w:sz w:val="29"/>
                <w:szCs w:val="29"/>
                <w:color w:val="auto"/>
                <w:vertAlign w:val="superscript"/>
              </w:rPr>
              <w:t>(2</w:t>
            </w:r>
            <w:r>
              <w:rPr>
                <w:rFonts w:ascii="Arial" w:cs="Arial" w:eastAsia="Arial" w:hAnsi="Arial"/>
                <w:sz w:val="14"/>
                <w:szCs w:val="14"/>
                <w:color w:val="auto"/>
              </w:rPr>
              <w:t>)</w:t>
            </w:r>
          </w:p>
        </w:tc>
        <w:tc>
          <w:tcPr>
            <w:tcW w:w="1520" w:type="dxa"/>
            <w:vAlign w:val="bottom"/>
          </w:tcPr>
          <w:p>
            <w:pPr>
              <w:jc w:val="right"/>
              <w:ind w:right="14"/>
              <w:spacing w:after="0" w:line="280" w:lineRule="exact"/>
              <w:rPr>
                <w:sz w:val="20"/>
                <w:szCs w:val="20"/>
                <w:color w:val="auto"/>
              </w:rPr>
            </w:pPr>
            <w:r>
              <w:rPr>
                <w:rFonts w:ascii="Arial" w:cs="Arial" w:eastAsia="Arial" w:hAnsi="Arial"/>
                <w:sz w:val="18"/>
                <w:szCs w:val="18"/>
                <w:color w:val="auto"/>
              </w:rPr>
              <w:t>7.8%</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15"/>
        </w:trPr>
        <w:tc>
          <w:tcPr>
            <w:tcW w:w="3380" w:type="dxa"/>
            <w:vAlign w:val="bottom"/>
            <w:shd w:val="clear" w:color="auto" w:fill="CDDAE6"/>
          </w:tcPr>
          <w:p>
            <w:pPr>
              <w:ind w:left="20"/>
              <w:spacing w:after="0"/>
              <w:rPr>
                <w:sz w:val="20"/>
                <w:szCs w:val="20"/>
                <w:color w:val="auto"/>
              </w:rPr>
            </w:pPr>
            <w:r>
              <w:rPr>
                <w:rFonts w:ascii="Arial" w:cs="Arial" w:eastAsia="Arial" w:hAnsi="Arial"/>
                <w:sz w:val="18"/>
                <w:szCs w:val="18"/>
                <w:color w:val="auto"/>
              </w:rPr>
              <w:t>BlackRock, Inc.</w:t>
            </w:r>
          </w:p>
        </w:tc>
        <w:tc>
          <w:tcPr>
            <w:tcW w:w="1980" w:type="dxa"/>
            <w:vAlign w:val="bottom"/>
            <w:shd w:val="clear" w:color="auto" w:fill="CDDAE6"/>
          </w:tcPr>
          <w:p>
            <w:pPr>
              <w:spacing w:after="0"/>
              <w:rPr>
                <w:sz w:val="18"/>
                <w:szCs w:val="18"/>
                <w:color w:val="auto"/>
              </w:rPr>
            </w:pPr>
          </w:p>
        </w:tc>
        <w:tc>
          <w:tcPr>
            <w:tcW w:w="1520" w:type="dxa"/>
            <w:vAlign w:val="bottom"/>
            <w:shd w:val="clear" w:color="auto" w:fill="CDDAE6"/>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DDAE6"/>
          </w:tcPr>
          <w:p>
            <w:pPr>
              <w:ind w:left="20"/>
              <w:spacing w:after="0"/>
              <w:rPr>
                <w:sz w:val="20"/>
                <w:szCs w:val="20"/>
                <w:color w:val="auto"/>
              </w:rPr>
            </w:pPr>
            <w:r>
              <w:rPr>
                <w:rFonts w:ascii="Arial" w:cs="Arial" w:eastAsia="Arial" w:hAnsi="Arial"/>
                <w:sz w:val="18"/>
                <w:szCs w:val="18"/>
                <w:color w:val="auto"/>
              </w:rPr>
              <w:t>55 East 52nd Street</w:t>
            </w:r>
          </w:p>
        </w:tc>
        <w:tc>
          <w:tcPr>
            <w:tcW w:w="1980" w:type="dxa"/>
            <w:vAlign w:val="bottom"/>
            <w:shd w:val="clear" w:color="auto" w:fill="CDDAE6"/>
          </w:tcPr>
          <w:p>
            <w:pPr>
              <w:spacing w:after="0"/>
              <w:rPr>
                <w:sz w:val="19"/>
                <w:szCs w:val="19"/>
                <w:color w:val="auto"/>
              </w:rPr>
            </w:pPr>
          </w:p>
        </w:tc>
        <w:tc>
          <w:tcPr>
            <w:tcW w:w="1520" w:type="dxa"/>
            <w:vAlign w:val="bottom"/>
            <w:shd w:val="clear" w:color="auto" w:fill="CDDAE6"/>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3380" w:type="dxa"/>
            <w:vAlign w:val="bottom"/>
            <w:tcBorders>
              <w:bottom w:val="single" w:sz="8" w:color="005C7D"/>
            </w:tcBorders>
            <w:shd w:val="clear" w:color="auto" w:fill="CDDAE6"/>
          </w:tcPr>
          <w:p>
            <w:pPr>
              <w:ind w:left="20"/>
              <w:spacing w:after="0" w:line="280" w:lineRule="exact"/>
              <w:rPr>
                <w:sz w:val="20"/>
                <w:szCs w:val="20"/>
                <w:color w:val="auto"/>
              </w:rPr>
            </w:pPr>
            <w:r>
              <w:rPr>
                <w:rFonts w:ascii="Arial" w:cs="Arial" w:eastAsia="Arial" w:hAnsi="Arial"/>
                <w:sz w:val="18"/>
                <w:szCs w:val="18"/>
                <w:color w:val="auto"/>
              </w:rPr>
              <w:t>New York, NY 10055</w:t>
            </w:r>
            <w:r>
              <w:rPr>
                <w:rFonts w:ascii="Arial" w:cs="Arial" w:eastAsia="Arial" w:hAnsi="Arial"/>
                <w:sz w:val="29"/>
                <w:szCs w:val="29"/>
                <w:color w:val="auto"/>
                <w:vertAlign w:val="superscript"/>
              </w:rPr>
              <w:t>(3)</w:t>
            </w:r>
          </w:p>
        </w:tc>
        <w:tc>
          <w:tcPr>
            <w:tcW w:w="1980" w:type="dxa"/>
            <w:vAlign w:val="bottom"/>
            <w:tcBorders>
              <w:bottom w:val="single" w:sz="8" w:color="005C7D"/>
            </w:tcBorders>
            <w:shd w:val="clear" w:color="auto" w:fill="CDDAE6"/>
          </w:tcPr>
          <w:p>
            <w:pPr>
              <w:jc w:val="right"/>
              <w:ind w:right="97"/>
              <w:spacing w:after="0" w:line="280" w:lineRule="exact"/>
              <w:rPr>
                <w:sz w:val="20"/>
                <w:szCs w:val="20"/>
                <w:color w:val="auto"/>
              </w:rPr>
            </w:pPr>
            <w:r>
              <w:rPr>
                <w:rFonts w:ascii="Arial" w:cs="Arial" w:eastAsia="Arial" w:hAnsi="Arial"/>
                <w:sz w:val="18"/>
                <w:szCs w:val="18"/>
                <w:color w:val="auto"/>
              </w:rPr>
              <w:t>5,341,632</w:t>
            </w:r>
            <w:r>
              <w:rPr>
                <w:rFonts w:ascii="Arial" w:cs="Arial" w:eastAsia="Arial" w:hAnsi="Arial"/>
                <w:sz w:val="29"/>
                <w:szCs w:val="29"/>
                <w:color w:val="auto"/>
                <w:vertAlign w:val="superscript"/>
              </w:rPr>
              <w:t>(3</w:t>
            </w:r>
            <w:r>
              <w:rPr>
                <w:rFonts w:ascii="Arial" w:cs="Arial" w:eastAsia="Arial" w:hAnsi="Arial"/>
                <w:sz w:val="14"/>
                <w:szCs w:val="14"/>
                <w:color w:val="auto"/>
              </w:rPr>
              <w:t>)</w:t>
            </w:r>
          </w:p>
        </w:tc>
        <w:tc>
          <w:tcPr>
            <w:tcW w:w="1520" w:type="dxa"/>
            <w:vAlign w:val="bottom"/>
            <w:tcBorders>
              <w:bottom w:val="single" w:sz="8" w:color="005C7D"/>
            </w:tcBorders>
            <w:shd w:val="clear" w:color="auto" w:fill="CDDAE6"/>
          </w:tcPr>
          <w:p>
            <w:pPr>
              <w:jc w:val="right"/>
              <w:ind w:right="14"/>
              <w:spacing w:after="0" w:line="280" w:lineRule="exact"/>
              <w:rPr>
                <w:sz w:val="20"/>
                <w:szCs w:val="20"/>
                <w:color w:val="auto"/>
              </w:rPr>
            </w:pPr>
            <w:r>
              <w:rPr>
                <w:rFonts w:ascii="Arial" w:cs="Arial" w:eastAsia="Arial" w:hAnsi="Arial"/>
                <w:sz w:val="18"/>
                <w:szCs w:val="18"/>
                <w:color w:val="auto"/>
              </w:rPr>
              <w:t>6.9%</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16979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73" w:lineRule="exact"/>
        <w:rPr>
          <w:sz w:val="20"/>
          <w:szCs w:val="20"/>
          <w:color w:val="auto"/>
        </w:rPr>
      </w:pPr>
    </w:p>
    <w:p>
      <w:pPr>
        <w:ind w:left="347" w:right="40" w:hanging="347"/>
        <w:spacing w:after="0" w:line="270" w:lineRule="auto"/>
        <w:tabs>
          <w:tab w:leader="none" w:pos="347"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Information shown is based on information reported by the filer on a Schedule 13G filed with the SEC on February 10, 2017, in which The Vanguard Group, Inc. reported that it has sole dispositive power over 7,481,940 shares of Common Stock, shared dispositive power over 136,635 shares of Common Stock and sole voting power over 122,687 shares of Common Stock. The Vanguard Group, Inc. reported that Vanguard Fiduciary Trust Company and Vanguard Investments Australia, Ltd., wholly-owned subsidiaries of The Vanguard Group, Inc., are the beneficial owners of 99,630 shares or 0.12% and 60,062 shares or 0.07%, respectively, of the Common Stock outstanding as a result of its serving as investment manager of collective trust accounts.</w:t>
      </w:r>
    </w:p>
    <w:p>
      <w:pPr>
        <w:ind w:left="347" w:right="300" w:hanging="347"/>
        <w:spacing w:after="0" w:line="275" w:lineRule="auto"/>
        <w:tabs>
          <w:tab w:leader="none" w:pos="347"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Information shown is based on information reported by the filer on a Schedule 13G filed with the SEC on February 14, 2017 in which ClearBridge Investments, LLC reported that it has sole dispositive power over 6,048,342 shares of Common Stock and sole voting power over 5,813,523 shares of Common Stock.</w:t>
      </w:r>
    </w:p>
    <w:p>
      <w:pPr>
        <w:spacing w:after="0" w:line="2" w:lineRule="exact"/>
        <w:rPr>
          <w:rFonts w:ascii="Arial" w:cs="Arial" w:eastAsia="Arial" w:hAnsi="Arial"/>
          <w:sz w:val="16"/>
          <w:szCs w:val="16"/>
          <w:color w:val="auto"/>
        </w:rPr>
      </w:pPr>
    </w:p>
    <w:p>
      <w:pPr>
        <w:ind w:left="347" w:right="240" w:hanging="347"/>
        <w:spacing w:after="0" w:line="278" w:lineRule="auto"/>
        <w:tabs>
          <w:tab w:leader="none" w:pos="347"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Information shown is based on information reported by the filer on a Schedule 13G filed with the SEC on January 25, 2017 in which BlackRock, Inc. reported that it has sole dispositive power over 5,341,632 shares of Common Stock and sole voting power over 4,706,885 shares of Common Stock.</w:t>
      </w:r>
    </w:p>
    <w:p>
      <w:pPr>
        <w:spacing w:after="0" w:line="220" w:lineRule="exact"/>
        <w:rPr>
          <w:sz w:val="20"/>
          <w:szCs w:val="20"/>
          <w:color w:val="auto"/>
        </w:rPr>
      </w:pPr>
    </w:p>
    <w:p>
      <w:pPr>
        <w:ind w:left="7827"/>
        <w:spacing w:after="0"/>
        <w:tabs>
          <w:tab w:leader="none" w:pos="9326"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381000</wp:posOffset>
            </wp:positionV>
            <wp:extent cx="6071870" cy="431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-107315</wp:posOffset>
            </wp:positionV>
            <wp:extent cx="163195" cy="1631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3" w:name="page44"/>
    <w:bookmarkEnd w:id="43"/>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7"/>
        <w:spacing w:after="0"/>
        <w:rPr>
          <w:sz w:val="20"/>
          <w:szCs w:val="20"/>
          <w:color w:val="auto"/>
        </w:rPr>
      </w:pPr>
      <w:r>
        <w:rPr>
          <w:rFonts w:ascii="Arial" w:cs="Arial" w:eastAsia="Arial" w:hAnsi="Arial"/>
          <w:sz w:val="14"/>
          <w:szCs w:val="14"/>
          <w:color w:val="005C7D"/>
        </w:rPr>
        <w:t>SECURITY OWNERSHIP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0718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149860</wp:posOffset>
            </wp:positionV>
            <wp:extent cx="6071870" cy="2057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71870" cy="205740"/>
                    </a:xfrm>
                    <a:prstGeom prst="rect">
                      <a:avLst/>
                    </a:prstGeom>
                    <a:noFill/>
                  </pic:spPr>
                </pic:pic>
              </a:graphicData>
            </a:graphic>
          </wp:anchor>
        </w:drawing>
      </w:r>
    </w:p>
    <w:p>
      <w:pPr>
        <w:spacing w:after="0" w:line="229" w:lineRule="exact"/>
        <w:rPr>
          <w:sz w:val="20"/>
          <w:szCs w:val="20"/>
          <w:color w:val="auto"/>
        </w:rPr>
      </w:pPr>
    </w:p>
    <w:p>
      <w:pPr>
        <w:jc w:val="center"/>
        <w:ind w:right="113"/>
        <w:spacing w:after="0"/>
        <w:rPr>
          <w:sz w:val="20"/>
          <w:szCs w:val="20"/>
          <w:color w:val="auto"/>
        </w:rPr>
      </w:pPr>
      <w:r>
        <w:rPr>
          <w:rFonts w:ascii="Arial" w:cs="Arial" w:eastAsia="Arial" w:hAnsi="Arial"/>
          <w:sz w:val="22"/>
          <w:szCs w:val="22"/>
          <w:b w:val="1"/>
          <w:bCs w:val="1"/>
          <w:color w:val="005C7D"/>
        </w:rPr>
        <w:t>SECURITY OWNERSHIP OF MANAGEMENT</w:t>
      </w:r>
    </w:p>
    <w:p>
      <w:pPr>
        <w:spacing w:after="0" w:line="206" w:lineRule="exact"/>
        <w:rPr>
          <w:sz w:val="20"/>
          <w:szCs w:val="20"/>
          <w:color w:val="auto"/>
        </w:rPr>
      </w:pPr>
    </w:p>
    <w:p>
      <w:pPr>
        <w:ind w:left="7" w:right="200"/>
        <w:spacing w:after="0" w:line="264" w:lineRule="auto"/>
        <w:rPr>
          <w:sz w:val="20"/>
          <w:szCs w:val="20"/>
          <w:color w:val="auto"/>
        </w:rPr>
      </w:pPr>
      <w:r>
        <w:rPr>
          <w:rFonts w:ascii="Arial" w:cs="Arial" w:eastAsia="Arial" w:hAnsi="Arial"/>
          <w:sz w:val="18"/>
          <w:szCs w:val="18"/>
          <w:color w:val="auto"/>
        </w:rPr>
        <w:t>As of March 10, 2017, there were 77,805,809 shares of our Common Stock outstanding. The following table shows the amount of Common Stock beneficially owned (unless otherwise indicated) by our named executive officers, our directors, and by all of our current executive officers and directors as a group.</w:t>
      </w:r>
    </w:p>
    <w:p>
      <w:pPr>
        <w:spacing w:after="0" w:line="127" w:lineRule="exact"/>
        <w:rPr>
          <w:sz w:val="20"/>
          <w:szCs w:val="20"/>
          <w:color w:val="auto"/>
        </w:rPr>
      </w:pPr>
    </w:p>
    <w:p>
      <w:pPr>
        <w:ind w:left="7"/>
        <w:spacing w:after="0"/>
        <w:rPr>
          <w:sz w:val="20"/>
          <w:szCs w:val="20"/>
          <w:color w:val="auto"/>
        </w:rPr>
      </w:pPr>
      <w:r>
        <w:rPr>
          <w:rFonts w:ascii="Arial" w:cs="Arial" w:eastAsia="Arial" w:hAnsi="Arial"/>
          <w:sz w:val="18"/>
          <w:szCs w:val="18"/>
          <w:color w:val="auto"/>
        </w:rPr>
        <w:t>Except as otherwise indicated, all information listed below is as of March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48895</wp:posOffset>
            </wp:positionV>
            <wp:extent cx="60718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75"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tcPr>
          <w:p>
            <w:pPr>
              <w:jc w:val="center"/>
              <w:ind w:left="155"/>
              <w:spacing w:after="0"/>
              <w:rPr>
                <w:sz w:val="20"/>
                <w:szCs w:val="20"/>
                <w:color w:val="auto"/>
              </w:rPr>
            </w:pPr>
            <w:r>
              <w:rPr>
                <w:rFonts w:ascii="Arial" w:cs="Arial" w:eastAsia="Arial" w:hAnsi="Arial"/>
                <w:sz w:val="14"/>
                <w:szCs w:val="14"/>
                <w:b w:val="1"/>
                <w:bCs w:val="1"/>
                <w:color w:val="auto"/>
                <w:w w:val="92"/>
              </w:rPr>
              <w:t>Common</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2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tcPr>
          <w:p>
            <w:pPr>
              <w:jc w:val="center"/>
              <w:ind w:left="155"/>
              <w:spacing w:after="0"/>
              <w:rPr>
                <w:sz w:val="20"/>
                <w:szCs w:val="20"/>
                <w:color w:val="auto"/>
              </w:rPr>
            </w:pPr>
            <w:r>
              <w:rPr>
                <w:rFonts w:ascii="Arial" w:cs="Arial" w:eastAsia="Arial" w:hAnsi="Arial"/>
                <w:sz w:val="14"/>
                <w:szCs w:val="14"/>
                <w:b w:val="1"/>
                <w:bCs w:val="1"/>
                <w:color w:val="auto"/>
                <w:w w:val="94"/>
              </w:rPr>
              <w:t>Stock</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tcPr>
          <w:p>
            <w:pPr>
              <w:spacing w:after="0"/>
              <w:rPr>
                <w:sz w:val="14"/>
                <w:szCs w:val="14"/>
                <w:color w:val="auto"/>
              </w:rPr>
            </w:pPr>
          </w:p>
        </w:tc>
      </w:tr>
      <w:tr>
        <w:trPr>
          <w:trHeight w:val="162"/>
        </w:trPr>
        <w:tc>
          <w:tcPr>
            <w:tcW w:w="2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tcPr>
          <w:p>
            <w:pPr>
              <w:jc w:val="center"/>
              <w:ind w:left="155"/>
              <w:spacing w:after="0"/>
              <w:rPr>
                <w:sz w:val="20"/>
                <w:szCs w:val="20"/>
                <w:color w:val="auto"/>
              </w:rPr>
            </w:pPr>
            <w:r>
              <w:rPr>
                <w:rFonts w:ascii="Arial" w:cs="Arial" w:eastAsia="Arial" w:hAnsi="Arial"/>
                <w:sz w:val="14"/>
                <w:szCs w:val="14"/>
                <w:b w:val="1"/>
                <w:bCs w:val="1"/>
                <w:color w:val="auto"/>
                <w:w w:val="92"/>
              </w:rPr>
              <w:t>Beneficially</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Stock</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r>
      <w:tr>
        <w:trPr>
          <w:trHeight w:val="162"/>
        </w:trPr>
        <w:tc>
          <w:tcPr>
            <w:tcW w:w="2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tcPr>
          <w:p>
            <w:pPr>
              <w:jc w:val="center"/>
              <w:ind w:left="155"/>
              <w:spacing w:after="0"/>
              <w:rPr>
                <w:sz w:val="20"/>
                <w:szCs w:val="20"/>
                <w:color w:val="auto"/>
              </w:rPr>
            </w:pPr>
            <w:r>
              <w:rPr>
                <w:rFonts w:ascii="Arial" w:cs="Arial" w:eastAsia="Arial" w:hAnsi="Arial"/>
                <w:sz w:val="14"/>
                <w:szCs w:val="14"/>
                <w:b w:val="1"/>
                <w:bCs w:val="1"/>
                <w:color w:val="auto"/>
                <w:w w:val="94"/>
              </w:rPr>
              <w:t>Owned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Acquirable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Stock</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Shares of</w:t>
            </w:r>
          </w:p>
        </w:tc>
      </w:tr>
      <w:tr>
        <w:trPr>
          <w:trHeight w:val="162"/>
        </w:trPr>
        <w:tc>
          <w:tcPr>
            <w:tcW w:w="2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tcPr>
          <w:p>
            <w:pPr>
              <w:jc w:val="center"/>
              <w:ind w:left="155"/>
              <w:spacing w:after="0"/>
              <w:rPr>
                <w:sz w:val="20"/>
                <w:szCs w:val="20"/>
                <w:color w:val="auto"/>
              </w:rPr>
            </w:pPr>
            <w:r>
              <w:rPr>
                <w:rFonts w:ascii="Arial" w:cs="Arial" w:eastAsia="Arial" w:hAnsi="Arial"/>
                <w:sz w:val="14"/>
                <w:szCs w:val="14"/>
                <w:b w:val="1"/>
                <w:bCs w:val="1"/>
                <w:color w:val="auto"/>
                <w:w w:val="98"/>
              </w:rPr>
              <w:t>Directly or</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Within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Beneficially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Common Stock</w:t>
            </w:r>
          </w:p>
        </w:tc>
      </w:tr>
      <w:tr>
        <w:trPr>
          <w:trHeight w:val="203"/>
        </w:trPr>
        <w:tc>
          <w:tcPr>
            <w:tcW w:w="5020" w:type="dxa"/>
            <w:vAlign w:val="bottom"/>
            <w:tcBorders>
              <w:bottom w:val="single" w:sz="8" w:color="005C7D"/>
            </w:tcBorders>
            <w:gridSpan w:val="2"/>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360" w:type="dxa"/>
            <w:vAlign w:val="bottom"/>
            <w:tcBorders>
              <w:bottom w:val="single" w:sz="8" w:color="005C7D"/>
            </w:tcBorders>
          </w:tcPr>
          <w:p>
            <w:pPr>
              <w:jc w:val="center"/>
              <w:ind w:left="155"/>
              <w:spacing w:after="0" w:line="202" w:lineRule="exact"/>
              <w:rPr>
                <w:sz w:val="20"/>
                <w:szCs w:val="20"/>
                <w:color w:val="auto"/>
              </w:rPr>
            </w:pPr>
            <w:r>
              <w:rPr>
                <w:rFonts w:ascii="Arial" w:cs="Arial" w:eastAsia="Arial" w:hAnsi="Arial"/>
                <w:sz w:val="14"/>
                <w:szCs w:val="14"/>
                <w:b w:val="1"/>
                <w:bCs w:val="1"/>
                <w:color w:val="auto"/>
                <w:w w:val="93"/>
              </w:rPr>
              <w:t>Indirectly</w:t>
            </w:r>
            <w:r>
              <w:rPr>
                <w:rFonts w:ascii="Arial" w:cs="Arial" w:eastAsia="Arial" w:hAnsi="Arial"/>
                <w:sz w:val="23"/>
                <w:szCs w:val="23"/>
                <w:b w:val="1"/>
                <w:bCs w:val="1"/>
                <w:color w:val="auto"/>
                <w:w w:val="93"/>
                <w:vertAlign w:val="superscript"/>
              </w:rPr>
              <w:t>(1)</w:t>
            </w:r>
          </w:p>
        </w:tc>
        <w:tc>
          <w:tcPr>
            <w:tcW w:w="1040" w:type="dxa"/>
            <w:vAlign w:val="bottom"/>
            <w:tcBorders>
              <w:bottom w:val="single" w:sz="8" w:color="005C7D"/>
            </w:tcBorders>
          </w:tcPr>
          <w:p>
            <w:pPr>
              <w:jc w:val="center"/>
              <w:spacing w:after="0" w:line="202" w:lineRule="exact"/>
              <w:rPr>
                <w:sz w:val="20"/>
                <w:szCs w:val="20"/>
                <w:color w:val="auto"/>
              </w:rPr>
            </w:pPr>
            <w:r>
              <w:rPr>
                <w:rFonts w:ascii="Arial" w:cs="Arial" w:eastAsia="Arial" w:hAnsi="Arial"/>
                <w:sz w:val="14"/>
                <w:szCs w:val="14"/>
                <w:b w:val="1"/>
                <w:bCs w:val="1"/>
                <w:color w:val="auto"/>
                <w:w w:val="89"/>
              </w:rPr>
              <w:t>60 Days</w:t>
            </w:r>
            <w:r>
              <w:rPr>
                <w:rFonts w:ascii="Arial" w:cs="Arial" w:eastAsia="Arial" w:hAnsi="Arial"/>
                <w:sz w:val="23"/>
                <w:szCs w:val="23"/>
                <w:b w:val="1"/>
                <w:bCs w:val="1"/>
                <w:color w:val="auto"/>
                <w:w w:val="89"/>
                <w:vertAlign w:val="superscript"/>
              </w:rPr>
              <w:t>(2)</w:t>
            </w:r>
          </w:p>
        </w:tc>
        <w:tc>
          <w:tcPr>
            <w:tcW w:w="1000" w:type="dxa"/>
            <w:vAlign w:val="bottom"/>
            <w:tcBorders>
              <w:bottom w:val="single" w:sz="8" w:color="005C7D"/>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140" w:type="dxa"/>
            <w:vAlign w:val="bottom"/>
            <w:tcBorders>
              <w:bottom w:val="single" w:sz="8" w:color="005C7D"/>
            </w:tcBorders>
          </w:tcPr>
          <w:p>
            <w:pPr>
              <w:jc w:val="center"/>
              <w:spacing w:after="0" w:line="202" w:lineRule="exact"/>
              <w:rPr>
                <w:sz w:val="20"/>
                <w:szCs w:val="20"/>
                <w:color w:val="auto"/>
              </w:rPr>
            </w:pPr>
            <w:r>
              <w:rPr>
                <w:rFonts w:ascii="Arial" w:cs="Arial" w:eastAsia="Arial" w:hAnsi="Arial"/>
                <w:sz w:val="14"/>
                <w:szCs w:val="14"/>
                <w:b w:val="1"/>
                <w:bCs w:val="1"/>
                <w:color w:val="auto"/>
                <w:w w:val="88"/>
              </w:rPr>
              <w:t>Outstanding</w:t>
            </w:r>
            <w:r>
              <w:rPr>
                <w:rFonts w:ascii="Arial" w:cs="Arial" w:eastAsia="Arial" w:hAnsi="Arial"/>
                <w:sz w:val="23"/>
                <w:szCs w:val="23"/>
                <w:b w:val="1"/>
                <w:bCs w:val="1"/>
                <w:color w:val="auto"/>
                <w:w w:val="88"/>
                <w:vertAlign w:val="superscript"/>
              </w:rPr>
              <w:t>(3)</w:t>
            </w:r>
          </w:p>
        </w:tc>
      </w:tr>
      <w:tr>
        <w:trPr>
          <w:trHeight w:val="237"/>
        </w:trPr>
        <w:tc>
          <w:tcPr>
            <w:tcW w:w="5020" w:type="dxa"/>
            <w:vAlign w:val="bottom"/>
            <w:gridSpan w:val="2"/>
            <w:shd w:val="clear" w:color="auto" w:fill="CDDAE6"/>
          </w:tcPr>
          <w:p>
            <w:pPr>
              <w:ind w:left="20"/>
              <w:spacing w:after="0"/>
              <w:rPr>
                <w:sz w:val="20"/>
                <w:szCs w:val="20"/>
                <w:color w:val="auto"/>
              </w:rPr>
            </w:pPr>
            <w:r>
              <w:rPr>
                <w:rFonts w:ascii="Arial" w:cs="Arial" w:eastAsia="Arial" w:hAnsi="Arial"/>
                <w:sz w:val="18"/>
                <w:szCs w:val="18"/>
                <w:b w:val="1"/>
                <w:bCs w:val="1"/>
                <w:color w:val="auto"/>
              </w:rPr>
              <w:t>Directors and Named Executive Officers:</w:t>
            </w:r>
          </w:p>
        </w:tc>
        <w:tc>
          <w:tcPr>
            <w:tcW w:w="1360" w:type="dxa"/>
            <w:vAlign w:val="bottom"/>
            <w:shd w:val="clear" w:color="auto" w:fill="CDDAE6"/>
          </w:tcPr>
          <w:p>
            <w:pPr>
              <w:spacing w:after="0"/>
              <w:rPr>
                <w:sz w:val="20"/>
                <w:szCs w:val="20"/>
                <w:color w:val="auto"/>
              </w:rPr>
            </w:pPr>
          </w:p>
        </w:tc>
        <w:tc>
          <w:tcPr>
            <w:tcW w:w="1040" w:type="dxa"/>
            <w:vAlign w:val="bottom"/>
            <w:shd w:val="clear" w:color="auto" w:fill="CDDAE6"/>
          </w:tcPr>
          <w:p>
            <w:pPr>
              <w:spacing w:after="0"/>
              <w:rPr>
                <w:sz w:val="20"/>
                <w:szCs w:val="20"/>
                <w:color w:val="auto"/>
              </w:rPr>
            </w:pPr>
          </w:p>
        </w:tc>
        <w:tc>
          <w:tcPr>
            <w:tcW w:w="1000" w:type="dxa"/>
            <w:vAlign w:val="bottom"/>
            <w:shd w:val="clear" w:color="auto" w:fill="CDDAE6"/>
          </w:tcPr>
          <w:p>
            <w:pPr>
              <w:spacing w:after="0"/>
              <w:rPr>
                <w:sz w:val="20"/>
                <w:szCs w:val="20"/>
                <w:color w:val="auto"/>
              </w:rPr>
            </w:pPr>
          </w:p>
        </w:tc>
        <w:tc>
          <w:tcPr>
            <w:tcW w:w="1140" w:type="dxa"/>
            <w:vAlign w:val="bottom"/>
            <w:shd w:val="clear" w:color="auto" w:fill="CDDAE6"/>
          </w:tcPr>
          <w:p>
            <w:pPr>
              <w:spacing w:after="0"/>
              <w:rPr>
                <w:sz w:val="20"/>
                <w:szCs w:val="20"/>
                <w:color w:val="auto"/>
              </w:rPr>
            </w:pPr>
          </w:p>
        </w:tc>
      </w:tr>
      <w:tr>
        <w:trPr>
          <w:trHeight w:val="237"/>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Michael T. Strianese</w:t>
            </w: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75,125</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1,357,399</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1,432,524</w:t>
            </w:r>
          </w:p>
        </w:tc>
        <w:tc>
          <w:tcPr>
            <w:tcW w:w="1140" w:type="dxa"/>
            <w:vAlign w:val="bottom"/>
          </w:tcPr>
          <w:p>
            <w:pPr>
              <w:ind w:left="720"/>
              <w:spacing w:after="0"/>
              <w:rPr>
                <w:sz w:val="20"/>
                <w:szCs w:val="20"/>
                <w:color w:val="auto"/>
              </w:rPr>
            </w:pPr>
            <w:r>
              <w:rPr>
                <w:rFonts w:ascii="Arial" w:cs="Arial" w:eastAsia="Arial" w:hAnsi="Arial"/>
                <w:sz w:val="18"/>
                <w:szCs w:val="18"/>
                <w:color w:val="auto"/>
                <w:w w:val="97"/>
              </w:rPr>
              <w:t>1.8%</w:t>
            </w:r>
          </w:p>
        </w:tc>
      </w:tr>
      <w:tr>
        <w:trPr>
          <w:trHeight w:val="249"/>
        </w:trPr>
        <w:tc>
          <w:tcPr>
            <w:tcW w:w="5020" w:type="dxa"/>
            <w:vAlign w:val="bottom"/>
            <w:gridSpan w:val="2"/>
            <w:shd w:val="clear" w:color="auto" w:fill="CDDAE6"/>
          </w:tcPr>
          <w:p>
            <w:pPr>
              <w:ind w:left="20"/>
              <w:spacing w:after="0"/>
              <w:rPr>
                <w:sz w:val="20"/>
                <w:szCs w:val="20"/>
                <w:color w:val="auto"/>
              </w:rPr>
            </w:pPr>
            <w:r>
              <w:rPr>
                <w:rFonts w:ascii="Arial" w:cs="Arial" w:eastAsia="Arial" w:hAnsi="Arial"/>
                <w:sz w:val="18"/>
                <w:szCs w:val="18"/>
                <w:color w:val="auto"/>
              </w:rPr>
              <w:t>Christopher E. Kubasik</w:t>
            </w:r>
          </w:p>
        </w:tc>
        <w:tc>
          <w:tcPr>
            <w:tcW w:w="1360" w:type="dxa"/>
            <w:vAlign w:val="bottom"/>
            <w:shd w:val="clear" w:color="auto" w:fill="CDDAE6"/>
          </w:tcPr>
          <w:p>
            <w:pPr>
              <w:jc w:val="right"/>
              <w:ind w:right="55"/>
              <w:spacing w:after="0"/>
              <w:rPr>
                <w:sz w:val="20"/>
                <w:szCs w:val="20"/>
                <w:color w:val="auto"/>
              </w:rPr>
            </w:pPr>
            <w:r>
              <w:rPr>
                <w:rFonts w:ascii="Arial" w:cs="Arial" w:eastAsia="Arial" w:hAnsi="Arial"/>
                <w:sz w:val="18"/>
                <w:szCs w:val="18"/>
                <w:color w:val="auto"/>
              </w:rPr>
              <w:t>311</w:t>
            </w:r>
          </w:p>
        </w:tc>
        <w:tc>
          <w:tcPr>
            <w:tcW w:w="1040" w:type="dxa"/>
            <w:vAlign w:val="bottom"/>
            <w:shd w:val="clear" w:color="auto" w:fill="CDDAE6"/>
          </w:tcPr>
          <w:p>
            <w:pPr>
              <w:jc w:val="right"/>
              <w:ind w:right="55"/>
              <w:spacing w:after="0"/>
              <w:rPr>
                <w:sz w:val="20"/>
                <w:szCs w:val="20"/>
                <w:color w:val="auto"/>
              </w:rPr>
            </w:pPr>
            <w:r>
              <w:rPr>
                <w:rFonts w:ascii="Arial" w:cs="Arial" w:eastAsia="Arial" w:hAnsi="Arial"/>
                <w:sz w:val="18"/>
                <w:szCs w:val="18"/>
                <w:color w:val="auto"/>
              </w:rPr>
              <w:t>36,525</w:t>
            </w:r>
          </w:p>
        </w:tc>
        <w:tc>
          <w:tcPr>
            <w:tcW w:w="1000" w:type="dxa"/>
            <w:vAlign w:val="bottom"/>
            <w:shd w:val="clear" w:color="auto" w:fill="CDDAE6"/>
          </w:tcPr>
          <w:p>
            <w:pPr>
              <w:jc w:val="right"/>
              <w:ind w:right="14"/>
              <w:spacing w:after="0"/>
              <w:rPr>
                <w:sz w:val="20"/>
                <w:szCs w:val="20"/>
                <w:color w:val="auto"/>
              </w:rPr>
            </w:pPr>
            <w:r>
              <w:rPr>
                <w:rFonts w:ascii="Arial" w:cs="Arial" w:eastAsia="Arial" w:hAnsi="Arial"/>
                <w:sz w:val="18"/>
                <w:szCs w:val="18"/>
                <w:color w:val="auto"/>
              </w:rPr>
              <w:t>36,836</w:t>
            </w:r>
          </w:p>
        </w:tc>
        <w:tc>
          <w:tcPr>
            <w:tcW w:w="1140" w:type="dxa"/>
            <w:vAlign w:val="bottom"/>
            <w:shd w:val="clear" w:color="auto" w:fill="CDDAE6"/>
          </w:tcPr>
          <w:p>
            <w:pPr>
              <w:jc w:val="right"/>
              <w:ind w:right="294"/>
              <w:spacing w:after="0"/>
              <w:rPr>
                <w:sz w:val="20"/>
                <w:szCs w:val="20"/>
                <w:color w:val="auto"/>
              </w:rPr>
            </w:pPr>
            <w:r>
              <w:rPr>
                <w:rFonts w:ascii="Arial" w:cs="Arial" w:eastAsia="Arial" w:hAnsi="Arial"/>
                <w:sz w:val="18"/>
                <w:szCs w:val="18"/>
                <w:color w:val="auto"/>
              </w:rPr>
              <w:t>*</w:t>
            </w:r>
          </w:p>
        </w:tc>
      </w:tr>
      <w:tr>
        <w:trPr>
          <w:trHeight w:val="237"/>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Ralph G. D’Ambrosio</w:t>
            </w: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35,166</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237,831</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272,997</w:t>
            </w:r>
          </w:p>
        </w:tc>
        <w:tc>
          <w:tcPr>
            <w:tcW w:w="1140" w:type="dxa"/>
            <w:vAlign w:val="bottom"/>
          </w:tcPr>
          <w:p>
            <w:pPr>
              <w:jc w:val="right"/>
              <w:ind w:right="294"/>
              <w:spacing w:after="0"/>
              <w:rPr>
                <w:sz w:val="20"/>
                <w:szCs w:val="20"/>
                <w:color w:val="auto"/>
              </w:rPr>
            </w:pPr>
            <w:r>
              <w:rPr>
                <w:rFonts w:ascii="Arial" w:cs="Arial" w:eastAsia="Arial" w:hAnsi="Arial"/>
                <w:sz w:val="18"/>
                <w:szCs w:val="18"/>
                <w:color w:val="auto"/>
              </w:rPr>
              <w:t>*</w:t>
            </w:r>
          </w:p>
        </w:tc>
      </w:tr>
      <w:tr>
        <w:trPr>
          <w:trHeight w:val="249"/>
        </w:trPr>
        <w:tc>
          <w:tcPr>
            <w:tcW w:w="5020" w:type="dxa"/>
            <w:vAlign w:val="bottom"/>
            <w:gridSpan w:val="2"/>
            <w:shd w:val="clear" w:color="auto" w:fill="CDDAE6"/>
          </w:tcPr>
          <w:p>
            <w:pPr>
              <w:ind w:left="20"/>
              <w:spacing w:after="0"/>
              <w:rPr>
                <w:sz w:val="20"/>
                <w:szCs w:val="20"/>
                <w:color w:val="auto"/>
              </w:rPr>
            </w:pPr>
            <w:r>
              <w:rPr>
                <w:rFonts w:ascii="Arial" w:cs="Arial" w:eastAsia="Arial" w:hAnsi="Arial"/>
                <w:sz w:val="18"/>
                <w:szCs w:val="18"/>
                <w:color w:val="auto"/>
              </w:rPr>
              <w:t>Curtis Brunson</w:t>
            </w:r>
          </w:p>
        </w:tc>
        <w:tc>
          <w:tcPr>
            <w:tcW w:w="1360" w:type="dxa"/>
            <w:vAlign w:val="bottom"/>
            <w:shd w:val="clear" w:color="auto" w:fill="CDDAE6"/>
          </w:tcPr>
          <w:p>
            <w:pPr>
              <w:jc w:val="right"/>
              <w:ind w:right="55"/>
              <w:spacing w:after="0"/>
              <w:rPr>
                <w:sz w:val="20"/>
                <w:szCs w:val="20"/>
                <w:color w:val="auto"/>
              </w:rPr>
            </w:pPr>
            <w:r>
              <w:rPr>
                <w:rFonts w:ascii="Arial" w:cs="Arial" w:eastAsia="Arial" w:hAnsi="Arial"/>
                <w:sz w:val="18"/>
                <w:szCs w:val="18"/>
                <w:color w:val="auto"/>
              </w:rPr>
              <w:t>70,034</w:t>
            </w:r>
          </w:p>
        </w:tc>
        <w:tc>
          <w:tcPr>
            <w:tcW w:w="1040" w:type="dxa"/>
            <w:vAlign w:val="bottom"/>
            <w:shd w:val="clear" w:color="auto" w:fill="CDDAE6"/>
          </w:tcPr>
          <w:p>
            <w:pPr>
              <w:jc w:val="right"/>
              <w:ind w:right="55"/>
              <w:spacing w:after="0"/>
              <w:rPr>
                <w:sz w:val="20"/>
                <w:szCs w:val="20"/>
                <w:color w:val="auto"/>
              </w:rPr>
            </w:pPr>
            <w:r>
              <w:rPr>
                <w:rFonts w:ascii="Arial" w:cs="Arial" w:eastAsia="Arial" w:hAnsi="Arial"/>
                <w:sz w:val="18"/>
                <w:szCs w:val="18"/>
                <w:color w:val="auto"/>
              </w:rPr>
              <w:t>142,863</w:t>
            </w:r>
          </w:p>
        </w:tc>
        <w:tc>
          <w:tcPr>
            <w:tcW w:w="1000" w:type="dxa"/>
            <w:vAlign w:val="bottom"/>
            <w:shd w:val="clear" w:color="auto" w:fill="CDDAE6"/>
          </w:tcPr>
          <w:p>
            <w:pPr>
              <w:jc w:val="right"/>
              <w:ind w:right="14"/>
              <w:spacing w:after="0"/>
              <w:rPr>
                <w:sz w:val="20"/>
                <w:szCs w:val="20"/>
                <w:color w:val="auto"/>
              </w:rPr>
            </w:pPr>
            <w:r>
              <w:rPr>
                <w:rFonts w:ascii="Arial" w:cs="Arial" w:eastAsia="Arial" w:hAnsi="Arial"/>
                <w:sz w:val="18"/>
                <w:szCs w:val="18"/>
                <w:color w:val="auto"/>
              </w:rPr>
              <w:t>212,897</w:t>
            </w:r>
          </w:p>
        </w:tc>
        <w:tc>
          <w:tcPr>
            <w:tcW w:w="1140" w:type="dxa"/>
            <w:vAlign w:val="bottom"/>
            <w:shd w:val="clear" w:color="auto" w:fill="CDDAE6"/>
          </w:tcPr>
          <w:p>
            <w:pPr>
              <w:jc w:val="right"/>
              <w:ind w:right="294"/>
              <w:spacing w:after="0"/>
              <w:rPr>
                <w:sz w:val="20"/>
                <w:szCs w:val="20"/>
                <w:color w:val="auto"/>
              </w:rPr>
            </w:pPr>
            <w:r>
              <w:rPr>
                <w:rFonts w:ascii="Arial" w:cs="Arial" w:eastAsia="Arial" w:hAnsi="Arial"/>
                <w:sz w:val="18"/>
                <w:szCs w:val="18"/>
                <w:color w:val="auto"/>
              </w:rPr>
              <w:t>*</w:t>
            </w:r>
          </w:p>
        </w:tc>
      </w:tr>
      <w:tr>
        <w:trPr>
          <w:trHeight w:val="237"/>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Steve Kantor</w:t>
            </w: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29,699</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49,364</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79,063</w:t>
            </w:r>
          </w:p>
        </w:tc>
        <w:tc>
          <w:tcPr>
            <w:tcW w:w="1140" w:type="dxa"/>
            <w:vAlign w:val="bottom"/>
          </w:tcPr>
          <w:p>
            <w:pPr>
              <w:jc w:val="right"/>
              <w:ind w:right="294"/>
              <w:spacing w:after="0"/>
              <w:rPr>
                <w:sz w:val="20"/>
                <w:szCs w:val="20"/>
                <w:color w:val="auto"/>
              </w:rPr>
            </w:pPr>
            <w:r>
              <w:rPr>
                <w:rFonts w:ascii="Arial" w:cs="Arial" w:eastAsia="Arial" w:hAnsi="Arial"/>
                <w:sz w:val="18"/>
                <w:szCs w:val="18"/>
                <w:color w:val="auto"/>
              </w:rPr>
              <w:t>*</w:t>
            </w:r>
          </w:p>
        </w:tc>
      </w:tr>
      <w:tr>
        <w:trPr>
          <w:trHeight w:val="249"/>
        </w:trPr>
        <w:tc>
          <w:tcPr>
            <w:tcW w:w="5020" w:type="dxa"/>
            <w:vAlign w:val="bottom"/>
            <w:gridSpan w:val="2"/>
            <w:shd w:val="clear" w:color="auto" w:fill="CDDAE6"/>
          </w:tcPr>
          <w:p>
            <w:pPr>
              <w:ind w:left="20"/>
              <w:spacing w:after="0"/>
              <w:rPr>
                <w:sz w:val="20"/>
                <w:szCs w:val="20"/>
                <w:color w:val="auto"/>
              </w:rPr>
            </w:pPr>
            <w:r>
              <w:rPr>
                <w:rFonts w:ascii="Arial" w:cs="Arial" w:eastAsia="Arial" w:hAnsi="Arial"/>
                <w:sz w:val="18"/>
                <w:szCs w:val="18"/>
                <w:color w:val="auto"/>
              </w:rPr>
              <w:t>Claude R. Canizares</w:t>
            </w:r>
          </w:p>
        </w:tc>
        <w:tc>
          <w:tcPr>
            <w:tcW w:w="1360" w:type="dxa"/>
            <w:vAlign w:val="bottom"/>
            <w:shd w:val="clear" w:color="auto" w:fill="CDDAE6"/>
          </w:tcPr>
          <w:p>
            <w:pPr>
              <w:jc w:val="right"/>
              <w:ind w:right="55"/>
              <w:spacing w:after="0"/>
              <w:rPr>
                <w:sz w:val="20"/>
                <w:szCs w:val="20"/>
                <w:color w:val="auto"/>
              </w:rPr>
            </w:pPr>
            <w:r>
              <w:rPr>
                <w:rFonts w:ascii="Arial" w:cs="Arial" w:eastAsia="Arial" w:hAnsi="Arial"/>
                <w:sz w:val="18"/>
                <w:szCs w:val="18"/>
                <w:color w:val="auto"/>
              </w:rPr>
              <w:t>4,717</w:t>
            </w:r>
          </w:p>
        </w:tc>
        <w:tc>
          <w:tcPr>
            <w:tcW w:w="1040" w:type="dxa"/>
            <w:vAlign w:val="bottom"/>
            <w:shd w:val="clear" w:color="auto" w:fill="CDDAE6"/>
          </w:tcPr>
          <w:p>
            <w:pPr>
              <w:jc w:val="right"/>
              <w:ind w:right="55"/>
              <w:spacing w:after="0"/>
              <w:rPr>
                <w:sz w:val="20"/>
                <w:szCs w:val="20"/>
                <w:color w:val="auto"/>
              </w:rPr>
            </w:pPr>
            <w:r>
              <w:rPr>
                <w:rFonts w:ascii="Arial" w:cs="Arial" w:eastAsia="Arial" w:hAnsi="Arial"/>
                <w:sz w:val="18"/>
                <w:szCs w:val="18"/>
                <w:color w:val="auto"/>
              </w:rPr>
              <w:t>14,212</w:t>
            </w:r>
          </w:p>
        </w:tc>
        <w:tc>
          <w:tcPr>
            <w:tcW w:w="1000" w:type="dxa"/>
            <w:vAlign w:val="bottom"/>
            <w:shd w:val="clear" w:color="auto" w:fill="CDDAE6"/>
          </w:tcPr>
          <w:p>
            <w:pPr>
              <w:jc w:val="right"/>
              <w:ind w:right="14"/>
              <w:spacing w:after="0"/>
              <w:rPr>
                <w:sz w:val="20"/>
                <w:szCs w:val="20"/>
                <w:color w:val="auto"/>
              </w:rPr>
            </w:pPr>
            <w:r>
              <w:rPr>
                <w:rFonts w:ascii="Arial" w:cs="Arial" w:eastAsia="Arial" w:hAnsi="Arial"/>
                <w:sz w:val="18"/>
                <w:szCs w:val="18"/>
                <w:color w:val="auto"/>
              </w:rPr>
              <w:t>18,929</w:t>
            </w:r>
          </w:p>
        </w:tc>
        <w:tc>
          <w:tcPr>
            <w:tcW w:w="1140" w:type="dxa"/>
            <w:vAlign w:val="bottom"/>
            <w:shd w:val="clear" w:color="auto" w:fill="CDDAE6"/>
          </w:tcPr>
          <w:p>
            <w:pPr>
              <w:jc w:val="right"/>
              <w:ind w:right="294"/>
              <w:spacing w:after="0"/>
              <w:rPr>
                <w:sz w:val="20"/>
                <w:szCs w:val="20"/>
                <w:color w:val="auto"/>
              </w:rPr>
            </w:pPr>
            <w:r>
              <w:rPr>
                <w:rFonts w:ascii="Arial" w:cs="Arial" w:eastAsia="Arial" w:hAnsi="Arial"/>
                <w:sz w:val="18"/>
                <w:szCs w:val="18"/>
                <w:color w:val="auto"/>
              </w:rPr>
              <w:t>*</w:t>
            </w:r>
          </w:p>
        </w:tc>
      </w:tr>
      <w:tr>
        <w:trPr>
          <w:trHeight w:val="237"/>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Thomas A. Corcoran</w:t>
            </w: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2,502</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17,544</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20,046</w:t>
            </w:r>
          </w:p>
        </w:tc>
        <w:tc>
          <w:tcPr>
            <w:tcW w:w="1140" w:type="dxa"/>
            <w:vAlign w:val="bottom"/>
          </w:tcPr>
          <w:p>
            <w:pPr>
              <w:jc w:val="right"/>
              <w:ind w:right="294"/>
              <w:spacing w:after="0"/>
              <w:rPr>
                <w:sz w:val="20"/>
                <w:szCs w:val="20"/>
                <w:color w:val="auto"/>
              </w:rPr>
            </w:pPr>
            <w:r>
              <w:rPr>
                <w:rFonts w:ascii="Arial" w:cs="Arial" w:eastAsia="Arial" w:hAnsi="Arial"/>
                <w:sz w:val="18"/>
                <w:szCs w:val="18"/>
                <w:color w:val="auto"/>
              </w:rPr>
              <w:t>*</w:t>
            </w:r>
          </w:p>
        </w:tc>
      </w:tr>
      <w:tr>
        <w:trPr>
          <w:trHeight w:val="249"/>
        </w:trPr>
        <w:tc>
          <w:tcPr>
            <w:tcW w:w="5020" w:type="dxa"/>
            <w:vAlign w:val="bottom"/>
            <w:gridSpan w:val="2"/>
            <w:shd w:val="clear" w:color="auto" w:fill="CDDAE6"/>
          </w:tcPr>
          <w:p>
            <w:pPr>
              <w:ind w:left="20"/>
              <w:spacing w:after="0"/>
              <w:rPr>
                <w:sz w:val="20"/>
                <w:szCs w:val="20"/>
                <w:color w:val="auto"/>
              </w:rPr>
            </w:pPr>
            <w:r>
              <w:rPr>
                <w:rFonts w:ascii="Arial" w:cs="Arial" w:eastAsia="Arial" w:hAnsi="Arial"/>
                <w:sz w:val="18"/>
                <w:szCs w:val="18"/>
                <w:color w:val="auto"/>
              </w:rPr>
              <w:t>Ann E. Dunwoody</w:t>
            </w:r>
          </w:p>
        </w:tc>
        <w:tc>
          <w:tcPr>
            <w:tcW w:w="1360" w:type="dxa"/>
            <w:vAlign w:val="bottom"/>
            <w:shd w:val="clear" w:color="auto" w:fill="CDDAE6"/>
          </w:tcPr>
          <w:p>
            <w:pPr>
              <w:jc w:val="right"/>
              <w:ind w:right="5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DDAE6"/>
          </w:tcPr>
          <w:p>
            <w:pPr>
              <w:jc w:val="right"/>
              <w:ind w:right="55"/>
              <w:spacing w:after="0"/>
              <w:rPr>
                <w:sz w:val="20"/>
                <w:szCs w:val="20"/>
                <w:color w:val="auto"/>
              </w:rPr>
            </w:pPr>
            <w:r>
              <w:rPr>
                <w:rFonts w:ascii="Arial" w:cs="Arial" w:eastAsia="Arial" w:hAnsi="Arial"/>
                <w:sz w:val="18"/>
                <w:szCs w:val="18"/>
                <w:color w:val="auto"/>
              </w:rPr>
              <w:t>7,268</w:t>
            </w:r>
          </w:p>
        </w:tc>
        <w:tc>
          <w:tcPr>
            <w:tcW w:w="1000" w:type="dxa"/>
            <w:vAlign w:val="bottom"/>
            <w:shd w:val="clear" w:color="auto" w:fill="CDDAE6"/>
          </w:tcPr>
          <w:p>
            <w:pPr>
              <w:jc w:val="right"/>
              <w:ind w:right="14"/>
              <w:spacing w:after="0"/>
              <w:rPr>
                <w:sz w:val="20"/>
                <w:szCs w:val="20"/>
                <w:color w:val="auto"/>
              </w:rPr>
            </w:pPr>
            <w:r>
              <w:rPr>
                <w:rFonts w:ascii="Arial" w:cs="Arial" w:eastAsia="Arial" w:hAnsi="Arial"/>
                <w:sz w:val="18"/>
                <w:szCs w:val="18"/>
                <w:color w:val="auto"/>
              </w:rPr>
              <w:t>7,268</w:t>
            </w:r>
          </w:p>
        </w:tc>
        <w:tc>
          <w:tcPr>
            <w:tcW w:w="1140" w:type="dxa"/>
            <w:vAlign w:val="bottom"/>
            <w:shd w:val="clear" w:color="auto" w:fill="CDDAE6"/>
          </w:tcPr>
          <w:p>
            <w:pPr>
              <w:jc w:val="right"/>
              <w:ind w:right="294"/>
              <w:spacing w:after="0"/>
              <w:rPr>
                <w:sz w:val="20"/>
                <w:szCs w:val="20"/>
                <w:color w:val="auto"/>
              </w:rPr>
            </w:pPr>
            <w:r>
              <w:rPr>
                <w:rFonts w:ascii="Arial" w:cs="Arial" w:eastAsia="Arial" w:hAnsi="Arial"/>
                <w:sz w:val="18"/>
                <w:szCs w:val="18"/>
                <w:color w:val="auto"/>
              </w:rPr>
              <w:t>*</w:t>
            </w:r>
          </w:p>
        </w:tc>
      </w:tr>
      <w:tr>
        <w:trPr>
          <w:trHeight w:val="237"/>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Lewis Kramer</w:t>
            </w: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1,300</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10,855</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12,155</w:t>
            </w:r>
          </w:p>
        </w:tc>
        <w:tc>
          <w:tcPr>
            <w:tcW w:w="1140" w:type="dxa"/>
            <w:vAlign w:val="bottom"/>
          </w:tcPr>
          <w:p>
            <w:pPr>
              <w:jc w:val="right"/>
              <w:ind w:right="294"/>
              <w:spacing w:after="0"/>
              <w:rPr>
                <w:sz w:val="20"/>
                <w:szCs w:val="20"/>
                <w:color w:val="auto"/>
              </w:rPr>
            </w:pPr>
            <w:r>
              <w:rPr>
                <w:rFonts w:ascii="Arial" w:cs="Arial" w:eastAsia="Arial" w:hAnsi="Arial"/>
                <w:sz w:val="18"/>
                <w:szCs w:val="18"/>
                <w:color w:val="auto"/>
              </w:rPr>
              <w:t>*</w:t>
            </w:r>
          </w:p>
        </w:tc>
      </w:tr>
      <w:tr>
        <w:trPr>
          <w:trHeight w:val="290"/>
        </w:trPr>
        <w:tc>
          <w:tcPr>
            <w:tcW w:w="5020" w:type="dxa"/>
            <w:vAlign w:val="bottom"/>
            <w:gridSpan w:val="2"/>
            <w:shd w:val="clear" w:color="auto" w:fill="CDDAE6"/>
          </w:tcPr>
          <w:p>
            <w:pPr>
              <w:ind w:left="20"/>
              <w:spacing w:after="0" w:line="290" w:lineRule="exact"/>
              <w:rPr>
                <w:sz w:val="20"/>
                <w:szCs w:val="20"/>
                <w:color w:val="auto"/>
              </w:rPr>
            </w:pPr>
            <w:r>
              <w:rPr>
                <w:rFonts w:ascii="Arial" w:cs="Arial" w:eastAsia="Arial" w:hAnsi="Arial"/>
                <w:sz w:val="18"/>
                <w:szCs w:val="18"/>
                <w:color w:val="auto"/>
              </w:rPr>
              <w:t>Robert B. Millard</w:t>
            </w:r>
            <w:r>
              <w:rPr>
                <w:rFonts w:ascii="Arial" w:cs="Arial" w:eastAsia="Arial" w:hAnsi="Arial"/>
                <w:sz w:val="29"/>
                <w:szCs w:val="29"/>
                <w:color w:val="auto"/>
                <w:vertAlign w:val="superscript"/>
              </w:rPr>
              <w:t>(4)</w:t>
            </w:r>
          </w:p>
        </w:tc>
        <w:tc>
          <w:tcPr>
            <w:tcW w:w="1360" w:type="dxa"/>
            <w:vAlign w:val="bottom"/>
            <w:shd w:val="clear" w:color="auto" w:fill="CDDAE6"/>
          </w:tcPr>
          <w:p>
            <w:pPr>
              <w:jc w:val="right"/>
              <w:ind w:right="55"/>
              <w:spacing w:after="0"/>
              <w:rPr>
                <w:sz w:val="20"/>
                <w:szCs w:val="20"/>
                <w:color w:val="auto"/>
              </w:rPr>
            </w:pPr>
            <w:r>
              <w:rPr>
                <w:rFonts w:ascii="Arial" w:cs="Arial" w:eastAsia="Arial" w:hAnsi="Arial"/>
                <w:sz w:val="18"/>
                <w:szCs w:val="18"/>
                <w:color w:val="auto"/>
              </w:rPr>
              <w:t>322,535</w:t>
            </w:r>
          </w:p>
        </w:tc>
        <w:tc>
          <w:tcPr>
            <w:tcW w:w="1040" w:type="dxa"/>
            <w:vAlign w:val="bottom"/>
            <w:shd w:val="clear" w:color="auto" w:fill="CDDAE6"/>
          </w:tcPr>
          <w:p>
            <w:pPr>
              <w:jc w:val="right"/>
              <w:ind w:right="55"/>
              <w:spacing w:after="0"/>
              <w:rPr>
                <w:sz w:val="20"/>
                <w:szCs w:val="20"/>
                <w:color w:val="auto"/>
              </w:rPr>
            </w:pPr>
            <w:r>
              <w:rPr>
                <w:rFonts w:ascii="Arial" w:cs="Arial" w:eastAsia="Arial" w:hAnsi="Arial"/>
                <w:sz w:val="18"/>
                <w:szCs w:val="18"/>
                <w:color w:val="auto"/>
              </w:rPr>
              <w:t>21,160</w:t>
            </w:r>
          </w:p>
        </w:tc>
        <w:tc>
          <w:tcPr>
            <w:tcW w:w="1000" w:type="dxa"/>
            <w:vAlign w:val="bottom"/>
            <w:shd w:val="clear" w:color="auto" w:fill="CDDAE6"/>
          </w:tcPr>
          <w:p>
            <w:pPr>
              <w:jc w:val="right"/>
              <w:ind w:right="14"/>
              <w:spacing w:after="0"/>
              <w:rPr>
                <w:sz w:val="20"/>
                <w:szCs w:val="20"/>
                <w:color w:val="auto"/>
              </w:rPr>
            </w:pPr>
            <w:r>
              <w:rPr>
                <w:rFonts w:ascii="Arial" w:cs="Arial" w:eastAsia="Arial" w:hAnsi="Arial"/>
                <w:sz w:val="18"/>
                <w:szCs w:val="18"/>
                <w:color w:val="auto"/>
              </w:rPr>
              <w:t>343,695</w:t>
            </w:r>
          </w:p>
        </w:tc>
        <w:tc>
          <w:tcPr>
            <w:tcW w:w="1140" w:type="dxa"/>
            <w:vAlign w:val="bottom"/>
            <w:shd w:val="clear" w:color="auto" w:fill="CDDAE6"/>
          </w:tcPr>
          <w:p>
            <w:pPr>
              <w:jc w:val="right"/>
              <w:ind w:right="294"/>
              <w:spacing w:after="0"/>
              <w:rPr>
                <w:sz w:val="20"/>
                <w:szCs w:val="20"/>
                <w:color w:val="auto"/>
              </w:rPr>
            </w:pPr>
            <w:r>
              <w:rPr>
                <w:rFonts w:ascii="Arial" w:cs="Arial" w:eastAsia="Arial" w:hAnsi="Arial"/>
                <w:sz w:val="18"/>
                <w:szCs w:val="18"/>
                <w:color w:val="auto"/>
              </w:rPr>
              <w:t>*</w:t>
            </w:r>
          </w:p>
        </w:tc>
      </w:tr>
      <w:tr>
        <w:trPr>
          <w:trHeight w:val="237"/>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Lloyd W. Newton</w:t>
            </w: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5,995</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5,995</w:t>
            </w:r>
          </w:p>
        </w:tc>
        <w:tc>
          <w:tcPr>
            <w:tcW w:w="1140" w:type="dxa"/>
            <w:vAlign w:val="bottom"/>
          </w:tcPr>
          <w:p>
            <w:pPr>
              <w:jc w:val="right"/>
              <w:ind w:right="294"/>
              <w:spacing w:after="0"/>
              <w:rPr>
                <w:sz w:val="20"/>
                <w:szCs w:val="20"/>
                <w:color w:val="auto"/>
              </w:rPr>
            </w:pPr>
            <w:r>
              <w:rPr>
                <w:rFonts w:ascii="Arial" w:cs="Arial" w:eastAsia="Arial" w:hAnsi="Arial"/>
                <w:sz w:val="18"/>
                <w:szCs w:val="18"/>
                <w:color w:val="auto"/>
              </w:rPr>
              <w:t>*</w:t>
            </w:r>
          </w:p>
        </w:tc>
      </w:tr>
      <w:tr>
        <w:trPr>
          <w:trHeight w:val="249"/>
        </w:trPr>
        <w:tc>
          <w:tcPr>
            <w:tcW w:w="5020" w:type="dxa"/>
            <w:vAlign w:val="bottom"/>
            <w:gridSpan w:val="2"/>
            <w:shd w:val="clear" w:color="auto" w:fill="CDDAE6"/>
          </w:tcPr>
          <w:p>
            <w:pPr>
              <w:ind w:left="20"/>
              <w:spacing w:after="0"/>
              <w:rPr>
                <w:sz w:val="20"/>
                <w:szCs w:val="20"/>
                <w:color w:val="auto"/>
              </w:rPr>
            </w:pPr>
            <w:r>
              <w:rPr>
                <w:rFonts w:ascii="Arial" w:cs="Arial" w:eastAsia="Arial" w:hAnsi="Arial"/>
                <w:sz w:val="18"/>
                <w:szCs w:val="18"/>
                <w:color w:val="auto"/>
              </w:rPr>
              <w:t>Vincent Pagano, Jr.</w:t>
            </w:r>
          </w:p>
        </w:tc>
        <w:tc>
          <w:tcPr>
            <w:tcW w:w="1360" w:type="dxa"/>
            <w:vAlign w:val="bottom"/>
            <w:shd w:val="clear" w:color="auto" w:fill="CDDAE6"/>
          </w:tcPr>
          <w:p>
            <w:pPr>
              <w:jc w:val="right"/>
              <w:ind w:right="5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DDAE6"/>
          </w:tcPr>
          <w:p>
            <w:pPr>
              <w:jc w:val="right"/>
              <w:ind w:right="55"/>
              <w:spacing w:after="0"/>
              <w:rPr>
                <w:sz w:val="20"/>
                <w:szCs w:val="20"/>
                <w:color w:val="auto"/>
              </w:rPr>
            </w:pPr>
            <w:r>
              <w:rPr>
                <w:rFonts w:ascii="Arial" w:cs="Arial" w:eastAsia="Arial" w:hAnsi="Arial"/>
                <w:sz w:val="18"/>
                <w:szCs w:val="18"/>
                <w:color w:val="auto"/>
              </w:rPr>
              <w:t>5,365</w:t>
            </w:r>
          </w:p>
        </w:tc>
        <w:tc>
          <w:tcPr>
            <w:tcW w:w="1000" w:type="dxa"/>
            <w:vAlign w:val="bottom"/>
            <w:shd w:val="clear" w:color="auto" w:fill="CDDAE6"/>
          </w:tcPr>
          <w:p>
            <w:pPr>
              <w:jc w:val="right"/>
              <w:ind w:right="14"/>
              <w:spacing w:after="0"/>
              <w:rPr>
                <w:sz w:val="20"/>
                <w:szCs w:val="20"/>
                <w:color w:val="auto"/>
              </w:rPr>
            </w:pPr>
            <w:r>
              <w:rPr>
                <w:rFonts w:ascii="Arial" w:cs="Arial" w:eastAsia="Arial" w:hAnsi="Arial"/>
                <w:sz w:val="18"/>
                <w:szCs w:val="18"/>
                <w:color w:val="auto"/>
              </w:rPr>
              <w:t>5,365</w:t>
            </w:r>
          </w:p>
        </w:tc>
        <w:tc>
          <w:tcPr>
            <w:tcW w:w="1140" w:type="dxa"/>
            <w:vAlign w:val="bottom"/>
            <w:shd w:val="clear" w:color="auto" w:fill="CDDAE6"/>
          </w:tcPr>
          <w:p>
            <w:pPr>
              <w:jc w:val="right"/>
              <w:ind w:right="294"/>
              <w:spacing w:after="0"/>
              <w:rPr>
                <w:sz w:val="20"/>
                <w:szCs w:val="20"/>
                <w:color w:val="auto"/>
              </w:rPr>
            </w:pPr>
            <w:r>
              <w:rPr>
                <w:rFonts w:ascii="Arial" w:cs="Arial" w:eastAsia="Arial" w:hAnsi="Arial"/>
                <w:sz w:val="18"/>
                <w:szCs w:val="18"/>
                <w:color w:val="auto"/>
              </w:rPr>
              <w:t>*</w:t>
            </w:r>
          </w:p>
        </w:tc>
      </w:tr>
      <w:tr>
        <w:trPr>
          <w:trHeight w:val="237"/>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H. Hugh Shelton</w:t>
            </w: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8,301</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8,301</w:t>
            </w:r>
          </w:p>
        </w:tc>
        <w:tc>
          <w:tcPr>
            <w:tcW w:w="1140" w:type="dxa"/>
            <w:vAlign w:val="bottom"/>
          </w:tcPr>
          <w:p>
            <w:pPr>
              <w:jc w:val="right"/>
              <w:ind w:right="294"/>
              <w:spacing w:after="0"/>
              <w:rPr>
                <w:sz w:val="20"/>
                <w:szCs w:val="20"/>
                <w:color w:val="auto"/>
              </w:rPr>
            </w:pPr>
            <w:r>
              <w:rPr>
                <w:rFonts w:ascii="Arial" w:cs="Arial" w:eastAsia="Arial" w:hAnsi="Arial"/>
                <w:sz w:val="18"/>
                <w:szCs w:val="18"/>
                <w:color w:val="auto"/>
              </w:rPr>
              <w:t>*</w:t>
            </w:r>
          </w:p>
        </w:tc>
      </w:tr>
      <w:tr>
        <w:trPr>
          <w:trHeight w:val="249"/>
        </w:trPr>
        <w:tc>
          <w:tcPr>
            <w:tcW w:w="5020" w:type="dxa"/>
            <w:vAlign w:val="bottom"/>
            <w:gridSpan w:val="2"/>
            <w:shd w:val="clear" w:color="auto" w:fill="CDDAE6"/>
          </w:tcPr>
          <w:p>
            <w:pPr>
              <w:ind w:left="20"/>
              <w:spacing w:after="0"/>
              <w:rPr>
                <w:sz w:val="20"/>
                <w:szCs w:val="20"/>
                <w:color w:val="auto"/>
              </w:rPr>
            </w:pPr>
            <w:r>
              <w:rPr>
                <w:rFonts w:ascii="Arial" w:cs="Arial" w:eastAsia="Arial" w:hAnsi="Arial"/>
                <w:sz w:val="18"/>
                <w:szCs w:val="18"/>
                <w:color w:val="auto"/>
              </w:rPr>
              <w:t>Arthur L. Simon</w:t>
            </w:r>
          </w:p>
        </w:tc>
        <w:tc>
          <w:tcPr>
            <w:tcW w:w="1360" w:type="dxa"/>
            <w:vAlign w:val="bottom"/>
            <w:shd w:val="clear" w:color="auto" w:fill="CDDAE6"/>
          </w:tcPr>
          <w:p>
            <w:pPr>
              <w:jc w:val="right"/>
              <w:ind w:right="5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DDAE6"/>
          </w:tcPr>
          <w:p>
            <w:pPr>
              <w:jc w:val="right"/>
              <w:ind w:right="55"/>
              <w:spacing w:after="0"/>
              <w:rPr>
                <w:sz w:val="20"/>
                <w:szCs w:val="20"/>
                <w:color w:val="auto"/>
              </w:rPr>
            </w:pPr>
            <w:r>
              <w:rPr>
                <w:rFonts w:ascii="Arial" w:cs="Arial" w:eastAsia="Arial" w:hAnsi="Arial"/>
                <w:sz w:val="18"/>
                <w:szCs w:val="18"/>
                <w:color w:val="auto"/>
              </w:rPr>
              <w:t>11,231</w:t>
            </w:r>
          </w:p>
        </w:tc>
        <w:tc>
          <w:tcPr>
            <w:tcW w:w="1000" w:type="dxa"/>
            <w:vAlign w:val="bottom"/>
            <w:shd w:val="clear" w:color="auto" w:fill="CDDAE6"/>
          </w:tcPr>
          <w:p>
            <w:pPr>
              <w:jc w:val="right"/>
              <w:ind w:right="14"/>
              <w:spacing w:after="0"/>
              <w:rPr>
                <w:sz w:val="20"/>
                <w:szCs w:val="20"/>
                <w:color w:val="auto"/>
              </w:rPr>
            </w:pPr>
            <w:r>
              <w:rPr>
                <w:rFonts w:ascii="Arial" w:cs="Arial" w:eastAsia="Arial" w:hAnsi="Arial"/>
                <w:sz w:val="18"/>
                <w:szCs w:val="18"/>
                <w:color w:val="auto"/>
              </w:rPr>
              <w:t>11,231</w:t>
            </w:r>
          </w:p>
        </w:tc>
        <w:tc>
          <w:tcPr>
            <w:tcW w:w="1140" w:type="dxa"/>
            <w:vAlign w:val="bottom"/>
            <w:shd w:val="clear" w:color="auto" w:fill="CDDAE6"/>
          </w:tcPr>
          <w:p>
            <w:pPr>
              <w:jc w:val="right"/>
              <w:ind w:right="294"/>
              <w:spacing w:after="0"/>
              <w:rPr>
                <w:sz w:val="20"/>
                <w:szCs w:val="20"/>
                <w:color w:val="auto"/>
              </w:rPr>
            </w:pPr>
            <w:r>
              <w:rPr>
                <w:rFonts w:ascii="Arial" w:cs="Arial" w:eastAsia="Arial" w:hAnsi="Arial"/>
                <w:sz w:val="18"/>
                <w:szCs w:val="18"/>
                <w:color w:val="auto"/>
              </w:rPr>
              <w:t>*</w:t>
            </w:r>
          </w:p>
        </w:tc>
      </w:tr>
      <w:tr>
        <w:trPr>
          <w:trHeight w:val="284"/>
        </w:trPr>
        <w:tc>
          <w:tcPr>
            <w:tcW w:w="5020" w:type="dxa"/>
            <w:vAlign w:val="bottom"/>
            <w:tcBorders>
              <w:bottom w:val="single" w:sz="8" w:color="005C7D"/>
            </w:tcBorders>
            <w:gridSpan w:val="2"/>
          </w:tcPr>
          <w:p>
            <w:pPr>
              <w:ind w:left="20"/>
              <w:spacing w:after="0" w:line="284" w:lineRule="exact"/>
              <w:rPr>
                <w:sz w:val="20"/>
                <w:szCs w:val="20"/>
                <w:color w:val="auto"/>
              </w:rPr>
            </w:pPr>
            <w:r>
              <w:rPr>
                <w:rFonts w:ascii="Arial" w:cs="Arial" w:eastAsia="Arial" w:hAnsi="Arial"/>
                <w:sz w:val="18"/>
                <w:szCs w:val="18"/>
                <w:b w:val="1"/>
                <w:bCs w:val="1"/>
                <w:color w:val="auto"/>
                <w:w w:val="97"/>
              </w:rPr>
              <w:t>Directors and Executive Officers as a Group (17 persons)</w:t>
            </w:r>
            <w:r>
              <w:rPr>
                <w:rFonts w:ascii="Arial" w:cs="Arial" w:eastAsia="Arial" w:hAnsi="Arial"/>
                <w:sz w:val="29"/>
                <w:szCs w:val="29"/>
                <w:b w:val="1"/>
                <w:bCs w:val="1"/>
                <w:color w:val="auto"/>
                <w:w w:val="97"/>
                <w:vertAlign w:val="superscript"/>
              </w:rPr>
              <w:t>(5)</w:t>
            </w:r>
          </w:p>
        </w:tc>
        <w:tc>
          <w:tcPr>
            <w:tcW w:w="1360" w:type="dxa"/>
            <w:vAlign w:val="bottom"/>
            <w:tcBorders>
              <w:bottom w:val="single" w:sz="8" w:color="005C7D"/>
            </w:tcBorders>
          </w:tcPr>
          <w:p>
            <w:pPr>
              <w:jc w:val="right"/>
              <w:ind w:right="55"/>
              <w:spacing w:after="0"/>
              <w:rPr>
                <w:sz w:val="20"/>
                <w:szCs w:val="20"/>
                <w:color w:val="auto"/>
              </w:rPr>
            </w:pPr>
            <w:r>
              <w:rPr>
                <w:rFonts w:ascii="Arial" w:cs="Arial" w:eastAsia="Arial" w:hAnsi="Arial"/>
                <w:sz w:val="18"/>
                <w:szCs w:val="18"/>
                <w:b w:val="1"/>
                <w:bCs w:val="1"/>
                <w:color w:val="auto"/>
              </w:rPr>
              <w:t>461,594</w:t>
            </w:r>
          </w:p>
        </w:tc>
        <w:tc>
          <w:tcPr>
            <w:tcW w:w="1040" w:type="dxa"/>
            <w:vAlign w:val="bottom"/>
            <w:tcBorders>
              <w:bottom w:val="single" w:sz="8" w:color="005C7D"/>
            </w:tcBorders>
          </w:tcPr>
          <w:p>
            <w:pPr>
              <w:jc w:val="right"/>
              <w:ind w:right="55"/>
              <w:spacing w:after="0"/>
              <w:rPr>
                <w:sz w:val="20"/>
                <w:szCs w:val="20"/>
                <w:color w:val="auto"/>
              </w:rPr>
            </w:pPr>
            <w:r>
              <w:rPr>
                <w:rFonts w:ascii="Arial" w:cs="Arial" w:eastAsia="Arial" w:hAnsi="Arial"/>
                <w:sz w:val="18"/>
                <w:szCs w:val="18"/>
                <w:b w:val="1"/>
                <w:bCs w:val="1"/>
                <w:color w:val="auto"/>
              </w:rPr>
              <w:t>1,785,257</w:t>
            </w:r>
          </w:p>
        </w:tc>
        <w:tc>
          <w:tcPr>
            <w:tcW w:w="1000" w:type="dxa"/>
            <w:vAlign w:val="bottom"/>
            <w:tcBorders>
              <w:bottom w:val="single" w:sz="8" w:color="005C7D"/>
            </w:tcBorders>
          </w:tcPr>
          <w:p>
            <w:pPr>
              <w:jc w:val="right"/>
              <w:ind w:right="14"/>
              <w:spacing w:after="0"/>
              <w:rPr>
                <w:sz w:val="20"/>
                <w:szCs w:val="20"/>
                <w:color w:val="auto"/>
              </w:rPr>
            </w:pPr>
            <w:r>
              <w:rPr>
                <w:rFonts w:ascii="Arial" w:cs="Arial" w:eastAsia="Arial" w:hAnsi="Arial"/>
                <w:sz w:val="18"/>
                <w:szCs w:val="18"/>
                <w:b w:val="1"/>
                <w:bCs w:val="1"/>
                <w:color w:val="auto"/>
              </w:rPr>
              <w:t>2,246,851</w:t>
            </w:r>
          </w:p>
        </w:tc>
        <w:tc>
          <w:tcPr>
            <w:tcW w:w="1140" w:type="dxa"/>
            <w:vAlign w:val="bottom"/>
            <w:tcBorders>
              <w:bottom w:val="single" w:sz="8" w:color="005C7D"/>
            </w:tcBorders>
          </w:tcPr>
          <w:p>
            <w:pPr>
              <w:ind w:left="720"/>
              <w:spacing w:after="0"/>
              <w:rPr>
                <w:sz w:val="20"/>
                <w:szCs w:val="20"/>
                <w:color w:val="auto"/>
              </w:rPr>
            </w:pPr>
            <w:r>
              <w:rPr>
                <w:rFonts w:ascii="Arial" w:cs="Arial" w:eastAsia="Arial" w:hAnsi="Arial"/>
                <w:sz w:val="18"/>
                <w:szCs w:val="18"/>
                <w:b w:val="1"/>
                <w:bCs w:val="1"/>
                <w:color w:val="auto"/>
                <w:w w:val="97"/>
              </w:rPr>
              <w:t>2.9%</w:t>
            </w:r>
          </w:p>
        </w:tc>
      </w:tr>
      <w:tr>
        <w:trPr>
          <w:trHeight w:val="169"/>
        </w:trPr>
        <w:tc>
          <w:tcPr>
            <w:tcW w:w="2680" w:type="dxa"/>
            <w:vAlign w:val="bottom"/>
            <w:tcBorders>
              <w:bottom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98" w:lineRule="exact"/>
        <w:rPr>
          <w:sz w:val="20"/>
          <w:szCs w:val="20"/>
          <w:color w:val="auto"/>
        </w:rPr>
      </w:pPr>
    </w:p>
    <w:p>
      <w:pPr>
        <w:jc w:val="both"/>
        <w:ind w:left="347" w:right="240" w:hanging="347"/>
        <w:spacing w:after="0" w:line="312" w:lineRule="auto"/>
        <w:tabs>
          <w:tab w:leader="none" w:pos="347"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number of shares shown includes shares that are individually or jointly owned and over which the individual has either sole or shared investment or voting authority. The shares of our Common Stock directly owned include the number of shares allocated to the accounts of executive officers under our savings plan as follows: Mr. Strianese, 3,631 shares; Mr. Kubasik, 222 shares; Mr. D’Ambrosio, 2,691 shares; Mr. Brunson, 5,130 shares; Mr. Kantor, 1,339 shares; and 15,720 shares held by the executive officers as a group.</w:t>
      </w:r>
    </w:p>
    <w:p>
      <w:pPr>
        <w:ind w:left="347" w:right="140" w:hanging="347"/>
        <w:spacing w:after="0" w:line="273" w:lineRule="auto"/>
        <w:tabs>
          <w:tab w:leader="none" w:pos="347" w:val="left"/>
        </w:tabs>
        <w:numPr>
          <w:ilvl w:val="0"/>
          <w:numId w:val="48"/>
        </w:numPr>
        <w:rPr>
          <w:rFonts w:ascii="Arial" w:cs="Arial" w:eastAsia="Arial" w:hAnsi="Arial"/>
          <w:sz w:val="16"/>
          <w:szCs w:val="16"/>
          <w:color w:val="auto"/>
        </w:rPr>
      </w:pPr>
      <w:r>
        <w:rPr>
          <w:rFonts w:ascii="Arial" w:cs="Arial" w:eastAsia="Arial" w:hAnsi="Arial"/>
          <w:sz w:val="16"/>
          <w:szCs w:val="16"/>
          <w:color w:val="auto"/>
        </w:rPr>
        <w:t>Shares that are deemed to be beneficially owned by the individual either by virtue of the individual’s right to acquire the shares upon the exercise of outstanding stock options within 60 days from March 10, 2017 and, in the case of non-employee directors, by virtue of the fact that shares issuable upon termination of board service under outstanding restricted stock unit awards have vested or will vest within 60 days of March 10, 2017.</w:t>
      </w:r>
    </w:p>
    <w:p>
      <w:pPr>
        <w:ind w:left="347" w:right="140" w:hanging="347"/>
        <w:spacing w:after="0" w:line="291" w:lineRule="auto"/>
        <w:tabs>
          <w:tab w:leader="none" w:pos="347"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 computing the percentage ownership of any person, the amount of shares outstanding is deemed to include the amount of shares beneficially owned by such person (and only such person) by reason of the acquisition rights described above. As a result, the percentage of outstanding shares of any person as shown in this table does not necessarily reflect the person’s actual ownership or voting power with respect to the number of shares of Common Stock actually outstanding at March 10, 2017.</w:t>
      </w:r>
    </w:p>
    <w:p>
      <w:pPr>
        <w:ind w:left="347" w:right="80" w:hanging="347"/>
        <w:spacing w:after="0" w:line="281" w:lineRule="auto"/>
        <w:tabs>
          <w:tab w:leader="none" w:pos="347"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82,270 shares owned by a charitable foundation of which Mr. Millard and his wife are the sole trustees, and as to which Mr. Millard disclaims beneficial ownership.</w:t>
      </w:r>
    </w:p>
    <w:p>
      <w:pPr>
        <w:spacing w:after="0" w:line="1" w:lineRule="exact"/>
        <w:rPr>
          <w:rFonts w:ascii="Arial" w:cs="Arial" w:eastAsia="Arial" w:hAnsi="Arial"/>
          <w:sz w:val="16"/>
          <w:szCs w:val="16"/>
          <w:color w:val="auto"/>
        </w:rPr>
      </w:pPr>
    </w:p>
    <w:p>
      <w:pPr>
        <w:ind w:left="347" w:right="360" w:hanging="347"/>
        <w:spacing w:after="0" w:line="322" w:lineRule="auto"/>
        <w:tabs>
          <w:tab w:leader="none" w:pos="347" w:val="left"/>
        </w:tabs>
        <w:numPr>
          <w:ilvl w:val="0"/>
          <w:numId w:val="48"/>
        </w:numPr>
        <w:rPr>
          <w:rFonts w:ascii="Arial" w:cs="Arial" w:eastAsia="Arial" w:hAnsi="Arial"/>
          <w:sz w:val="14"/>
          <w:szCs w:val="14"/>
          <w:color w:val="auto"/>
        </w:rPr>
      </w:pPr>
      <w:r>
        <w:rPr>
          <w:rFonts w:ascii="Arial" w:cs="Arial" w:eastAsia="Arial" w:hAnsi="Arial"/>
          <w:sz w:val="14"/>
          <w:szCs w:val="14"/>
          <w:color w:val="auto"/>
        </w:rPr>
        <w:t>Messrs. Brunson and Kantor are named executive officers of the Company for the fiscal year ended December 31, 2016, but transitioned from their roles as executive officers of the Company, effective March 1, 2017, and are not included in the executive officer group.</w:t>
      </w:r>
    </w:p>
    <w:p>
      <w:pPr>
        <w:ind w:left="347" w:right="100" w:hanging="347"/>
        <w:spacing w:after="0" w:line="278" w:lineRule="auto"/>
        <w:tabs>
          <w:tab w:leader="none" w:pos="347" w:val="left"/>
        </w:tabs>
        <w:numPr>
          <w:ilvl w:val="0"/>
          <w:numId w:val="49"/>
        </w:numPr>
        <w:rPr>
          <w:rFonts w:ascii="Arial" w:cs="Arial" w:eastAsia="Arial" w:hAnsi="Arial"/>
          <w:sz w:val="16"/>
          <w:szCs w:val="16"/>
          <w:color w:val="auto"/>
        </w:rPr>
      </w:pPr>
      <w:r>
        <w:rPr>
          <w:rFonts w:ascii="Arial" w:cs="Arial" w:eastAsia="Arial" w:hAnsi="Arial"/>
          <w:sz w:val="16"/>
          <w:szCs w:val="16"/>
          <w:color w:val="auto"/>
        </w:rPr>
        <w:t>Share ownership does not exceed one percent, including stock options exercisable within 60 days of March 10, 2017 and, in the case of non-employee directors, shares issuable upon termination of board service under outstanding restricted stock units that have vested or will vest within 60 days of March 10, 2017.</w:t>
      </w:r>
    </w:p>
    <w:p>
      <w:pPr>
        <w:spacing w:after="0" w:line="250" w:lineRule="exact"/>
        <w:rPr>
          <w:sz w:val="20"/>
          <w:szCs w:val="20"/>
          <w:color w:val="auto"/>
        </w:rPr>
      </w:pPr>
    </w:p>
    <w:p>
      <w:pPr>
        <w:ind w:left="47"/>
        <w:spacing w:after="0"/>
        <w:tabs>
          <w:tab w:leader="none" w:pos="666" w:val="left"/>
        </w:tabs>
        <w:rPr>
          <w:sz w:val="20"/>
          <w:szCs w:val="20"/>
          <w:color w:val="auto"/>
        </w:rPr>
      </w:pPr>
      <w:r>
        <w:rPr>
          <w:rFonts w:ascii="Arial" w:cs="Arial" w:eastAsia="Arial" w:hAnsi="Arial"/>
          <w:sz w:val="18"/>
          <w:szCs w:val="18"/>
          <w:color w:val="005C7D"/>
        </w:rPr>
        <w:t>38</w:t>
      </w:r>
      <w:r>
        <w:rPr>
          <w:sz w:val="20"/>
          <w:szCs w:val="20"/>
          <w:color w:val="auto"/>
        </w:rPr>
        <w:tab/>
      </w: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382270</wp:posOffset>
            </wp:positionV>
            <wp:extent cx="6071870" cy="431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-106045</wp:posOffset>
            </wp:positionV>
            <wp:extent cx="154305"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149860</wp:posOffset>
            </wp:positionV>
            <wp:extent cx="6071870" cy="2057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71870" cy="205740"/>
                    </a:xfrm>
                    <a:prstGeom prst="rect">
                      <a:avLst/>
                    </a:prstGeom>
                    <a:noFill/>
                  </pic:spPr>
                </pic:pic>
              </a:graphicData>
            </a:graphic>
          </wp:anchor>
        </w:drawing>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05C7D"/>
        </w:rPr>
        <w:t>COMPENSATION DISCUSSION AND ANALYSIS</w:t>
      </w:r>
    </w:p>
    <w:p>
      <w:pPr>
        <w:spacing w:after="0" w:line="206" w:lineRule="exact"/>
        <w:rPr>
          <w:sz w:val="20"/>
          <w:szCs w:val="20"/>
          <w:color w:val="auto"/>
        </w:rPr>
      </w:pPr>
    </w:p>
    <w:p>
      <w:pPr>
        <w:ind w:right="120"/>
        <w:spacing w:after="0" w:line="297" w:lineRule="auto"/>
        <w:rPr>
          <w:rFonts w:ascii="Arial" w:cs="Arial" w:eastAsia="Arial" w:hAnsi="Arial"/>
          <w:sz w:val="16"/>
          <w:szCs w:val="16"/>
          <w:color w:val="auto"/>
        </w:rPr>
      </w:pPr>
      <w:r>
        <w:rPr>
          <w:rFonts w:ascii="Arial" w:cs="Arial" w:eastAsia="Arial" w:hAnsi="Arial"/>
          <w:sz w:val="16"/>
          <w:szCs w:val="16"/>
          <w:color w:val="auto"/>
        </w:rPr>
        <w:t xml:space="preserve">This Compensation Discussion and Analysis describes L3’s executive compensation program related to the year ended December 31, 2016 (our 2016 fiscal year). This section details the compensation framework applied by the Compensation Committee of our Board of Directors (the “Committee”) in determining the pay levels and programs available to our named executive officers for whom compensation is disclosed in the compensation tables included in the Tabular Executive Compensation Disclosure section of this proxy statement beginning on page </w:t>
      </w:r>
      <w:hyperlink w:anchor="page68">
        <w:r>
          <w:rPr>
            <w:rFonts w:ascii="Arial" w:cs="Arial" w:eastAsia="Arial" w:hAnsi="Arial"/>
            <w:sz w:val="16"/>
            <w:szCs w:val="16"/>
            <w:u w:val="single" w:color="auto"/>
            <w:color w:val="0000EE"/>
          </w:rPr>
          <w:t>62</w:t>
        </w:r>
      </w:hyperlink>
      <w:r>
        <w:rPr>
          <w:rFonts w:ascii="Arial" w:cs="Arial" w:eastAsia="Arial" w:hAnsi="Arial"/>
          <w:sz w:val="16"/>
          <w:szCs w:val="16"/>
          <w:color w:val="auto"/>
        </w:rPr>
        <w:t>. Our named executive officers for the 2016 fiscal year are:</w:t>
      </w:r>
    </w:p>
    <w:p>
      <w:pPr>
        <w:spacing w:after="0" w:line="50" w:lineRule="exact"/>
        <w:rPr>
          <w:sz w:val="20"/>
          <w:szCs w:val="20"/>
          <w:color w:val="auto"/>
        </w:rPr>
      </w:pPr>
    </w:p>
    <w:p>
      <w:pPr>
        <w:ind w:left="700" w:hanging="356"/>
        <w:spacing w:after="0"/>
        <w:tabs>
          <w:tab w:leader="none" w:pos="700" w:val="left"/>
        </w:tabs>
        <w:numPr>
          <w:ilvl w:val="0"/>
          <w:numId w:val="50"/>
        </w:numPr>
        <w:rPr>
          <w:rFonts w:ascii="Arial" w:cs="Arial" w:eastAsia="Arial" w:hAnsi="Arial"/>
          <w:sz w:val="18"/>
          <w:szCs w:val="18"/>
          <w:color w:val="005C7D"/>
        </w:rPr>
      </w:pPr>
      <w:r>
        <w:rPr>
          <w:rFonts w:ascii="Arial" w:cs="Arial" w:eastAsia="Arial" w:hAnsi="Arial"/>
          <w:sz w:val="18"/>
          <w:szCs w:val="18"/>
          <w:i w:val="1"/>
          <w:iCs w:val="1"/>
          <w:color w:val="auto"/>
        </w:rPr>
        <w:t>Michael T. Strianese</w:t>
      </w:r>
      <w:r>
        <w:rPr>
          <w:rFonts w:ascii="Arial" w:cs="Arial" w:eastAsia="Arial" w:hAnsi="Arial"/>
          <w:sz w:val="18"/>
          <w:szCs w:val="18"/>
          <w:color w:val="auto"/>
        </w:rPr>
        <w:t>, Chairman and Chief Executive Officer</w:t>
      </w:r>
    </w:p>
    <w:p>
      <w:pPr>
        <w:spacing w:after="0" w:line="117" w:lineRule="exact"/>
        <w:rPr>
          <w:rFonts w:ascii="Arial" w:cs="Arial" w:eastAsia="Arial" w:hAnsi="Arial"/>
          <w:sz w:val="18"/>
          <w:szCs w:val="18"/>
          <w:color w:val="005C7D"/>
        </w:rPr>
      </w:pPr>
    </w:p>
    <w:p>
      <w:pPr>
        <w:ind w:left="700" w:hanging="356"/>
        <w:spacing w:after="0"/>
        <w:tabs>
          <w:tab w:leader="none" w:pos="700" w:val="left"/>
        </w:tabs>
        <w:numPr>
          <w:ilvl w:val="0"/>
          <w:numId w:val="50"/>
        </w:numPr>
        <w:rPr>
          <w:rFonts w:ascii="Arial" w:cs="Arial" w:eastAsia="Arial" w:hAnsi="Arial"/>
          <w:sz w:val="18"/>
          <w:szCs w:val="18"/>
          <w:color w:val="005C7D"/>
        </w:rPr>
      </w:pPr>
      <w:r>
        <w:rPr>
          <w:rFonts w:ascii="Arial" w:cs="Arial" w:eastAsia="Arial" w:hAnsi="Arial"/>
          <w:sz w:val="18"/>
          <w:szCs w:val="18"/>
          <w:i w:val="1"/>
          <w:iCs w:val="1"/>
          <w:color w:val="auto"/>
        </w:rPr>
        <w:t>Christopher E. Kubasik</w:t>
      </w:r>
      <w:r>
        <w:rPr>
          <w:rFonts w:ascii="Arial" w:cs="Arial" w:eastAsia="Arial" w:hAnsi="Arial"/>
          <w:sz w:val="18"/>
          <w:szCs w:val="18"/>
          <w:color w:val="auto"/>
        </w:rPr>
        <w:t>, President and Chief Operating Officer</w:t>
      </w:r>
    </w:p>
    <w:p>
      <w:pPr>
        <w:spacing w:after="0" w:line="117" w:lineRule="exact"/>
        <w:rPr>
          <w:rFonts w:ascii="Arial" w:cs="Arial" w:eastAsia="Arial" w:hAnsi="Arial"/>
          <w:sz w:val="18"/>
          <w:szCs w:val="18"/>
          <w:color w:val="005C7D"/>
        </w:rPr>
      </w:pPr>
    </w:p>
    <w:p>
      <w:pPr>
        <w:ind w:left="700" w:hanging="356"/>
        <w:spacing w:after="0"/>
        <w:tabs>
          <w:tab w:leader="none" w:pos="700" w:val="left"/>
        </w:tabs>
        <w:numPr>
          <w:ilvl w:val="0"/>
          <w:numId w:val="50"/>
        </w:numPr>
        <w:rPr>
          <w:rFonts w:ascii="Arial" w:cs="Arial" w:eastAsia="Arial" w:hAnsi="Arial"/>
          <w:sz w:val="18"/>
          <w:szCs w:val="18"/>
          <w:color w:val="005C7D"/>
        </w:rPr>
      </w:pPr>
      <w:r>
        <w:rPr>
          <w:rFonts w:ascii="Arial" w:cs="Arial" w:eastAsia="Arial" w:hAnsi="Arial"/>
          <w:sz w:val="18"/>
          <w:szCs w:val="18"/>
          <w:i w:val="1"/>
          <w:iCs w:val="1"/>
          <w:color w:val="auto"/>
        </w:rPr>
        <w:t>Ralph G. D’Ambrosio</w:t>
      </w:r>
      <w:r>
        <w:rPr>
          <w:rFonts w:ascii="Arial" w:cs="Arial" w:eastAsia="Arial" w:hAnsi="Arial"/>
          <w:sz w:val="18"/>
          <w:szCs w:val="18"/>
          <w:color w:val="auto"/>
        </w:rPr>
        <w:t>, Senior Vice President and Chief Financial Officer</w:t>
      </w:r>
    </w:p>
    <w:p>
      <w:pPr>
        <w:spacing w:after="0" w:line="117" w:lineRule="exact"/>
        <w:rPr>
          <w:rFonts w:ascii="Arial" w:cs="Arial" w:eastAsia="Arial" w:hAnsi="Arial"/>
          <w:sz w:val="18"/>
          <w:szCs w:val="18"/>
          <w:color w:val="005C7D"/>
        </w:rPr>
      </w:pPr>
    </w:p>
    <w:p>
      <w:pPr>
        <w:ind w:left="700" w:hanging="356"/>
        <w:spacing w:after="0"/>
        <w:tabs>
          <w:tab w:leader="none" w:pos="700" w:val="left"/>
        </w:tabs>
        <w:numPr>
          <w:ilvl w:val="0"/>
          <w:numId w:val="50"/>
        </w:numPr>
        <w:rPr>
          <w:rFonts w:ascii="Arial" w:cs="Arial" w:eastAsia="Arial" w:hAnsi="Arial"/>
          <w:sz w:val="18"/>
          <w:szCs w:val="18"/>
          <w:color w:val="005C7D"/>
        </w:rPr>
      </w:pPr>
      <w:r>
        <w:rPr>
          <w:rFonts w:ascii="Arial" w:cs="Arial" w:eastAsia="Arial" w:hAnsi="Arial"/>
          <w:sz w:val="18"/>
          <w:szCs w:val="18"/>
          <w:i w:val="1"/>
          <w:iCs w:val="1"/>
          <w:color w:val="auto"/>
        </w:rPr>
        <w:t>Curtis Brunson</w:t>
      </w:r>
      <w:r>
        <w:rPr>
          <w:rFonts w:ascii="Arial" w:cs="Arial" w:eastAsia="Arial" w:hAnsi="Arial"/>
          <w:sz w:val="18"/>
          <w:szCs w:val="18"/>
          <w:color w:val="auto"/>
        </w:rPr>
        <w:t>, Former Executive Vice President of Corporate Strategy and Development</w:t>
      </w:r>
    </w:p>
    <w:p>
      <w:pPr>
        <w:spacing w:after="0" w:line="117" w:lineRule="exact"/>
        <w:rPr>
          <w:rFonts w:ascii="Arial" w:cs="Arial" w:eastAsia="Arial" w:hAnsi="Arial"/>
          <w:sz w:val="18"/>
          <w:szCs w:val="18"/>
          <w:color w:val="005C7D"/>
        </w:rPr>
      </w:pPr>
    </w:p>
    <w:p>
      <w:pPr>
        <w:ind w:left="700" w:hanging="356"/>
        <w:spacing w:after="0"/>
        <w:tabs>
          <w:tab w:leader="none" w:pos="700" w:val="left"/>
        </w:tabs>
        <w:numPr>
          <w:ilvl w:val="0"/>
          <w:numId w:val="50"/>
        </w:numPr>
        <w:rPr>
          <w:rFonts w:ascii="Arial" w:cs="Arial" w:eastAsia="Arial" w:hAnsi="Arial"/>
          <w:sz w:val="18"/>
          <w:szCs w:val="18"/>
          <w:color w:val="005C7D"/>
        </w:rPr>
      </w:pPr>
      <w:r>
        <w:rPr>
          <w:rFonts w:ascii="Arial" w:cs="Arial" w:eastAsia="Arial" w:hAnsi="Arial"/>
          <w:sz w:val="18"/>
          <w:szCs w:val="18"/>
          <w:i w:val="1"/>
          <w:iCs w:val="1"/>
          <w:color w:val="auto"/>
        </w:rPr>
        <w:t>Steve Kantor</w:t>
      </w:r>
      <w:r>
        <w:rPr>
          <w:rFonts w:ascii="Arial" w:cs="Arial" w:eastAsia="Arial" w:hAnsi="Arial"/>
          <w:sz w:val="18"/>
          <w:szCs w:val="18"/>
          <w:color w:val="auto"/>
        </w:rPr>
        <w:t>, Former Senior Vice President and President of Electronic Systems Group</w:t>
      </w:r>
    </w:p>
    <w:p>
      <w:pPr>
        <w:spacing w:after="0" w:line="17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On January 25, 2017, L3 announced that Messrs. Brunson and Kantor will be retiring from the Company in the second quarter of 2017. In advance of their retirement, Messrs. Brunson and Kantor transitioned from their above roles effective March 1, 2017.</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BACKGROUND, 2016 OPERATING ENVIRONMENT AND 2016 PERFORMANCE ACHIEVEMENTS</w:t>
      </w:r>
    </w:p>
    <w:p>
      <w:pPr>
        <w:spacing w:after="0" w:line="1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Company Background</w:t>
      </w:r>
      <w:r>
        <w:rPr>
          <w:rFonts w:ascii="Arial" w:cs="Arial" w:eastAsia="Arial" w:hAnsi="Arial"/>
          <w:sz w:val="17"/>
          <w:szCs w:val="17"/>
          <w:color w:val="auto"/>
        </w:rPr>
        <w:t>. L3 is a prime contractor in Intelligence, Surveillance and Reconnaissance (ISR) systems, aircraft</w:t>
      </w:r>
      <w:r>
        <w:rPr>
          <w:rFonts w:ascii="Arial" w:cs="Arial" w:eastAsia="Arial" w:hAnsi="Arial"/>
          <w:sz w:val="17"/>
          <w:szCs w:val="17"/>
          <w:i w:val="1"/>
          <w:iCs w:val="1"/>
          <w:color w:val="auto"/>
        </w:rPr>
        <w:t xml:space="preserve"> </w:t>
      </w:r>
      <w:r>
        <w:rPr>
          <w:rFonts w:ascii="Arial" w:cs="Arial" w:eastAsia="Arial" w:hAnsi="Arial"/>
          <w:sz w:val="17"/>
          <w:szCs w:val="17"/>
          <w:color w:val="auto"/>
        </w:rPr>
        <w:t>sustainment (including modifications, logistics and maintenance), simulation and training, night vision and image intensification equipment, and security and detection systems. L3 is also a leading provider of a broad range of communication, electronic and sensor systems used on military and commercial platforms. Approximately 73% of our consolidated net sales for 2016 were made to the U.S. Government (the “USG”), including 70% to the Department of Defense (the “DoD”). Accordingly, our sales, results of operations and cash flows are correlated to DoD budget and spending levels. The remaining 27% of our sales were made to international and commercial customers. Additionally, most of our businesses are short-cycle in nature, with programs or contracts that have performance periods of a year or less, and, consequently, changes in business trends can rapidly affect our sales volume, results of operations and cash flows.</w:t>
      </w:r>
    </w:p>
    <w:p>
      <w:pPr>
        <w:spacing w:after="0" w:line="128"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i w:val="1"/>
          <w:iCs w:val="1"/>
          <w:color w:val="auto"/>
        </w:rPr>
        <w:t>2016 Operating Environment</w:t>
      </w:r>
      <w:r>
        <w:rPr>
          <w:rFonts w:ascii="Arial" w:cs="Arial" w:eastAsia="Arial" w:hAnsi="Arial"/>
          <w:sz w:val="18"/>
          <w:szCs w:val="18"/>
          <w:color w:val="auto"/>
        </w:rPr>
        <w:t>. For the year ended December 31, 2016, conditions began to improve in our USG/DoD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our primary end market, but constraints and challenges remained. Our performance in 2016 was influenced by the following factors:</w:t>
      </w:r>
    </w:p>
    <w:p>
      <w:pPr>
        <w:spacing w:after="0" w:line="73" w:lineRule="exact"/>
        <w:rPr>
          <w:sz w:val="20"/>
          <w:szCs w:val="20"/>
          <w:color w:val="auto"/>
        </w:rPr>
      </w:pPr>
    </w:p>
    <w:p>
      <w:pPr>
        <w:ind w:left="700" w:right="320" w:hanging="356"/>
        <w:spacing w:after="0" w:line="277" w:lineRule="auto"/>
        <w:tabs>
          <w:tab w:leader="none" w:pos="700" w:val="left"/>
        </w:tabs>
        <w:numPr>
          <w:ilvl w:val="0"/>
          <w:numId w:val="51"/>
        </w:numPr>
        <w:rPr>
          <w:rFonts w:ascii="Arial" w:cs="Arial" w:eastAsia="Arial" w:hAnsi="Arial"/>
          <w:sz w:val="18"/>
          <w:szCs w:val="18"/>
          <w:color w:val="005C7D"/>
        </w:rPr>
      </w:pPr>
      <w:r>
        <w:rPr>
          <w:rFonts w:ascii="Arial" w:cs="Arial" w:eastAsia="Arial" w:hAnsi="Arial"/>
          <w:sz w:val="18"/>
          <w:szCs w:val="18"/>
          <w:color w:val="auto"/>
        </w:rPr>
        <w:t>The DoD budget for the USG fiscal year ended September 30, 2016, which increased by 4% from the prior USG fiscal year.</w:t>
      </w:r>
    </w:p>
    <w:p>
      <w:pPr>
        <w:spacing w:after="0" w:line="62" w:lineRule="exact"/>
        <w:rPr>
          <w:rFonts w:ascii="Arial" w:cs="Arial" w:eastAsia="Arial" w:hAnsi="Arial"/>
          <w:sz w:val="18"/>
          <w:szCs w:val="18"/>
          <w:color w:val="005C7D"/>
        </w:rPr>
      </w:pPr>
    </w:p>
    <w:p>
      <w:pPr>
        <w:ind w:left="700" w:hanging="356"/>
        <w:spacing w:after="0"/>
        <w:tabs>
          <w:tab w:leader="none" w:pos="700" w:val="left"/>
        </w:tabs>
        <w:numPr>
          <w:ilvl w:val="0"/>
          <w:numId w:val="51"/>
        </w:numPr>
        <w:rPr>
          <w:rFonts w:ascii="Arial" w:cs="Arial" w:eastAsia="Arial" w:hAnsi="Arial"/>
          <w:sz w:val="18"/>
          <w:szCs w:val="18"/>
          <w:color w:val="005C7D"/>
        </w:rPr>
      </w:pPr>
      <w:r>
        <w:rPr>
          <w:rFonts w:ascii="Arial" w:cs="Arial" w:eastAsia="Arial" w:hAnsi="Arial"/>
          <w:sz w:val="18"/>
          <w:szCs w:val="18"/>
          <w:color w:val="auto"/>
        </w:rPr>
        <w:t>The completion of the final stages of the U.S. military drawdown in Afghanistan.</w:t>
      </w:r>
    </w:p>
    <w:p>
      <w:pPr>
        <w:spacing w:after="0" w:line="117" w:lineRule="exact"/>
        <w:rPr>
          <w:rFonts w:ascii="Arial" w:cs="Arial" w:eastAsia="Arial" w:hAnsi="Arial"/>
          <w:sz w:val="18"/>
          <w:szCs w:val="18"/>
          <w:color w:val="005C7D"/>
        </w:rPr>
      </w:pPr>
    </w:p>
    <w:p>
      <w:pPr>
        <w:ind w:left="700" w:right="220" w:hanging="356"/>
        <w:spacing w:after="0" w:line="264" w:lineRule="auto"/>
        <w:tabs>
          <w:tab w:leader="none" w:pos="700" w:val="left"/>
        </w:tabs>
        <w:numPr>
          <w:ilvl w:val="0"/>
          <w:numId w:val="51"/>
        </w:numPr>
        <w:rPr>
          <w:rFonts w:ascii="Arial" w:cs="Arial" w:eastAsia="Arial" w:hAnsi="Arial"/>
          <w:sz w:val="18"/>
          <w:szCs w:val="18"/>
          <w:color w:val="005C7D"/>
        </w:rPr>
      </w:pPr>
      <w:r>
        <w:rPr>
          <w:rFonts w:ascii="Arial" w:cs="Arial" w:eastAsia="Arial" w:hAnsi="Arial"/>
          <w:sz w:val="18"/>
          <w:szCs w:val="18"/>
          <w:color w:val="auto"/>
        </w:rPr>
        <w:t>The continuation of the DoD’s efficiency and Better Buying Power initiatives, which have resulted in increased competition and contract turnover, and lower profit margins, especially in the Vertex Aerospace sector of our Aerospace Systems segment.</w:t>
      </w:r>
    </w:p>
    <w:p>
      <w:pPr>
        <w:spacing w:after="0" w:line="73" w:lineRule="exact"/>
        <w:rPr>
          <w:rFonts w:ascii="Arial" w:cs="Arial" w:eastAsia="Arial" w:hAnsi="Arial"/>
          <w:sz w:val="18"/>
          <w:szCs w:val="18"/>
          <w:color w:val="005C7D"/>
        </w:rPr>
      </w:pPr>
    </w:p>
    <w:p>
      <w:pPr>
        <w:ind w:left="700" w:right="500" w:hanging="356"/>
        <w:spacing w:after="0" w:line="312" w:lineRule="auto"/>
        <w:tabs>
          <w:tab w:leader="none" w:pos="700" w:val="left"/>
        </w:tabs>
        <w:numPr>
          <w:ilvl w:val="0"/>
          <w:numId w:val="51"/>
        </w:numPr>
        <w:rPr>
          <w:rFonts w:ascii="Arial" w:cs="Arial" w:eastAsia="Arial" w:hAnsi="Arial"/>
          <w:sz w:val="16"/>
          <w:szCs w:val="16"/>
          <w:color w:val="005C7D"/>
        </w:rPr>
      </w:pPr>
      <w:r>
        <w:rPr>
          <w:rFonts w:ascii="Arial" w:cs="Arial" w:eastAsia="Arial" w:hAnsi="Arial"/>
          <w:sz w:val="16"/>
          <w:szCs w:val="16"/>
          <w:color w:val="auto"/>
        </w:rPr>
        <w:t>Near-term softness in (i) foreign government procurement cycles for ISR systems and communication terminals, (ii) avionics for the general aviation market, and (iii) radio frequency (RF) microwave and power equipment for the commercial satellite market, which contributed to declining sales in our international and commercial business.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2016 Performance Achievements</w:t>
      </w:r>
      <w:r>
        <w:rPr>
          <w:rFonts w:ascii="Arial" w:cs="Arial" w:eastAsia="Arial" w:hAnsi="Arial"/>
          <w:sz w:val="16"/>
          <w:szCs w:val="16"/>
          <w:color w:val="auto"/>
        </w:rPr>
        <w:t>. L3 delivered strong financial performance for 2016, highlighted by the items described below.</w:t>
      </w:r>
    </w:p>
    <w:p>
      <w:pPr>
        <w:spacing w:after="0" w:line="140" w:lineRule="exact"/>
        <w:rPr>
          <w:sz w:val="20"/>
          <w:szCs w:val="20"/>
          <w:color w:val="auto"/>
        </w:rPr>
      </w:pPr>
    </w:p>
    <w:p>
      <w:pPr>
        <w:ind w:left="700" w:right="20" w:hanging="356"/>
        <w:spacing w:after="0" w:line="279" w:lineRule="auto"/>
        <w:tabs>
          <w:tab w:leader="none" w:pos="700" w:val="left"/>
        </w:tabs>
        <w:numPr>
          <w:ilvl w:val="0"/>
          <w:numId w:val="52"/>
        </w:numPr>
        <w:rPr>
          <w:rFonts w:ascii="Arial" w:cs="Arial" w:eastAsia="Arial" w:hAnsi="Arial"/>
          <w:sz w:val="17"/>
          <w:szCs w:val="17"/>
          <w:color w:val="005C7D"/>
        </w:rPr>
      </w:pPr>
      <w:r>
        <w:rPr>
          <w:rFonts w:ascii="Arial" w:cs="Arial" w:eastAsia="Arial" w:hAnsi="Arial"/>
          <w:sz w:val="17"/>
          <w:szCs w:val="17"/>
          <w:color w:val="auto"/>
        </w:rPr>
        <w:t>Our diluted earnings per share (“EPS”) and free cash flow (“FCF”) achievements exceeded the corporate goals in our annual incentive plan by 7% for each measure. Our 2016 EPS from continuing operations was $8.21, compared with $3.44 for 2015, and our net cash from operating activities from continuing operations increased by 3% to $1,097 million for 2016, as compared to $1,069 million for 2015. Our 2015 EPS from continuing operations</w:t>
      </w:r>
    </w:p>
    <w:p>
      <w:pPr>
        <w:spacing w:after="0" w:line="212" w:lineRule="exact"/>
        <w:rPr>
          <w:sz w:val="20"/>
          <w:szCs w:val="20"/>
          <w:color w:val="auto"/>
        </w:rPr>
      </w:pPr>
    </w:p>
    <w:p>
      <w:pPr>
        <w:ind w:left="7820"/>
        <w:spacing w:after="0"/>
        <w:tabs>
          <w:tab w:leader="none" w:pos="932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6071870" cy="431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-107315</wp:posOffset>
            </wp:positionV>
            <wp:extent cx="163195"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005C7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2" w:lineRule="exact"/>
        <w:rPr>
          <w:sz w:val="20"/>
          <w:szCs w:val="20"/>
          <w:color w:val="auto"/>
        </w:rPr>
      </w:pPr>
    </w:p>
    <w:p>
      <w:pPr>
        <w:ind w:left="720" w:right="6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includes certain non-cash goodwill impairment charges and a loss on business divestitures that are described more fully in “– Reconciliation of Non-GAAP Measures to GAAP Measures” on page </w:t>
      </w:r>
      <w:hyperlink w:anchor="page65">
        <w:r>
          <w:rPr>
            <w:rFonts w:ascii="Arial" w:cs="Arial" w:eastAsia="Arial" w:hAnsi="Arial"/>
            <w:sz w:val="18"/>
            <w:szCs w:val="18"/>
            <w:u w:val="single" w:color="auto"/>
            <w:color w:val="0000EE"/>
          </w:rPr>
          <w:t>59</w:t>
        </w:r>
      </w:hyperlink>
      <w:r>
        <w:rPr>
          <w:rFonts w:ascii="Arial" w:cs="Arial" w:eastAsia="Arial" w:hAnsi="Arial"/>
          <w:sz w:val="18"/>
          <w:szCs w:val="18"/>
          <w:color w:val="auto"/>
        </w:rPr>
        <w:t>. Excluding these items, our EPS from continuing operations grew by 19% to $8.21 for 2016, as compared to $6.91 for 2015.</w:t>
      </w:r>
    </w:p>
    <w:p>
      <w:pPr>
        <w:spacing w:after="0" w:line="73" w:lineRule="exact"/>
        <w:rPr>
          <w:sz w:val="20"/>
          <w:szCs w:val="20"/>
          <w:color w:val="auto"/>
        </w:rPr>
      </w:pPr>
    </w:p>
    <w:p>
      <w:pPr>
        <w:ind w:left="700" w:hanging="356"/>
        <w:spacing w:after="0" w:line="255" w:lineRule="auto"/>
        <w:tabs>
          <w:tab w:leader="none" w:pos="700" w:val="left"/>
        </w:tabs>
        <w:numPr>
          <w:ilvl w:val="0"/>
          <w:numId w:val="53"/>
        </w:numPr>
        <w:rPr>
          <w:rFonts w:ascii="Arial" w:cs="Arial" w:eastAsia="Arial" w:hAnsi="Arial"/>
          <w:sz w:val="18"/>
          <w:szCs w:val="18"/>
          <w:color w:val="005C7D"/>
        </w:rPr>
      </w:pPr>
      <w:r>
        <w:rPr>
          <w:rFonts w:ascii="Arial" w:cs="Arial" w:eastAsia="Arial" w:hAnsi="Arial"/>
          <w:sz w:val="18"/>
          <w:szCs w:val="18"/>
          <w:color w:val="auto"/>
        </w:rPr>
        <w:t>Our consolidated net sales grew by 0.4% to $10,511 million for 2016, as compared to $10,466 million for 2015. Our consolidated organic sales growth (that is, net sales excluding the sales impact of business acquisitions and divestitures) was 2% for 2016, led by organic growth of 5% for our USG business (including the DoD), which compares favorably to the 4% increase in the total DoD budget for the USG fiscal year ended September 30, 2016. Consolidated organic sales exclude $209 million of sales declines related to business divestitures and $93 million of sales increases related to business acquisitions.</w:t>
      </w:r>
    </w:p>
    <w:p>
      <w:pPr>
        <w:spacing w:after="0" w:line="85" w:lineRule="exact"/>
        <w:rPr>
          <w:rFonts w:ascii="Arial" w:cs="Arial" w:eastAsia="Arial" w:hAnsi="Arial"/>
          <w:sz w:val="18"/>
          <w:szCs w:val="18"/>
          <w:color w:val="005C7D"/>
        </w:rPr>
      </w:pPr>
    </w:p>
    <w:p>
      <w:pPr>
        <w:ind w:left="700" w:right="40" w:hanging="356"/>
        <w:spacing w:after="0" w:line="277" w:lineRule="auto"/>
        <w:tabs>
          <w:tab w:leader="none" w:pos="700" w:val="left"/>
        </w:tabs>
        <w:numPr>
          <w:ilvl w:val="0"/>
          <w:numId w:val="53"/>
        </w:numPr>
        <w:rPr>
          <w:rFonts w:ascii="Arial" w:cs="Arial" w:eastAsia="Arial" w:hAnsi="Arial"/>
          <w:sz w:val="18"/>
          <w:szCs w:val="18"/>
          <w:color w:val="005C7D"/>
        </w:rPr>
      </w:pPr>
      <w:r>
        <w:rPr>
          <w:rFonts w:ascii="Arial" w:cs="Arial" w:eastAsia="Arial" w:hAnsi="Arial"/>
          <w:sz w:val="18"/>
          <w:szCs w:val="18"/>
          <w:color w:val="auto"/>
        </w:rPr>
        <w:t>Operating margins increased in every segment as compared to 2015. Our segment operating margin increased by 110 basis points to 9.6% for 2016, as compared to 8.5% for 2015.</w:t>
      </w:r>
    </w:p>
    <w:p>
      <w:pPr>
        <w:spacing w:after="0" w:line="62" w:lineRule="exact"/>
        <w:rPr>
          <w:rFonts w:ascii="Arial" w:cs="Arial" w:eastAsia="Arial" w:hAnsi="Arial"/>
          <w:sz w:val="18"/>
          <w:szCs w:val="18"/>
          <w:color w:val="005C7D"/>
        </w:rPr>
      </w:pPr>
    </w:p>
    <w:p>
      <w:pPr>
        <w:ind w:left="700" w:right="540" w:hanging="356"/>
        <w:spacing w:after="0" w:line="308" w:lineRule="auto"/>
        <w:tabs>
          <w:tab w:leader="none" w:pos="700" w:val="left"/>
        </w:tabs>
        <w:numPr>
          <w:ilvl w:val="0"/>
          <w:numId w:val="53"/>
        </w:numPr>
        <w:rPr>
          <w:rFonts w:ascii="Arial" w:cs="Arial" w:eastAsia="Arial" w:hAnsi="Arial"/>
          <w:sz w:val="17"/>
          <w:szCs w:val="17"/>
          <w:color w:val="005C7D"/>
        </w:rPr>
      </w:pPr>
      <w:r>
        <w:rPr>
          <w:rFonts w:ascii="Arial" w:cs="Arial" w:eastAsia="Arial" w:hAnsi="Arial"/>
          <w:sz w:val="17"/>
          <w:szCs w:val="17"/>
          <w:color w:val="auto"/>
        </w:rPr>
        <w:t>Our segment operating income increased by $118 million, or 13%, to $1,008 million for 2016, as compared to $890 million for 2015, driven by our organic sales growth and segment operating margin increases in 2016.</w:t>
      </w:r>
    </w:p>
    <w:p>
      <w:pPr>
        <w:spacing w:after="0" w:line="38" w:lineRule="exact"/>
        <w:rPr>
          <w:rFonts w:ascii="Arial" w:cs="Arial" w:eastAsia="Arial" w:hAnsi="Arial"/>
          <w:sz w:val="17"/>
          <w:szCs w:val="17"/>
          <w:color w:val="005C7D"/>
        </w:rPr>
      </w:pPr>
    </w:p>
    <w:p>
      <w:pPr>
        <w:ind w:left="700" w:right="40" w:hanging="356"/>
        <w:spacing w:after="0" w:line="279" w:lineRule="auto"/>
        <w:tabs>
          <w:tab w:leader="none" w:pos="700" w:val="left"/>
        </w:tabs>
        <w:numPr>
          <w:ilvl w:val="0"/>
          <w:numId w:val="53"/>
        </w:numPr>
        <w:rPr>
          <w:rFonts w:ascii="Arial" w:cs="Arial" w:eastAsia="Arial" w:hAnsi="Arial"/>
          <w:sz w:val="17"/>
          <w:szCs w:val="17"/>
          <w:color w:val="005C7D"/>
        </w:rPr>
      </w:pPr>
      <w:r>
        <w:rPr>
          <w:rFonts w:ascii="Arial" w:cs="Arial" w:eastAsia="Arial" w:hAnsi="Arial"/>
          <w:sz w:val="17"/>
          <w:szCs w:val="17"/>
          <w:color w:val="auto"/>
        </w:rPr>
        <w:t>We completed significant strategic actions to reshape and strengthen our business portfolio for future success. In February 2016, we completed the sale of our National Security Solutions business for approximately $550 million. We also invested $388 million to acquire four businesses in 2016 that build and strengthen L3’s core business areas, including RF microwave and power, sensors, commercial aviation simulation and training, and aviation security.</w:t>
      </w:r>
    </w:p>
    <w:p>
      <w:pPr>
        <w:spacing w:after="0" w:line="53" w:lineRule="exact"/>
        <w:rPr>
          <w:rFonts w:ascii="Arial" w:cs="Arial" w:eastAsia="Arial" w:hAnsi="Arial"/>
          <w:sz w:val="17"/>
          <w:szCs w:val="17"/>
          <w:color w:val="005C7D"/>
        </w:rPr>
      </w:pPr>
    </w:p>
    <w:p>
      <w:pPr>
        <w:ind w:left="700" w:right="280" w:hanging="356"/>
        <w:spacing w:after="0" w:line="211" w:lineRule="auto"/>
        <w:tabs>
          <w:tab w:leader="none" w:pos="700" w:val="left"/>
        </w:tabs>
        <w:numPr>
          <w:ilvl w:val="0"/>
          <w:numId w:val="53"/>
        </w:numPr>
        <w:rPr>
          <w:rFonts w:ascii="Arial" w:cs="Arial" w:eastAsia="Arial" w:hAnsi="Arial"/>
          <w:sz w:val="18"/>
          <w:szCs w:val="18"/>
          <w:color w:val="005C7D"/>
        </w:rPr>
      </w:pPr>
      <w:r>
        <w:rPr>
          <w:rFonts w:ascii="Arial" w:cs="Arial" w:eastAsia="Arial" w:hAnsi="Arial"/>
          <w:sz w:val="18"/>
          <w:szCs w:val="18"/>
          <w:color w:val="auto"/>
        </w:rPr>
        <w:t>We repurchased $373 million of our Common Stock and paid dividends of $220 million following our 12</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consecutive annual dividend increase, returning over $590 million of cash to our shareholders in 2016.</w:t>
      </w:r>
    </w:p>
    <w:p>
      <w:pPr>
        <w:spacing w:after="0" w:line="95" w:lineRule="exact"/>
        <w:rPr>
          <w:rFonts w:ascii="Arial" w:cs="Arial" w:eastAsia="Arial" w:hAnsi="Arial"/>
          <w:sz w:val="18"/>
          <w:szCs w:val="18"/>
          <w:color w:val="005C7D"/>
        </w:rPr>
      </w:pPr>
    </w:p>
    <w:p>
      <w:pPr>
        <w:ind w:left="700" w:hanging="356"/>
        <w:spacing w:after="0" w:line="255" w:lineRule="auto"/>
        <w:tabs>
          <w:tab w:leader="none" w:pos="700" w:val="left"/>
        </w:tabs>
        <w:numPr>
          <w:ilvl w:val="0"/>
          <w:numId w:val="53"/>
        </w:numPr>
        <w:rPr>
          <w:rFonts w:ascii="Arial" w:cs="Arial" w:eastAsia="Arial" w:hAnsi="Arial"/>
          <w:sz w:val="18"/>
          <w:szCs w:val="18"/>
          <w:color w:val="005C7D"/>
        </w:rPr>
      </w:pPr>
      <w:r>
        <w:rPr>
          <w:rFonts w:ascii="Arial" w:cs="Arial" w:eastAsia="Arial" w:hAnsi="Arial"/>
          <w:sz w:val="18"/>
          <w:szCs w:val="18"/>
          <w:color w:val="auto"/>
        </w:rPr>
        <w:t>We stabilized our investment grade credit ratings during 2016, with credit rating agencies S&amp;P and Moody’s each raising their outlooks for L3 from “negative” to “stable.” A key factor in restoring our stable credit outlooks was reducing our debt during 2016 by approximately $300 million. We also maintained an efficient capital structure with ample liquidity. We successfully refinanced our $1 billion revolving credit facility for five years to 2021, with improvements in pricing and leverage covenants, and refinanced $550 million of our senior notes due in November 2016 and May 2017 with new senior notes due in December 2026. We ended 2016 with $363 million of cash on hand and an available revolver of $1 billion.</w:t>
      </w:r>
    </w:p>
    <w:p>
      <w:pPr>
        <w:spacing w:after="0" w:line="71" w:lineRule="exact"/>
        <w:rPr>
          <w:rFonts w:ascii="Arial" w:cs="Arial" w:eastAsia="Arial" w:hAnsi="Arial"/>
          <w:sz w:val="18"/>
          <w:szCs w:val="18"/>
          <w:color w:val="005C7D"/>
        </w:rPr>
      </w:pPr>
    </w:p>
    <w:p>
      <w:pPr>
        <w:ind w:left="700" w:right="220" w:hanging="356"/>
        <w:spacing w:after="0" w:line="222" w:lineRule="auto"/>
        <w:tabs>
          <w:tab w:leader="none" w:pos="700" w:val="left"/>
        </w:tabs>
        <w:numPr>
          <w:ilvl w:val="0"/>
          <w:numId w:val="53"/>
        </w:numPr>
        <w:rPr>
          <w:rFonts w:ascii="Arial" w:cs="Arial" w:eastAsia="Arial" w:hAnsi="Arial"/>
          <w:sz w:val="18"/>
          <w:szCs w:val="18"/>
          <w:color w:val="005C7D"/>
        </w:rPr>
      </w:pPr>
      <w:r>
        <w:rPr>
          <w:rFonts w:ascii="Arial" w:cs="Arial" w:eastAsia="Arial" w:hAnsi="Arial"/>
          <w:sz w:val="18"/>
          <w:szCs w:val="18"/>
          <w:color w:val="auto"/>
        </w:rPr>
        <w:t>Our total shareholder return (“TSR”) for 2016 was approximately 30%, which exceeded the 75</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percentile of the peer group used to measure our TSR performance under the long-term incentives awarded to our named executive officers in 2016.</w:t>
      </w:r>
    </w:p>
    <w:p>
      <w:pPr>
        <w:spacing w:after="0" w:line="274"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005C7D"/>
        </w:rPr>
        <w:t>40</w:t>
      </w:r>
      <w:r>
        <w:rPr>
          <w:sz w:val="20"/>
          <w:szCs w:val="20"/>
          <w:color w:val="auto"/>
        </w:rPr>
        <w:tab/>
      </w: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6071870" cy="431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-106045</wp:posOffset>
            </wp:positionV>
            <wp:extent cx="154305"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6" w:name="page47"/>
    <w:bookmarkEnd w:id="46"/>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0718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9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COMPENSATION PHILOSOPHY, 2016 TARGET PAY AND 2016 INCENTIVE PLAN PAYOUTS</w:t>
      </w:r>
    </w:p>
    <w:p>
      <w:pPr>
        <w:spacing w:after="0" w:line="175" w:lineRule="exact"/>
        <w:rPr>
          <w:sz w:val="20"/>
          <w:szCs w:val="20"/>
          <w:color w:val="auto"/>
        </w:rPr>
      </w:pPr>
    </w:p>
    <w:p>
      <w:pPr>
        <w:ind w:left="7"/>
        <w:spacing w:after="0" w:line="255" w:lineRule="auto"/>
        <w:rPr>
          <w:rFonts w:ascii="Arial" w:cs="Arial" w:eastAsia="Arial" w:hAnsi="Arial"/>
          <w:sz w:val="18"/>
          <w:szCs w:val="18"/>
          <w:color w:val="auto"/>
        </w:rPr>
      </w:pPr>
      <w:r>
        <w:rPr>
          <w:rFonts w:ascii="Arial" w:cs="Arial" w:eastAsia="Arial" w:hAnsi="Arial"/>
          <w:sz w:val="18"/>
          <w:szCs w:val="18"/>
          <w:i w:val="1"/>
          <w:iCs w:val="1"/>
          <w:color w:val="auto"/>
        </w:rPr>
        <w:t>Compensation Philosophy</w:t>
      </w:r>
      <w:r>
        <w:rPr>
          <w:rFonts w:ascii="Arial" w:cs="Arial" w:eastAsia="Arial" w:hAnsi="Arial"/>
          <w:sz w:val="18"/>
          <w:szCs w:val="18"/>
          <w:color w:val="auto"/>
        </w:rPr>
        <w:t>. Our compensation philosophy supports a pay-for-performance culture. We target base salaries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annual and long-term incentive opportunities to approximate market median compensation levels, subject to adjustments based on experience, performance, the other individual factors as described in “– Use of Market Data and Competitive Compensation Positioning” beginning on page </w:t>
      </w:r>
      <w:hyperlink w:anchor="page51">
        <w:r>
          <w:rPr>
            <w:rFonts w:ascii="Arial" w:cs="Arial" w:eastAsia="Arial" w:hAnsi="Arial"/>
            <w:sz w:val="18"/>
            <w:szCs w:val="18"/>
            <w:u w:val="single" w:color="auto"/>
            <w:color w:val="0000EE"/>
          </w:rPr>
          <w:t>45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as otherwise appropriate. The majority of each executive’s target pay is in the form of incentive compensation, which is subject to future performance to have any realized value. See the information in “– Mix of Pay” on page </w:t>
      </w:r>
      <w:hyperlink w:anchor="page50">
        <w:r>
          <w:rPr>
            <w:rFonts w:ascii="Arial" w:cs="Arial" w:eastAsia="Arial" w:hAnsi="Arial"/>
            <w:sz w:val="18"/>
            <w:szCs w:val="18"/>
            <w:u w:val="single" w:color="auto"/>
            <w:color w:val="0000EE"/>
          </w:rPr>
          <w:t>44</w:t>
        </w:r>
      </w:hyperlink>
      <w:r>
        <w:rPr>
          <w:rFonts w:ascii="Arial" w:cs="Arial" w:eastAsia="Arial" w:hAnsi="Arial"/>
          <w:sz w:val="18"/>
          <w:szCs w:val="18"/>
          <w:color w:val="auto"/>
        </w:rPr>
        <w:t>.</w:t>
      </w:r>
    </w:p>
    <w:p>
      <w:pPr>
        <w:spacing w:after="0" w:line="139" w:lineRule="exact"/>
        <w:rPr>
          <w:sz w:val="20"/>
          <w:szCs w:val="20"/>
          <w:color w:val="auto"/>
        </w:rPr>
      </w:pPr>
    </w:p>
    <w:p>
      <w:pPr>
        <w:ind w:left="7" w:right="380"/>
        <w:spacing w:after="0" w:line="264" w:lineRule="auto"/>
        <w:rPr>
          <w:sz w:val="20"/>
          <w:szCs w:val="20"/>
          <w:color w:val="auto"/>
        </w:rPr>
      </w:pPr>
      <w:r>
        <w:rPr>
          <w:rFonts w:ascii="Arial" w:cs="Arial" w:eastAsia="Arial" w:hAnsi="Arial"/>
          <w:sz w:val="18"/>
          <w:szCs w:val="18"/>
          <w:i w:val="1"/>
          <w:iCs w:val="1"/>
          <w:color w:val="auto"/>
        </w:rPr>
        <w:t>2016 Target Pay</w:t>
      </w:r>
      <w:r>
        <w:rPr>
          <w:rFonts w:ascii="Arial" w:cs="Arial" w:eastAsia="Arial" w:hAnsi="Arial"/>
          <w:sz w:val="18"/>
          <w:szCs w:val="18"/>
          <w:color w:val="auto"/>
        </w:rPr>
        <w:t>. The table below details each named executive officer’s 2016 base salary, target annual incentive opportunity</w:t>
      </w:r>
      <w:r>
        <w:rPr>
          <w:rFonts w:ascii="Arial" w:cs="Arial" w:eastAsia="Arial" w:hAnsi="Arial"/>
          <w:sz w:val="18"/>
          <w:szCs w:val="18"/>
          <w:i w:val="1"/>
          <w:iCs w:val="1"/>
          <w:color w:val="auto"/>
        </w:rPr>
        <w:t xml:space="preserve"> </w:t>
      </w:r>
      <w:r>
        <w:rPr>
          <w:rFonts w:ascii="Arial" w:cs="Arial" w:eastAsia="Arial" w:hAnsi="Arial"/>
          <w:sz w:val="18"/>
          <w:szCs w:val="18"/>
          <w:color w:val="auto"/>
        </w:rPr>
        <w:t>(“target bonus”) and grant date target value of long-term incentive awards (collectively, “target pay”), and changes in target pay relative to 2015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60718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1"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rPr>
              <w:t>Target Bonus</w:t>
            </w:r>
          </w:p>
        </w:tc>
        <w:tc>
          <w:tcPr>
            <w:tcW w:w="180" w:type="dxa"/>
            <w:vAlign w:val="bottom"/>
          </w:tcPr>
          <w:p>
            <w:pPr>
              <w:spacing w:after="0"/>
              <w:rPr>
                <w:sz w:val="14"/>
                <w:szCs w:val="14"/>
                <w:color w:val="auto"/>
              </w:rPr>
            </w:pPr>
          </w:p>
        </w:tc>
        <w:tc>
          <w:tcPr>
            <w:tcW w:w="20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Target Value of</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180" w:type="dxa"/>
            <w:vAlign w:val="bottom"/>
          </w:tcPr>
          <w:p>
            <w:pPr>
              <w:spacing w:after="0"/>
              <w:rPr>
                <w:sz w:val="14"/>
                <w:szCs w:val="14"/>
                <w:color w:val="auto"/>
              </w:rPr>
            </w:pPr>
          </w:p>
        </w:tc>
        <w:tc>
          <w:tcPr>
            <w:tcW w:w="500" w:type="dxa"/>
            <w:vAlign w:val="bottom"/>
            <w:tcBorders>
              <w:bottom w:val="single" w:sz="8" w:color="005C7D"/>
            </w:tcBorders>
          </w:tcPr>
          <w:p>
            <w:pPr>
              <w:spacing w:after="0"/>
              <w:rPr>
                <w:sz w:val="14"/>
                <w:szCs w:val="14"/>
                <w:color w:val="auto"/>
              </w:rPr>
            </w:pPr>
          </w:p>
        </w:tc>
        <w:tc>
          <w:tcPr>
            <w:tcW w:w="1280" w:type="dxa"/>
            <w:vAlign w:val="bottom"/>
            <w:tcBorders>
              <w:bottom w:val="single" w:sz="8" w:color="005C7D"/>
            </w:tcBorders>
            <w:gridSpan w:val="2"/>
          </w:tcPr>
          <w:p>
            <w:pPr>
              <w:jc w:val="right"/>
              <w:ind w:right="613"/>
              <w:spacing w:after="0"/>
              <w:rPr>
                <w:sz w:val="20"/>
                <w:szCs w:val="20"/>
                <w:color w:val="auto"/>
              </w:rPr>
            </w:pPr>
            <w:r>
              <w:rPr>
                <w:rFonts w:ascii="Arial" w:cs="Arial" w:eastAsia="Arial" w:hAnsi="Arial"/>
                <w:sz w:val="14"/>
                <w:szCs w:val="14"/>
                <w:b w:val="1"/>
                <w:bCs w:val="1"/>
                <w:color w:val="auto"/>
              </w:rPr>
              <w:t>Salary</w:t>
            </w:r>
          </w:p>
        </w:tc>
        <w:tc>
          <w:tcPr>
            <w:tcW w:w="180" w:type="dxa"/>
            <w:vAlign w:val="bottom"/>
          </w:tcPr>
          <w:p>
            <w:pPr>
              <w:spacing w:after="0"/>
              <w:rPr>
                <w:sz w:val="14"/>
                <w:szCs w:val="14"/>
                <w:color w:val="auto"/>
              </w:rPr>
            </w:pPr>
          </w:p>
        </w:tc>
        <w:tc>
          <w:tcPr>
            <w:tcW w:w="1200" w:type="dxa"/>
            <w:vAlign w:val="bottom"/>
            <w:tcBorders>
              <w:bottom w:val="single" w:sz="8" w:color="005C7D"/>
            </w:tcBorders>
            <w:gridSpan w:val="2"/>
          </w:tcPr>
          <w:p>
            <w:pPr>
              <w:jc w:val="right"/>
              <w:ind w:right="73"/>
              <w:spacing w:after="0"/>
              <w:rPr>
                <w:sz w:val="20"/>
                <w:szCs w:val="20"/>
                <w:color w:val="auto"/>
              </w:rPr>
            </w:pPr>
            <w:r>
              <w:rPr>
                <w:rFonts w:ascii="Arial" w:cs="Arial" w:eastAsia="Arial" w:hAnsi="Arial"/>
                <w:sz w:val="14"/>
                <w:szCs w:val="14"/>
                <w:b w:val="1"/>
                <w:bCs w:val="1"/>
                <w:color w:val="auto"/>
              </w:rPr>
              <w:t>as % of Salary</w:t>
            </w:r>
          </w:p>
        </w:tc>
        <w:tc>
          <w:tcPr>
            <w:tcW w:w="180" w:type="dxa"/>
            <w:vAlign w:val="bottom"/>
          </w:tcPr>
          <w:p>
            <w:pPr>
              <w:spacing w:after="0"/>
              <w:rPr>
                <w:sz w:val="14"/>
                <w:szCs w:val="14"/>
                <w:color w:val="auto"/>
              </w:rPr>
            </w:pPr>
          </w:p>
        </w:tc>
        <w:tc>
          <w:tcPr>
            <w:tcW w:w="1880" w:type="dxa"/>
            <w:vAlign w:val="bottom"/>
            <w:tcBorders>
              <w:bottom w:val="single" w:sz="8" w:color="005C7D"/>
            </w:tcBorders>
            <w:gridSpan w:val="2"/>
          </w:tcPr>
          <w:p>
            <w:pPr>
              <w:jc w:val="right"/>
              <w:ind w:right="173"/>
              <w:spacing w:after="0"/>
              <w:rPr>
                <w:sz w:val="20"/>
                <w:szCs w:val="20"/>
                <w:color w:val="auto"/>
              </w:rPr>
            </w:pPr>
            <w:r>
              <w:rPr>
                <w:rFonts w:ascii="Arial" w:cs="Arial" w:eastAsia="Arial" w:hAnsi="Arial"/>
                <w:sz w:val="14"/>
                <w:szCs w:val="14"/>
                <w:b w:val="1"/>
                <w:bCs w:val="1"/>
                <w:color w:val="auto"/>
              </w:rPr>
              <w:t>Long-Term Incentives</w:t>
            </w:r>
          </w:p>
        </w:tc>
        <w:tc>
          <w:tcPr>
            <w:tcW w:w="180" w:type="dxa"/>
            <w:vAlign w:val="bottom"/>
          </w:tcPr>
          <w:p>
            <w:pPr>
              <w:spacing w:after="0"/>
              <w:rPr>
                <w:sz w:val="14"/>
                <w:szCs w:val="14"/>
                <w:color w:val="auto"/>
              </w:rPr>
            </w:pPr>
          </w:p>
        </w:tc>
        <w:tc>
          <w:tcPr>
            <w:tcW w:w="1880" w:type="dxa"/>
            <w:vAlign w:val="bottom"/>
            <w:tcBorders>
              <w:bottom w:val="single" w:sz="8" w:color="005C7D"/>
            </w:tcBorders>
            <w:gridSpan w:val="2"/>
          </w:tcPr>
          <w:p>
            <w:pPr>
              <w:jc w:val="right"/>
              <w:ind w:right="513"/>
              <w:spacing w:after="0"/>
              <w:rPr>
                <w:sz w:val="20"/>
                <w:szCs w:val="20"/>
                <w:color w:val="auto"/>
              </w:rPr>
            </w:pPr>
            <w:r>
              <w:rPr>
                <w:rFonts w:ascii="Arial" w:cs="Arial" w:eastAsia="Arial" w:hAnsi="Arial"/>
                <w:sz w:val="14"/>
                <w:szCs w:val="14"/>
                <w:b w:val="1"/>
                <w:bCs w:val="1"/>
                <w:color w:val="auto"/>
              </w:rPr>
              <w:t>Target Pay</w:t>
            </w:r>
          </w:p>
        </w:tc>
        <w:tc>
          <w:tcPr>
            <w:tcW w:w="100" w:type="dxa"/>
            <w:vAlign w:val="bottom"/>
          </w:tcPr>
          <w:p>
            <w:pPr>
              <w:spacing w:after="0"/>
              <w:rPr>
                <w:sz w:val="14"/>
                <w:szCs w:val="14"/>
                <w:color w:val="auto"/>
              </w:rPr>
            </w:pPr>
          </w:p>
        </w:tc>
      </w:tr>
      <w:tr>
        <w:trPr>
          <w:trHeight w:val="196"/>
        </w:trPr>
        <w:tc>
          <w:tcPr>
            <w:tcW w:w="2180" w:type="dxa"/>
            <w:vAlign w:val="bottom"/>
            <w:tcBorders>
              <w:bottom w:val="single" w:sz="8" w:color="005C7D"/>
            </w:tcBorders>
          </w:tcPr>
          <w:p>
            <w:pPr>
              <w:spacing w:after="0"/>
              <w:rPr>
                <w:sz w:val="17"/>
                <w:szCs w:val="17"/>
                <w:color w:val="auto"/>
              </w:rPr>
            </w:pPr>
          </w:p>
        </w:tc>
        <w:tc>
          <w:tcPr>
            <w:tcW w:w="500" w:type="dxa"/>
            <w:vAlign w:val="bottom"/>
            <w:tcBorders>
              <w:bottom w:val="single" w:sz="8" w:color="005C7D"/>
            </w:tcBorders>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005C7D"/>
            </w:tcBorders>
          </w:tcPr>
          <w:p>
            <w:pPr>
              <w:spacing w:after="0"/>
              <w:rPr>
                <w:sz w:val="17"/>
                <w:szCs w:val="17"/>
                <w:color w:val="auto"/>
              </w:rPr>
            </w:pPr>
          </w:p>
        </w:tc>
        <w:tc>
          <w:tcPr>
            <w:tcW w:w="1040" w:type="dxa"/>
            <w:vAlign w:val="bottom"/>
            <w:tcBorders>
              <w:bottom w:val="single" w:sz="8" w:color="005C7D"/>
            </w:tcBorders>
            <w:gridSpan w:val="2"/>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560" w:type="dxa"/>
            <w:vAlign w:val="bottom"/>
            <w:tcBorders>
              <w:bottom w:val="single" w:sz="8" w:color="005C7D"/>
            </w:tcBorders>
          </w:tcPr>
          <w:p>
            <w:pPr>
              <w:jc w:val="right"/>
              <w:ind w:right="137"/>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005C7D"/>
            </w:tcBorders>
          </w:tcPr>
          <w:p>
            <w:pPr>
              <w:jc w:val="right"/>
              <w:spacing w:after="0"/>
              <w:rPr>
                <w:sz w:val="20"/>
                <w:szCs w:val="20"/>
                <w:color w:val="auto"/>
              </w:rPr>
            </w:pPr>
            <w:r>
              <w:rPr>
                <w:rFonts w:ascii="Arial" w:cs="Arial" w:eastAsia="Arial" w:hAnsi="Arial"/>
                <w:sz w:val="14"/>
                <w:szCs w:val="14"/>
                <w:b w:val="1"/>
                <w:bCs w:val="1"/>
                <w:color w:val="auto"/>
                <w:w w:val="98"/>
              </w:rPr>
              <w:t>(Change)</w:t>
            </w:r>
          </w:p>
        </w:tc>
        <w:tc>
          <w:tcPr>
            <w:tcW w:w="1180" w:type="dxa"/>
            <w:vAlign w:val="bottom"/>
            <w:tcBorders>
              <w:bottom w:val="single" w:sz="8" w:color="005C7D"/>
            </w:tcBorders>
            <w:gridSpan w:val="2"/>
          </w:tcPr>
          <w:p>
            <w:pPr>
              <w:jc w:val="right"/>
              <w:ind w:right="38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5C7D"/>
            </w:tcBorders>
            <w:gridSpan w:val="2"/>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1020" w:type="dxa"/>
            <w:vAlign w:val="bottom"/>
            <w:tcBorders>
              <w:bottom w:val="single" w:sz="8" w:color="005C7D"/>
            </w:tcBorders>
          </w:tcPr>
          <w:p>
            <w:pPr>
              <w:jc w:val="right"/>
              <w:ind w:right="395"/>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005C7D"/>
            </w:tcBorders>
            <w:gridSpan w:val="2"/>
          </w:tcPr>
          <w:p>
            <w:pPr>
              <w:jc w:val="right"/>
              <w:ind w:right="100"/>
              <w:spacing w:after="0"/>
              <w:rPr>
                <w:sz w:val="20"/>
                <w:szCs w:val="20"/>
                <w:color w:val="auto"/>
              </w:rPr>
            </w:pPr>
            <w:r>
              <w:rPr>
                <w:rFonts w:ascii="Arial" w:cs="Arial" w:eastAsia="Arial" w:hAnsi="Arial"/>
                <w:sz w:val="14"/>
                <w:szCs w:val="14"/>
                <w:b w:val="1"/>
                <w:bCs w:val="1"/>
                <w:color w:val="auto"/>
              </w:rPr>
              <w:t>(% Change)</w:t>
            </w:r>
          </w:p>
        </w:tc>
      </w:tr>
      <w:tr>
        <w:trPr>
          <w:trHeight w:val="237"/>
        </w:trPr>
        <w:tc>
          <w:tcPr>
            <w:tcW w:w="2180" w:type="dxa"/>
            <w:vAlign w:val="bottom"/>
            <w:shd w:val="clear" w:color="auto" w:fill="CDDAE6"/>
          </w:tcPr>
          <w:p>
            <w:pPr>
              <w:ind w:left="20"/>
              <w:spacing w:after="0"/>
              <w:rPr>
                <w:sz w:val="20"/>
                <w:szCs w:val="20"/>
                <w:color w:val="auto"/>
              </w:rPr>
            </w:pPr>
            <w:r>
              <w:rPr>
                <w:rFonts w:ascii="Arial" w:cs="Arial" w:eastAsia="Arial" w:hAnsi="Arial"/>
                <w:sz w:val="18"/>
                <w:szCs w:val="18"/>
                <w:color w:val="auto"/>
              </w:rPr>
              <w:t>Michael T. Strianese</w:t>
            </w:r>
          </w:p>
        </w:tc>
        <w:tc>
          <w:tcPr>
            <w:tcW w:w="920" w:type="dxa"/>
            <w:vAlign w:val="bottom"/>
            <w:gridSpan w:val="2"/>
            <w:shd w:val="clear" w:color="auto" w:fill="CDDAE6"/>
          </w:tcPr>
          <w:p>
            <w:pPr>
              <w:jc w:val="right"/>
              <w:ind w:right="28"/>
              <w:spacing w:after="0"/>
              <w:rPr>
                <w:sz w:val="20"/>
                <w:szCs w:val="20"/>
                <w:color w:val="auto"/>
              </w:rPr>
            </w:pPr>
            <w:r>
              <w:rPr>
                <w:rFonts w:ascii="Arial" w:cs="Arial" w:eastAsia="Arial" w:hAnsi="Arial"/>
                <w:sz w:val="18"/>
                <w:szCs w:val="18"/>
                <w:color w:val="auto"/>
                <w:w w:val="99"/>
              </w:rPr>
              <w:t>1,390,000</w:t>
            </w:r>
          </w:p>
        </w:tc>
        <w:tc>
          <w:tcPr>
            <w:tcW w:w="1040" w:type="dxa"/>
            <w:vAlign w:val="bottom"/>
            <w:gridSpan w:val="2"/>
            <w:shd w:val="clear" w:color="auto" w:fill="CDDAE6"/>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DDAE6"/>
          </w:tcPr>
          <w:p>
            <w:pPr>
              <w:jc w:val="right"/>
              <w:spacing w:after="0"/>
              <w:rPr>
                <w:sz w:val="20"/>
                <w:szCs w:val="20"/>
                <w:color w:val="auto"/>
              </w:rPr>
            </w:pPr>
            <w:r>
              <w:rPr>
                <w:rFonts w:ascii="Arial" w:cs="Arial" w:eastAsia="Arial" w:hAnsi="Arial"/>
                <w:sz w:val="18"/>
                <w:szCs w:val="18"/>
                <w:color w:val="auto"/>
              </w:rPr>
              <w:t>165%</w:t>
            </w:r>
          </w:p>
        </w:tc>
        <w:tc>
          <w:tcPr>
            <w:tcW w:w="640" w:type="dxa"/>
            <w:vAlign w:val="bottom"/>
            <w:shd w:val="clear" w:color="auto" w:fill="CDDAE6"/>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DDAE6"/>
          </w:tcPr>
          <w:p>
            <w:pPr>
              <w:jc w:val="right"/>
              <w:ind w:right="28"/>
              <w:spacing w:after="0"/>
              <w:rPr>
                <w:sz w:val="20"/>
                <w:szCs w:val="20"/>
                <w:color w:val="auto"/>
              </w:rPr>
            </w:pPr>
            <w:r>
              <w:rPr>
                <w:rFonts w:ascii="Arial" w:cs="Arial" w:eastAsia="Arial" w:hAnsi="Arial"/>
                <w:sz w:val="18"/>
                <w:szCs w:val="18"/>
                <w:color w:val="auto"/>
              </w:rPr>
              <w:t>10,000,000</w:t>
            </w:r>
          </w:p>
        </w:tc>
        <w:tc>
          <w:tcPr>
            <w:tcW w:w="1060" w:type="dxa"/>
            <w:vAlign w:val="bottom"/>
            <w:gridSpan w:val="2"/>
            <w:shd w:val="clear" w:color="auto" w:fill="CDDAE6"/>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DDAE6"/>
          </w:tcPr>
          <w:p>
            <w:pPr>
              <w:jc w:val="right"/>
              <w:ind w:right="35"/>
              <w:spacing w:after="0"/>
              <w:rPr>
                <w:sz w:val="20"/>
                <w:szCs w:val="20"/>
                <w:color w:val="auto"/>
              </w:rPr>
            </w:pPr>
            <w:r>
              <w:rPr>
                <w:rFonts w:ascii="Arial" w:cs="Arial" w:eastAsia="Arial" w:hAnsi="Arial"/>
                <w:sz w:val="18"/>
                <w:szCs w:val="18"/>
                <w:color w:val="auto"/>
                <w:w w:val="97"/>
              </w:rPr>
              <w:t>13,683,500</w:t>
            </w:r>
          </w:p>
        </w:tc>
        <w:tc>
          <w:tcPr>
            <w:tcW w:w="960" w:type="dxa"/>
            <w:vAlign w:val="bottom"/>
            <w:gridSpan w:val="2"/>
            <w:shd w:val="clear" w:color="auto" w:fill="CDDAE6"/>
          </w:tcPr>
          <w:p>
            <w:pPr>
              <w:jc w:val="right"/>
              <w:ind w:right="160"/>
              <w:spacing w:after="0"/>
              <w:rPr>
                <w:sz w:val="20"/>
                <w:szCs w:val="20"/>
                <w:color w:val="auto"/>
              </w:rPr>
            </w:pPr>
            <w:r>
              <w:rPr>
                <w:rFonts w:ascii="Arial" w:cs="Arial" w:eastAsia="Arial" w:hAnsi="Arial"/>
                <w:sz w:val="18"/>
                <w:szCs w:val="18"/>
                <w:color w:val="auto"/>
              </w:rPr>
              <w:t>—</w:t>
            </w:r>
          </w:p>
        </w:tc>
      </w:tr>
      <w:tr>
        <w:trPr>
          <w:trHeight w:val="284"/>
        </w:trPr>
        <w:tc>
          <w:tcPr>
            <w:tcW w:w="2180" w:type="dxa"/>
            <w:vAlign w:val="bottom"/>
          </w:tcPr>
          <w:p>
            <w:pPr>
              <w:ind w:left="20"/>
              <w:spacing w:after="0" w:line="284" w:lineRule="exact"/>
              <w:rPr>
                <w:sz w:val="20"/>
                <w:szCs w:val="20"/>
                <w:color w:val="auto"/>
              </w:rPr>
            </w:pPr>
            <w:r>
              <w:rPr>
                <w:rFonts w:ascii="Arial" w:cs="Arial" w:eastAsia="Arial" w:hAnsi="Arial"/>
                <w:sz w:val="18"/>
                <w:szCs w:val="18"/>
                <w:color w:val="auto"/>
              </w:rPr>
              <w:t>Christopher E. Kubasik</w:t>
            </w:r>
            <w:r>
              <w:rPr>
                <w:rFonts w:ascii="Arial" w:cs="Arial" w:eastAsia="Arial" w:hAnsi="Arial"/>
                <w:sz w:val="29"/>
                <w:szCs w:val="29"/>
                <w:color w:val="auto"/>
                <w:vertAlign w:val="superscript"/>
              </w:rPr>
              <w:t>(1)</w:t>
            </w:r>
          </w:p>
        </w:tc>
        <w:tc>
          <w:tcPr>
            <w:tcW w:w="920" w:type="dxa"/>
            <w:vAlign w:val="bottom"/>
            <w:gridSpan w:val="2"/>
          </w:tcPr>
          <w:p>
            <w:pPr>
              <w:jc w:val="right"/>
              <w:ind w:right="28"/>
              <w:spacing w:after="0"/>
              <w:rPr>
                <w:sz w:val="20"/>
                <w:szCs w:val="20"/>
                <w:color w:val="auto"/>
              </w:rPr>
            </w:pPr>
            <w:r>
              <w:rPr>
                <w:rFonts w:ascii="Arial" w:cs="Arial" w:eastAsia="Arial" w:hAnsi="Arial"/>
                <w:sz w:val="18"/>
                <w:szCs w:val="18"/>
                <w:color w:val="auto"/>
              </w:rPr>
              <w:t>907,500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
              <w:spacing w:after="0"/>
              <w:rPr>
                <w:sz w:val="20"/>
                <w:szCs w:val="20"/>
                <w:color w:val="auto"/>
              </w:rPr>
            </w:pPr>
            <w:r>
              <w:rPr>
                <w:rFonts w:ascii="Arial" w:cs="Arial" w:eastAsia="Arial" w:hAnsi="Arial"/>
                <w:sz w:val="18"/>
                <w:szCs w:val="18"/>
                <w:color w:val="auto"/>
              </w:rPr>
              <w:t>3,200,000</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5,015,000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43"/>
        </w:trPr>
        <w:tc>
          <w:tcPr>
            <w:tcW w:w="2180" w:type="dxa"/>
            <w:vAlign w:val="bottom"/>
            <w:shd w:val="clear" w:color="auto" w:fill="CDDAE6"/>
          </w:tcPr>
          <w:p>
            <w:pPr>
              <w:ind w:left="20"/>
              <w:spacing w:after="0"/>
              <w:rPr>
                <w:sz w:val="20"/>
                <w:szCs w:val="20"/>
                <w:color w:val="auto"/>
              </w:rPr>
            </w:pPr>
            <w:r>
              <w:rPr>
                <w:rFonts w:ascii="Arial" w:cs="Arial" w:eastAsia="Arial" w:hAnsi="Arial"/>
                <w:sz w:val="18"/>
                <w:szCs w:val="18"/>
                <w:color w:val="auto"/>
              </w:rPr>
              <w:t>Ralph G. D’Ambrosio</w:t>
            </w:r>
          </w:p>
        </w:tc>
        <w:tc>
          <w:tcPr>
            <w:tcW w:w="920" w:type="dxa"/>
            <w:vAlign w:val="bottom"/>
            <w:gridSpan w:val="2"/>
            <w:shd w:val="clear" w:color="auto" w:fill="CDDAE6"/>
          </w:tcPr>
          <w:p>
            <w:pPr>
              <w:jc w:val="right"/>
              <w:ind w:right="28"/>
              <w:spacing w:after="0"/>
              <w:rPr>
                <w:sz w:val="20"/>
                <w:szCs w:val="20"/>
                <w:color w:val="auto"/>
              </w:rPr>
            </w:pPr>
            <w:r>
              <w:rPr>
                <w:rFonts w:ascii="Arial" w:cs="Arial" w:eastAsia="Arial" w:hAnsi="Arial"/>
                <w:sz w:val="18"/>
                <w:szCs w:val="18"/>
                <w:color w:val="auto"/>
              </w:rPr>
              <w:t>709,000</w:t>
            </w:r>
          </w:p>
        </w:tc>
        <w:tc>
          <w:tcPr>
            <w:tcW w:w="1040" w:type="dxa"/>
            <w:vAlign w:val="bottom"/>
            <w:gridSpan w:val="2"/>
            <w:shd w:val="clear" w:color="auto" w:fill="CDDAE6"/>
          </w:tcPr>
          <w:p>
            <w:pPr>
              <w:jc w:val="right"/>
              <w:ind w:right="100"/>
              <w:spacing w:after="0"/>
              <w:rPr>
                <w:sz w:val="20"/>
                <w:szCs w:val="20"/>
                <w:color w:val="auto"/>
              </w:rPr>
            </w:pPr>
            <w:r>
              <w:rPr>
                <w:rFonts w:ascii="Arial" w:cs="Arial" w:eastAsia="Arial" w:hAnsi="Arial"/>
                <w:sz w:val="18"/>
                <w:szCs w:val="18"/>
                <w:color w:val="auto"/>
              </w:rPr>
              <w:t>2.0%</w:t>
            </w:r>
          </w:p>
        </w:tc>
        <w:tc>
          <w:tcPr>
            <w:tcW w:w="560" w:type="dxa"/>
            <w:vAlign w:val="bottom"/>
            <w:shd w:val="clear" w:color="auto" w:fill="CDDAE6"/>
          </w:tcPr>
          <w:p>
            <w:pPr>
              <w:jc w:val="right"/>
              <w:spacing w:after="0"/>
              <w:rPr>
                <w:sz w:val="20"/>
                <w:szCs w:val="20"/>
                <w:color w:val="auto"/>
              </w:rPr>
            </w:pPr>
            <w:r>
              <w:rPr>
                <w:rFonts w:ascii="Arial" w:cs="Arial" w:eastAsia="Arial" w:hAnsi="Arial"/>
                <w:sz w:val="18"/>
                <w:szCs w:val="18"/>
                <w:color w:val="auto"/>
              </w:rPr>
              <w:t>90%</w:t>
            </w:r>
          </w:p>
        </w:tc>
        <w:tc>
          <w:tcPr>
            <w:tcW w:w="640" w:type="dxa"/>
            <w:vAlign w:val="bottom"/>
            <w:shd w:val="clear" w:color="auto" w:fill="CDDAE6"/>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DDAE6"/>
          </w:tcPr>
          <w:p>
            <w:pPr>
              <w:jc w:val="right"/>
              <w:ind w:right="28"/>
              <w:spacing w:after="0"/>
              <w:rPr>
                <w:sz w:val="20"/>
                <w:szCs w:val="20"/>
                <w:color w:val="auto"/>
              </w:rPr>
            </w:pPr>
            <w:r>
              <w:rPr>
                <w:rFonts w:ascii="Arial" w:cs="Arial" w:eastAsia="Arial" w:hAnsi="Arial"/>
                <w:sz w:val="18"/>
                <w:szCs w:val="18"/>
                <w:color w:val="auto"/>
              </w:rPr>
              <w:t>2,625,000</w:t>
            </w:r>
          </w:p>
        </w:tc>
        <w:tc>
          <w:tcPr>
            <w:tcW w:w="1060" w:type="dxa"/>
            <w:vAlign w:val="bottom"/>
            <w:gridSpan w:val="2"/>
            <w:shd w:val="clear" w:color="auto" w:fill="CDDAE6"/>
          </w:tcPr>
          <w:p>
            <w:pPr>
              <w:jc w:val="right"/>
              <w:ind w:right="100"/>
              <w:spacing w:after="0"/>
              <w:rPr>
                <w:sz w:val="20"/>
                <w:szCs w:val="20"/>
                <w:color w:val="auto"/>
              </w:rPr>
            </w:pPr>
            <w:r>
              <w:rPr>
                <w:rFonts w:ascii="Arial" w:cs="Arial" w:eastAsia="Arial" w:hAnsi="Arial"/>
                <w:sz w:val="18"/>
                <w:szCs w:val="18"/>
                <w:color w:val="auto"/>
              </w:rPr>
              <w:t>5%</w:t>
            </w:r>
          </w:p>
        </w:tc>
        <w:tc>
          <w:tcPr>
            <w:tcW w:w="1020" w:type="dxa"/>
            <w:vAlign w:val="bottom"/>
            <w:shd w:val="clear" w:color="auto" w:fill="CDDAE6"/>
          </w:tcPr>
          <w:p>
            <w:pPr>
              <w:jc w:val="right"/>
              <w:ind w:right="35"/>
              <w:spacing w:after="0"/>
              <w:rPr>
                <w:sz w:val="20"/>
                <w:szCs w:val="20"/>
                <w:color w:val="auto"/>
              </w:rPr>
            </w:pPr>
            <w:r>
              <w:rPr>
                <w:rFonts w:ascii="Arial" w:cs="Arial" w:eastAsia="Arial" w:hAnsi="Arial"/>
                <w:sz w:val="18"/>
                <w:szCs w:val="18"/>
                <w:color w:val="auto"/>
              </w:rPr>
              <w:t>3,972,100</w:t>
            </w:r>
          </w:p>
        </w:tc>
        <w:tc>
          <w:tcPr>
            <w:tcW w:w="960" w:type="dxa"/>
            <w:vAlign w:val="bottom"/>
            <w:gridSpan w:val="2"/>
            <w:shd w:val="clear" w:color="auto" w:fill="CDDAE6"/>
          </w:tcPr>
          <w:p>
            <w:pPr>
              <w:jc w:val="right"/>
              <w:ind w:right="20"/>
              <w:spacing w:after="0"/>
              <w:rPr>
                <w:sz w:val="20"/>
                <w:szCs w:val="20"/>
                <w:color w:val="auto"/>
              </w:rPr>
            </w:pPr>
            <w:r>
              <w:rPr>
                <w:rFonts w:ascii="Arial" w:cs="Arial" w:eastAsia="Arial" w:hAnsi="Arial"/>
                <w:sz w:val="18"/>
                <w:szCs w:val="18"/>
                <w:color w:val="auto"/>
              </w:rPr>
              <w:t>4%</w:t>
            </w:r>
          </w:p>
        </w:tc>
      </w:tr>
      <w:tr>
        <w:trPr>
          <w:trHeight w:val="237"/>
        </w:trPr>
        <w:tc>
          <w:tcPr>
            <w:tcW w:w="2180" w:type="dxa"/>
            <w:vAlign w:val="bottom"/>
          </w:tcPr>
          <w:p>
            <w:pPr>
              <w:ind w:left="20"/>
              <w:spacing w:after="0"/>
              <w:rPr>
                <w:sz w:val="20"/>
                <w:szCs w:val="20"/>
                <w:color w:val="auto"/>
              </w:rPr>
            </w:pPr>
            <w:r>
              <w:rPr>
                <w:rFonts w:ascii="Arial" w:cs="Arial" w:eastAsia="Arial" w:hAnsi="Arial"/>
                <w:sz w:val="18"/>
                <w:szCs w:val="18"/>
                <w:color w:val="auto"/>
              </w:rPr>
              <w:t>Curtis Brunson</w:t>
            </w:r>
          </w:p>
        </w:tc>
        <w:tc>
          <w:tcPr>
            <w:tcW w:w="920" w:type="dxa"/>
            <w:vAlign w:val="bottom"/>
            <w:gridSpan w:val="2"/>
          </w:tcPr>
          <w:p>
            <w:pPr>
              <w:jc w:val="right"/>
              <w:ind w:right="28"/>
              <w:spacing w:after="0"/>
              <w:rPr>
                <w:sz w:val="20"/>
                <w:szCs w:val="20"/>
                <w:color w:val="auto"/>
              </w:rPr>
            </w:pPr>
            <w:r>
              <w:rPr>
                <w:rFonts w:ascii="Arial" w:cs="Arial" w:eastAsia="Arial" w:hAnsi="Arial"/>
                <w:sz w:val="18"/>
                <w:szCs w:val="18"/>
                <w:color w:val="auto"/>
              </w:rPr>
              <w:t>683,500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
              <w:spacing w:after="0"/>
              <w:rPr>
                <w:sz w:val="20"/>
                <w:szCs w:val="20"/>
                <w:color w:val="auto"/>
              </w:rPr>
            </w:pPr>
            <w:r>
              <w:rPr>
                <w:rFonts w:ascii="Arial" w:cs="Arial" w:eastAsia="Arial" w:hAnsi="Arial"/>
                <w:sz w:val="18"/>
                <w:szCs w:val="18"/>
                <w:color w:val="auto"/>
              </w:rPr>
              <w:t>2,700,000</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3,998,650</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43"/>
        </w:trPr>
        <w:tc>
          <w:tcPr>
            <w:tcW w:w="2180" w:type="dxa"/>
            <w:vAlign w:val="bottom"/>
            <w:tcBorders>
              <w:bottom w:val="single" w:sz="8" w:color="005C7D"/>
            </w:tcBorders>
            <w:shd w:val="clear" w:color="auto" w:fill="CDDAE6"/>
          </w:tcPr>
          <w:p>
            <w:pPr>
              <w:ind w:left="20"/>
              <w:spacing w:after="0"/>
              <w:rPr>
                <w:sz w:val="20"/>
                <w:szCs w:val="20"/>
                <w:color w:val="auto"/>
              </w:rPr>
            </w:pPr>
            <w:r>
              <w:rPr>
                <w:rFonts w:ascii="Arial" w:cs="Arial" w:eastAsia="Arial" w:hAnsi="Arial"/>
                <w:sz w:val="18"/>
                <w:szCs w:val="18"/>
                <w:color w:val="auto"/>
              </w:rPr>
              <w:t>Steve Kantor</w:t>
            </w:r>
          </w:p>
        </w:tc>
        <w:tc>
          <w:tcPr>
            <w:tcW w:w="920" w:type="dxa"/>
            <w:vAlign w:val="bottom"/>
            <w:tcBorders>
              <w:bottom w:val="single" w:sz="8" w:color="005C7D"/>
            </w:tcBorders>
            <w:gridSpan w:val="2"/>
            <w:shd w:val="clear" w:color="auto" w:fill="CDDAE6"/>
          </w:tcPr>
          <w:p>
            <w:pPr>
              <w:jc w:val="right"/>
              <w:ind w:right="28"/>
              <w:spacing w:after="0"/>
              <w:rPr>
                <w:sz w:val="20"/>
                <w:szCs w:val="20"/>
                <w:color w:val="auto"/>
              </w:rPr>
            </w:pPr>
            <w:r>
              <w:rPr>
                <w:rFonts w:ascii="Arial" w:cs="Arial" w:eastAsia="Arial" w:hAnsi="Arial"/>
                <w:sz w:val="18"/>
                <w:szCs w:val="18"/>
                <w:color w:val="auto"/>
              </w:rPr>
              <w:t>706,000</w:t>
            </w:r>
          </w:p>
        </w:tc>
        <w:tc>
          <w:tcPr>
            <w:tcW w:w="1040" w:type="dxa"/>
            <w:vAlign w:val="bottom"/>
            <w:tcBorders>
              <w:bottom w:val="single" w:sz="8" w:color="005C7D"/>
            </w:tcBorders>
            <w:gridSpan w:val="2"/>
            <w:shd w:val="clear" w:color="auto" w:fill="CDDAE6"/>
          </w:tcPr>
          <w:p>
            <w:pPr>
              <w:jc w:val="right"/>
              <w:ind w:right="100"/>
              <w:spacing w:after="0"/>
              <w:rPr>
                <w:sz w:val="20"/>
                <w:szCs w:val="20"/>
                <w:color w:val="auto"/>
              </w:rPr>
            </w:pPr>
            <w:r>
              <w:rPr>
                <w:rFonts w:ascii="Arial" w:cs="Arial" w:eastAsia="Arial" w:hAnsi="Arial"/>
                <w:sz w:val="18"/>
                <w:szCs w:val="18"/>
                <w:color w:val="auto"/>
              </w:rPr>
              <w:t>2.0%</w:t>
            </w:r>
          </w:p>
        </w:tc>
        <w:tc>
          <w:tcPr>
            <w:tcW w:w="560" w:type="dxa"/>
            <w:vAlign w:val="bottom"/>
            <w:tcBorders>
              <w:bottom w:val="single" w:sz="8" w:color="005C7D"/>
            </w:tcBorders>
            <w:shd w:val="clear" w:color="auto" w:fill="CDDAE6"/>
          </w:tcPr>
          <w:p>
            <w:pPr>
              <w:jc w:val="right"/>
              <w:spacing w:after="0"/>
              <w:rPr>
                <w:sz w:val="20"/>
                <w:szCs w:val="20"/>
                <w:color w:val="auto"/>
              </w:rPr>
            </w:pPr>
            <w:r>
              <w:rPr>
                <w:rFonts w:ascii="Arial" w:cs="Arial" w:eastAsia="Arial" w:hAnsi="Arial"/>
                <w:sz w:val="18"/>
                <w:szCs w:val="18"/>
                <w:color w:val="auto"/>
              </w:rPr>
              <w:t>100%</w:t>
            </w:r>
          </w:p>
        </w:tc>
        <w:tc>
          <w:tcPr>
            <w:tcW w:w="640" w:type="dxa"/>
            <w:vAlign w:val="bottom"/>
            <w:tcBorders>
              <w:bottom w:val="single" w:sz="8" w:color="005C7D"/>
            </w:tcBorders>
            <w:shd w:val="clear" w:color="auto" w:fill="CDDAE6"/>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005C7D"/>
            </w:tcBorders>
            <w:gridSpan w:val="2"/>
            <w:shd w:val="clear" w:color="auto" w:fill="CDDAE6"/>
          </w:tcPr>
          <w:p>
            <w:pPr>
              <w:jc w:val="right"/>
              <w:ind w:right="28"/>
              <w:spacing w:after="0"/>
              <w:rPr>
                <w:sz w:val="20"/>
                <w:szCs w:val="20"/>
                <w:color w:val="auto"/>
              </w:rPr>
            </w:pPr>
            <w:r>
              <w:rPr>
                <w:rFonts w:ascii="Arial" w:cs="Arial" w:eastAsia="Arial" w:hAnsi="Arial"/>
                <w:sz w:val="18"/>
                <w:szCs w:val="18"/>
                <w:color w:val="auto"/>
              </w:rPr>
              <w:t>1,650,000</w:t>
            </w:r>
          </w:p>
        </w:tc>
        <w:tc>
          <w:tcPr>
            <w:tcW w:w="1060" w:type="dxa"/>
            <w:vAlign w:val="bottom"/>
            <w:tcBorders>
              <w:bottom w:val="single" w:sz="8" w:color="005C7D"/>
            </w:tcBorders>
            <w:gridSpan w:val="2"/>
            <w:shd w:val="clear" w:color="auto" w:fill="CDDAE6"/>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005C7D"/>
            </w:tcBorders>
            <w:shd w:val="clear" w:color="auto" w:fill="CDDAE6"/>
          </w:tcPr>
          <w:p>
            <w:pPr>
              <w:jc w:val="right"/>
              <w:ind w:right="35"/>
              <w:spacing w:after="0"/>
              <w:rPr>
                <w:sz w:val="20"/>
                <w:szCs w:val="20"/>
                <w:color w:val="auto"/>
              </w:rPr>
            </w:pPr>
            <w:r>
              <w:rPr>
                <w:rFonts w:ascii="Arial" w:cs="Arial" w:eastAsia="Arial" w:hAnsi="Arial"/>
                <w:sz w:val="18"/>
                <w:szCs w:val="18"/>
                <w:color w:val="auto"/>
              </w:rPr>
              <w:t>3,062,000</w:t>
            </w:r>
          </w:p>
        </w:tc>
        <w:tc>
          <w:tcPr>
            <w:tcW w:w="960" w:type="dxa"/>
            <w:vAlign w:val="bottom"/>
            <w:tcBorders>
              <w:bottom w:val="single" w:sz="8" w:color="005C7D"/>
            </w:tcBorders>
            <w:gridSpan w:val="2"/>
            <w:shd w:val="clear" w:color="auto" w:fill="CDDAE6"/>
          </w:tcPr>
          <w:p>
            <w:pPr>
              <w:jc w:val="right"/>
              <w:ind w:right="20"/>
              <w:spacing w:after="0"/>
              <w:rPr>
                <w:sz w:val="20"/>
                <w:szCs w:val="20"/>
                <w:color w:val="auto"/>
              </w:rPr>
            </w:pPr>
            <w:r>
              <w:rPr>
                <w:rFonts w:ascii="Arial" w:cs="Arial" w:eastAsia="Arial" w:hAnsi="Arial"/>
                <w:sz w:val="18"/>
                <w:szCs w:val="18"/>
                <w:color w:val="auto"/>
              </w:rPr>
              <w:t>1%</w:t>
            </w:r>
          </w:p>
        </w:tc>
      </w:tr>
      <w:tr>
        <w:trPr>
          <w:trHeight w:val="175"/>
        </w:trPr>
        <w:tc>
          <w:tcPr>
            <w:tcW w:w="2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98" w:lineRule="exact"/>
        <w:rPr>
          <w:sz w:val="20"/>
          <w:szCs w:val="20"/>
          <w:color w:val="auto"/>
        </w:rPr>
      </w:pPr>
    </w:p>
    <w:p>
      <w:pPr>
        <w:jc w:val="both"/>
        <w:ind w:left="347" w:right="20" w:hanging="347"/>
        <w:spacing w:after="0" w:line="305" w:lineRule="auto"/>
        <w:tabs>
          <w:tab w:leader="none" w:pos="347" w:val="left"/>
        </w:tabs>
        <w:numPr>
          <w:ilvl w:val="0"/>
          <w:numId w:val="54"/>
        </w:numPr>
        <w:rPr>
          <w:rFonts w:ascii="Arial" w:cs="Arial" w:eastAsia="Arial" w:hAnsi="Arial"/>
          <w:sz w:val="15"/>
          <w:szCs w:val="15"/>
          <w:color w:val="auto"/>
        </w:rPr>
      </w:pPr>
      <w:r>
        <w:rPr>
          <w:rFonts w:ascii="Arial" w:cs="Arial" w:eastAsia="Arial" w:hAnsi="Arial"/>
          <w:sz w:val="15"/>
          <w:szCs w:val="15"/>
          <w:color w:val="auto"/>
        </w:rPr>
        <w:t>Mr. Kubasik was hired by L3 on October 28, 2015 at an initial annual base salary of $900,000 and a target bonus of 100% of base salary. The Committee further approved a special, one-time grant of stock options for Mr. Kubasik in 2015 in connection with his hire, which is excluded from this table because it was not relevant to the Committee’s determination of Mr. Kubasik’s target pay for 2016.</w:t>
      </w:r>
    </w:p>
    <w:p>
      <w:pPr>
        <w:spacing w:after="0" w:line="108" w:lineRule="exact"/>
        <w:rPr>
          <w:sz w:val="20"/>
          <w:szCs w:val="20"/>
          <w:color w:val="auto"/>
        </w:rPr>
      </w:pPr>
    </w:p>
    <w:p>
      <w:pPr>
        <w:ind w:left="7" w:right="40"/>
        <w:spacing w:after="0" w:line="255" w:lineRule="auto"/>
        <w:rPr>
          <w:rFonts w:ascii="Arial" w:cs="Arial" w:eastAsia="Arial" w:hAnsi="Arial"/>
          <w:sz w:val="18"/>
          <w:szCs w:val="18"/>
          <w:color w:val="0000EE"/>
        </w:rPr>
      </w:pPr>
      <w:r>
        <w:rPr>
          <w:rFonts w:ascii="Arial" w:cs="Arial" w:eastAsia="Arial" w:hAnsi="Arial"/>
          <w:sz w:val="18"/>
          <w:szCs w:val="18"/>
          <w:color w:val="auto"/>
        </w:rPr>
        <w:t xml:space="preserve">For 2016, our Chief Executive Officer’s base salary, target bonus and grant date target value of long-term incentive awards were held constant at 2015 levels. The Committee made no increases to the target pay of our other named executive officers except for ordinary course increases in base salary (prorated, in the case of Mr. Kubasik, to reflect his hire date) and a 5% increase in the target value of Mr. D’Ambrosio’s long-term incentive awards intended to bring his pay closer to market median. Following these pay adjustments, the target pay for each of our named executive officers in 2016 was within a range that approximates 80% to 120% of market median. For a further discussion, see “– Use of Market Data and Competitive Compensation Positioning” beginning on page </w:t>
      </w:r>
      <w:hyperlink w:anchor="page51">
        <w:r>
          <w:rPr>
            <w:rFonts w:ascii="Arial" w:cs="Arial" w:eastAsia="Arial" w:hAnsi="Arial"/>
            <w:sz w:val="18"/>
            <w:szCs w:val="18"/>
            <w:u w:val="single" w:color="auto"/>
            <w:color w:val="0000EE"/>
          </w:rPr>
          <w:t>45</w:t>
        </w:r>
      </w:hyperlink>
      <w:r>
        <w:rPr>
          <w:rFonts w:ascii="Arial" w:cs="Arial" w:eastAsia="Arial" w:hAnsi="Arial"/>
          <w:sz w:val="18"/>
          <w:szCs w:val="18"/>
          <w:color w:val="000000"/>
        </w:rPr>
        <w:t>.</w:t>
      </w:r>
    </w:p>
    <w:p>
      <w:pPr>
        <w:spacing w:after="0" w:line="135" w:lineRule="exact"/>
        <w:rPr>
          <w:sz w:val="20"/>
          <w:szCs w:val="20"/>
          <w:color w:val="auto"/>
        </w:rPr>
      </w:pPr>
    </w:p>
    <w:p>
      <w:pPr>
        <w:ind w:left="7" w:right="340"/>
        <w:spacing w:after="0" w:line="277" w:lineRule="auto"/>
        <w:rPr>
          <w:sz w:val="20"/>
          <w:szCs w:val="20"/>
          <w:color w:val="auto"/>
        </w:rPr>
      </w:pPr>
      <w:r>
        <w:rPr>
          <w:rFonts w:ascii="Arial" w:cs="Arial" w:eastAsia="Arial" w:hAnsi="Arial"/>
          <w:sz w:val="18"/>
          <w:szCs w:val="18"/>
          <w:i w:val="1"/>
          <w:iCs w:val="1"/>
          <w:color w:val="auto"/>
        </w:rPr>
        <w:t>2016 Incentive Plan Payouts</w:t>
      </w:r>
      <w:r>
        <w:rPr>
          <w:rFonts w:ascii="Arial" w:cs="Arial" w:eastAsia="Arial" w:hAnsi="Arial"/>
          <w:sz w:val="18"/>
          <w:szCs w:val="18"/>
          <w:color w:val="auto"/>
        </w:rPr>
        <w:t>. Payouts under our annual incentive plan and our long-term incentive plan performance awards are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achievement of pre-established targets.</w:t>
      </w:r>
    </w:p>
    <w:p>
      <w:pPr>
        <w:spacing w:after="0" w:line="116" w:lineRule="exact"/>
        <w:rPr>
          <w:sz w:val="20"/>
          <w:szCs w:val="20"/>
          <w:color w:val="auto"/>
        </w:rPr>
      </w:pPr>
    </w:p>
    <w:p>
      <w:pPr>
        <w:ind w:left="7" w:right="60"/>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With respect to our annual incentive plan, our overall 2016 corporate performance was above plan targets, which are based on consolidated EPS and FCF, and performance at our Electronic Systems segment also exceeded plan targets, which are based on segment operating income and FCF. Accordingly, calculated payouts under our annual incentive plan were above target for both our corporate named executive officers (Messrs. Strianese, Kubasik, D’Ambrosio and Brunson) and for our group named executive officer (Mr. Kantor) who served as the president of our Electronic Systems segment during 2016. For a further discussion, see “– Elements of 2016 Target Pay – Annual Incentives” beginning on page </w:t>
      </w:r>
      <w:hyperlink w:anchor="page53">
        <w:r>
          <w:rPr>
            <w:rFonts w:ascii="Arial" w:cs="Arial" w:eastAsia="Arial" w:hAnsi="Arial"/>
            <w:sz w:val="17"/>
            <w:szCs w:val="17"/>
            <w:u w:val="single" w:color="auto"/>
            <w:color w:val="0000EE"/>
          </w:rPr>
          <w:t>47</w:t>
        </w:r>
      </w:hyperlink>
      <w:r>
        <w:rPr>
          <w:rFonts w:ascii="Arial" w:cs="Arial" w:eastAsia="Arial" w:hAnsi="Arial"/>
          <w:sz w:val="17"/>
          <w:szCs w:val="17"/>
          <w:color w:val="auto"/>
        </w:rPr>
        <w:t>.</w:t>
      </w:r>
    </w:p>
    <w:p>
      <w:pPr>
        <w:spacing w:after="0" w:line="124" w:lineRule="exact"/>
        <w:rPr>
          <w:sz w:val="20"/>
          <w:szCs w:val="20"/>
          <w:color w:val="auto"/>
        </w:rPr>
      </w:pPr>
    </w:p>
    <w:p>
      <w:pPr>
        <w:ind w:left="7" w:right="80"/>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Despite the Company’s strong operational and stock price performance in 2016, our three-year performance under the long-term incentive awards that vested on December 31, 2016 was below the minimum performance requirements for these awards, which are based on cumulative EPS and relative TSR. Accordingly, our named executive officers did not receive any payouts under these awards. For a further discussion, see “– Payment of Performance Awards for the 2014-2016 Award Cycle” on page </w:t>
      </w:r>
      <w:hyperlink w:anchor="page62">
        <w:r>
          <w:rPr>
            <w:rFonts w:ascii="Arial" w:cs="Arial" w:eastAsia="Arial" w:hAnsi="Arial"/>
            <w:sz w:val="16"/>
            <w:szCs w:val="16"/>
            <w:u w:val="single" w:color="auto"/>
            <w:color w:val="0000EE"/>
          </w:rPr>
          <w:t>56</w:t>
        </w:r>
      </w:hyperlink>
      <w:r>
        <w:rPr>
          <w:rFonts w:ascii="Arial" w:cs="Arial" w:eastAsia="Arial" w:hAnsi="Arial"/>
          <w:sz w:val="16"/>
          <w:szCs w:val="16"/>
          <w:color w:val="auto"/>
        </w:rPr>
        <w:t>.</w:t>
      </w:r>
    </w:p>
    <w:p>
      <w:pPr>
        <w:spacing w:after="0" w:line="195" w:lineRule="exact"/>
        <w:rPr>
          <w:sz w:val="20"/>
          <w:szCs w:val="20"/>
          <w:color w:val="auto"/>
        </w:rPr>
      </w:pPr>
    </w:p>
    <w:p>
      <w:pPr>
        <w:ind w:left="7827"/>
        <w:spacing w:after="0"/>
        <w:tabs>
          <w:tab w:leader="none" w:pos="9326"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381000</wp:posOffset>
            </wp:positionV>
            <wp:extent cx="6071870" cy="431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-107315</wp:posOffset>
            </wp:positionV>
            <wp:extent cx="163195"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005C7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SHAREHOLDER ADVISORY VOTE ON EXECUTIVE COMPENSATION (“SAY-ON-PAY”)</w:t>
      </w:r>
    </w:p>
    <w:p>
      <w:pPr>
        <w:spacing w:after="0" w:line="17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At our 2016 annual shareholders meeting, more than 95% of the votes cast on our Say-On-Pay proposal were voted in favor of the compensation paid to our named executive officers for 2015. We believe that this strong level of shareholder support demonstrates, among other things, the effectiveness of the significant changes made to our compensation program over the past several years in response to shareholder feedback. The Committee considers the outcome of Say-On-Pay votes and other shareholder input in making decisions regarding the executive compensation program.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SOUND PAY PRACTICES</w:t>
      </w:r>
    </w:p>
    <w:p>
      <w:pPr>
        <w:spacing w:after="0" w:line="17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Committee has adopted a broad range of program changes in response to shareholder feedback that began in connection with our first Say-On-Pay vote in 2011. As a result of these changes and other actions taken by the Committee, the Committee believes L3’s executive compensation program reinforces its pay-for-performance culture and includes corporate governance practices that are considered by investors to reflect market “best practices.” The table below highlights key features of our executive compensation program.</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40" w:type="dxa"/>
            <w:vAlign w:val="bottom"/>
            <w:tcBorders>
              <w:top w:val="single" w:sz="8" w:color="005C7D"/>
              <w:bottom w:val="single" w:sz="8" w:color="005C7D"/>
            </w:tcBorders>
          </w:tcPr>
          <w:p>
            <w:pPr>
              <w:spacing w:after="0"/>
              <w:rPr>
                <w:sz w:val="21"/>
                <w:szCs w:val="21"/>
                <w:color w:val="auto"/>
              </w:rPr>
            </w:pPr>
          </w:p>
        </w:tc>
        <w:tc>
          <w:tcPr>
            <w:tcW w:w="1860" w:type="dxa"/>
            <w:vAlign w:val="bottom"/>
            <w:tcBorders>
              <w:top w:val="single" w:sz="8" w:color="005C7D"/>
              <w:bottom w:val="single" w:sz="8" w:color="005C7D"/>
            </w:tcBorders>
          </w:tcPr>
          <w:p>
            <w:pPr>
              <w:spacing w:after="0"/>
              <w:rPr>
                <w:sz w:val="21"/>
                <w:szCs w:val="21"/>
                <w:color w:val="auto"/>
              </w:rPr>
            </w:pPr>
          </w:p>
        </w:tc>
        <w:tc>
          <w:tcPr>
            <w:tcW w:w="480" w:type="dxa"/>
            <w:vAlign w:val="bottom"/>
            <w:tcBorders>
              <w:top w:val="single" w:sz="8" w:color="005C7D"/>
              <w:bottom w:val="single" w:sz="8" w:color="005C7D"/>
            </w:tcBorders>
          </w:tcPr>
          <w:p>
            <w:pPr>
              <w:spacing w:after="0"/>
              <w:rPr>
                <w:sz w:val="21"/>
                <w:szCs w:val="21"/>
                <w:color w:val="auto"/>
              </w:rPr>
            </w:pPr>
          </w:p>
        </w:tc>
        <w:tc>
          <w:tcPr>
            <w:tcW w:w="6780" w:type="dxa"/>
            <w:vAlign w:val="bottom"/>
            <w:tcBorders>
              <w:top w:val="single" w:sz="8" w:color="005C7D"/>
              <w:bottom w:val="single" w:sz="8" w:color="005C7D"/>
            </w:tcBorders>
          </w:tcPr>
          <w:p>
            <w:pPr>
              <w:ind w:left="320"/>
              <w:spacing w:after="0"/>
              <w:rPr>
                <w:sz w:val="20"/>
                <w:szCs w:val="20"/>
                <w:color w:val="auto"/>
              </w:rPr>
            </w:pPr>
            <w:r>
              <w:rPr>
                <w:rFonts w:ascii="Arial" w:cs="Arial" w:eastAsia="Arial" w:hAnsi="Arial"/>
                <w:sz w:val="18"/>
                <w:szCs w:val="18"/>
                <w:b w:val="1"/>
                <w:bCs w:val="1"/>
                <w:color w:val="auto"/>
              </w:rPr>
              <w:t>Executive Compensation Program Features</w:t>
            </w:r>
          </w:p>
        </w:tc>
      </w:tr>
      <w:tr>
        <w:trPr>
          <w:trHeight w:val="209"/>
        </w:trPr>
        <w:tc>
          <w:tcPr>
            <w:tcW w:w="2300" w:type="dxa"/>
            <w:vAlign w:val="bottom"/>
            <w:gridSpan w:val="2"/>
            <w:shd w:val="clear" w:color="auto" w:fill="CDDAE6"/>
          </w:tcPr>
          <w:p>
            <w:pPr>
              <w:ind w:left="40"/>
              <w:spacing w:after="0"/>
              <w:rPr>
                <w:sz w:val="20"/>
                <w:szCs w:val="20"/>
                <w:color w:val="auto"/>
              </w:rPr>
            </w:pPr>
            <w:r>
              <w:rPr>
                <w:rFonts w:ascii="Arial" w:cs="Arial" w:eastAsia="Arial" w:hAnsi="Arial"/>
                <w:sz w:val="18"/>
                <w:szCs w:val="18"/>
                <w:b w:val="1"/>
                <w:bCs w:val="1"/>
                <w:color w:val="auto"/>
              </w:rPr>
              <w:t>Executive Compensation</w:t>
            </w:r>
          </w:p>
        </w:tc>
        <w:tc>
          <w:tcPr>
            <w:tcW w:w="480" w:type="dxa"/>
            <w:vAlign w:val="bottom"/>
            <w:shd w:val="clear" w:color="auto" w:fill="CDDAE6"/>
          </w:tcPr>
          <w:p>
            <w:pPr>
              <w:ind w:left="100"/>
              <w:spacing w:after="0"/>
              <w:rPr>
                <w:sz w:val="20"/>
                <w:szCs w:val="20"/>
                <w:color w:val="auto"/>
              </w:rPr>
            </w:pPr>
            <w:r>
              <w:rPr>
                <w:rFonts w:ascii="Arial" w:cs="Arial" w:eastAsia="Arial" w:hAnsi="Arial"/>
                <w:sz w:val="18"/>
                <w:szCs w:val="18"/>
                <w:color w:val="005C7D"/>
              </w:rPr>
              <w:t>•</w:t>
            </w:r>
          </w:p>
        </w:tc>
        <w:tc>
          <w:tcPr>
            <w:tcW w:w="6780" w:type="dxa"/>
            <w:vAlign w:val="bottom"/>
            <w:shd w:val="clear" w:color="auto" w:fill="CDDAE6"/>
          </w:tcPr>
          <w:p>
            <w:pPr>
              <w:ind w:left="40"/>
              <w:spacing w:after="0"/>
              <w:rPr>
                <w:sz w:val="20"/>
                <w:szCs w:val="20"/>
                <w:color w:val="auto"/>
              </w:rPr>
            </w:pPr>
            <w:r>
              <w:rPr>
                <w:rFonts w:ascii="Arial" w:cs="Arial" w:eastAsia="Arial" w:hAnsi="Arial"/>
                <w:sz w:val="18"/>
                <w:szCs w:val="18"/>
                <w:color w:val="auto"/>
                <w:w w:val="92"/>
              </w:rPr>
              <w:t>Emphasis on long-term, performance-based compensation and meaningful stock ownership</w:t>
            </w:r>
          </w:p>
        </w:tc>
      </w:tr>
      <w:tr>
        <w:trPr>
          <w:trHeight w:val="234"/>
        </w:trPr>
        <w:tc>
          <w:tcPr>
            <w:tcW w:w="2300" w:type="dxa"/>
            <w:vAlign w:val="bottom"/>
            <w:gridSpan w:val="2"/>
            <w:shd w:val="clear" w:color="auto" w:fill="CDDAE6"/>
          </w:tcPr>
          <w:p>
            <w:pPr>
              <w:ind w:left="40"/>
              <w:spacing w:after="0"/>
              <w:rPr>
                <w:sz w:val="20"/>
                <w:szCs w:val="20"/>
                <w:color w:val="auto"/>
              </w:rPr>
            </w:pPr>
            <w:r>
              <w:rPr>
                <w:rFonts w:ascii="Arial" w:cs="Arial" w:eastAsia="Arial" w:hAnsi="Arial"/>
                <w:sz w:val="18"/>
                <w:szCs w:val="18"/>
                <w:b w:val="1"/>
                <w:bCs w:val="1"/>
                <w:color w:val="auto"/>
              </w:rPr>
              <w:t>Program Includes</w:t>
            </w:r>
          </w:p>
        </w:tc>
        <w:tc>
          <w:tcPr>
            <w:tcW w:w="480" w:type="dxa"/>
            <w:vAlign w:val="bottom"/>
            <w:shd w:val="clear" w:color="auto" w:fill="CDDAE6"/>
          </w:tcPr>
          <w:p>
            <w:pPr>
              <w:spacing w:after="0"/>
              <w:rPr>
                <w:sz w:val="20"/>
                <w:szCs w:val="20"/>
                <w:color w:val="auto"/>
              </w:rPr>
            </w:pPr>
          </w:p>
        </w:tc>
        <w:tc>
          <w:tcPr>
            <w:tcW w:w="6780" w:type="dxa"/>
            <w:vAlign w:val="bottom"/>
            <w:shd w:val="clear" w:color="auto" w:fill="CDDAE6"/>
          </w:tcPr>
          <w:p>
            <w:pPr>
              <w:ind w:left="40"/>
              <w:spacing w:after="0"/>
              <w:rPr>
                <w:sz w:val="20"/>
                <w:szCs w:val="20"/>
                <w:color w:val="auto"/>
              </w:rPr>
            </w:pPr>
            <w:r>
              <w:rPr>
                <w:rFonts w:ascii="Arial" w:cs="Arial" w:eastAsia="Arial" w:hAnsi="Arial"/>
                <w:sz w:val="18"/>
                <w:szCs w:val="18"/>
                <w:color w:val="auto"/>
              </w:rPr>
              <w:t>guidelines to align executive and shareholder interests</w:t>
            </w:r>
          </w:p>
        </w:tc>
      </w:tr>
      <w:tr>
        <w:trPr>
          <w:trHeight w:val="229"/>
        </w:trPr>
        <w:tc>
          <w:tcPr>
            <w:tcW w:w="440" w:type="dxa"/>
            <w:vAlign w:val="bottom"/>
            <w:shd w:val="clear" w:color="auto" w:fill="CDDAE6"/>
          </w:tcPr>
          <w:p>
            <w:pPr>
              <w:spacing w:after="0"/>
              <w:rPr>
                <w:sz w:val="19"/>
                <w:szCs w:val="19"/>
                <w:color w:val="auto"/>
              </w:rPr>
            </w:pPr>
          </w:p>
        </w:tc>
        <w:tc>
          <w:tcPr>
            <w:tcW w:w="1860" w:type="dxa"/>
            <w:vAlign w:val="bottom"/>
            <w:shd w:val="clear" w:color="auto" w:fill="CDDAE6"/>
          </w:tcPr>
          <w:p>
            <w:pPr>
              <w:spacing w:after="0"/>
              <w:rPr>
                <w:sz w:val="19"/>
                <w:szCs w:val="19"/>
                <w:color w:val="auto"/>
              </w:rPr>
            </w:pPr>
          </w:p>
        </w:tc>
        <w:tc>
          <w:tcPr>
            <w:tcW w:w="480" w:type="dxa"/>
            <w:vAlign w:val="bottom"/>
            <w:shd w:val="clear" w:color="auto" w:fill="CDDAE6"/>
          </w:tcPr>
          <w:p>
            <w:pPr>
              <w:ind w:left="100"/>
              <w:spacing w:after="0"/>
              <w:rPr>
                <w:sz w:val="20"/>
                <w:szCs w:val="20"/>
                <w:color w:val="auto"/>
              </w:rPr>
            </w:pPr>
            <w:r>
              <w:rPr>
                <w:rFonts w:ascii="Arial" w:cs="Arial" w:eastAsia="Arial" w:hAnsi="Arial"/>
                <w:sz w:val="18"/>
                <w:szCs w:val="18"/>
                <w:color w:val="005C7D"/>
              </w:rPr>
              <w:t>•</w:t>
            </w:r>
          </w:p>
        </w:tc>
        <w:tc>
          <w:tcPr>
            <w:tcW w:w="6780" w:type="dxa"/>
            <w:vAlign w:val="bottom"/>
            <w:shd w:val="clear" w:color="auto" w:fill="CDDAE6"/>
          </w:tcPr>
          <w:p>
            <w:pPr>
              <w:ind w:left="40"/>
              <w:spacing w:after="0"/>
              <w:rPr>
                <w:sz w:val="20"/>
                <w:szCs w:val="20"/>
                <w:color w:val="auto"/>
              </w:rPr>
            </w:pPr>
            <w:r>
              <w:rPr>
                <w:rFonts w:ascii="Arial" w:cs="Arial" w:eastAsia="Arial" w:hAnsi="Arial"/>
                <w:sz w:val="18"/>
                <w:szCs w:val="18"/>
                <w:color w:val="auto"/>
                <w:w w:val="93"/>
              </w:rPr>
              <w:t>Transparent, formulaic incentive plans designed to promote short- and long-term business</w:t>
            </w:r>
          </w:p>
        </w:tc>
      </w:tr>
      <w:tr>
        <w:trPr>
          <w:trHeight w:val="230"/>
        </w:trPr>
        <w:tc>
          <w:tcPr>
            <w:tcW w:w="440" w:type="dxa"/>
            <w:vAlign w:val="bottom"/>
            <w:shd w:val="clear" w:color="auto" w:fill="CDDAE6"/>
          </w:tcPr>
          <w:p>
            <w:pPr>
              <w:spacing w:after="0"/>
              <w:rPr>
                <w:sz w:val="20"/>
                <w:szCs w:val="20"/>
                <w:color w:val="auto"/>
              </w:rPr>
            </w:pPr>
          </w:p>
        </w:tc>
        <w:tc>
          <w:tcPr>
            <w:tcW w:w="1860" w:type="dxa"/>
            <w:vAlign w:val="bottom"/>
            <w:shd w:val="clear" w:color="auto" w:fill="CDDAE6"/>
          </w:tcPr>
          <w:p>
            <w:pPr>
              <w:spacing w:after="0"/>
              <w:rPr>
                <w:sz w:val="20"/>
                <w:szCs w:val="20"/>
                <w:color w:val="auto"/>
              </w:rPr>
            </w:pPr>
          </w:p>
        </w:tc>
        <w:tc>
          <w:tcPr>
            <w:tcW w:w="480" w:type="dxa"/>
            <w:vAlign w:val="bottom"/>
            <w:shd w:val="clear" w:color="auto" w:fill="CDDAE6"/>
          </w:tcPr>
          <w:p>
            <w:pPr>
              <w:spacing w:after="0"/>
              <w:rPr>
                <w:sz w:val="20"/>
                <w:szCs w:val="20"/>
                <w:color w:val="auto"/>
              </w:rPr>
            </w:pPr>
          </w:p>
        </w:tc>
        <w:tc>
          <w:tcPr>
            <w:tcW w:w="6780" w:type="dxa"/>
            <w:vAlign w:val="bottom"/>
            <w:shd w:val="clear" w:color="auto" w:fill="CDDAE6"/>
          </w:tcPr>
          <w:p>
            <w:pPr>
              <w:ind w:left="40"/>
              <w:spacing w:after="0"/>
              <w:rPr>
                <w:sz w:val="20"/>
                <w:szCs w:val="20"/>
                <w:color w:val="auto"/>
              </w:rPr>
            </w:pPr>
            <w:r>
              <w:rPr>
                <w:rFonts w:ascii="Arial" w:cs="Arial" w:eastAsia="Arial" w:hAnsi="Arial"/>
                <w:sz w:val="18"/>
                <w:szCs w:val="18"/>
                <w:color w:val="auto"/>
              </w:rPr>
              <w:t>success</w:t>
            </w:r>
          </w:p>
        </w:tc>
      </w:tr>
      <w:tr>
        <w:trPr>
          <w:trHeight w:val="243"/>
        </w:trPr>
        <w:tc>
          <w:tcPr>
            <w:tcW w:w="440" w:type="dxa"/>
            <w:vAlign w:val="bottom"/>
            <w:shd w:val="clear" w:color="auto" w:fill="CDDAE6"/>
          </w:tcPr>
          <w:p>
            <w:pPr>
              <w:spacing w:after="0"/>
              <w:rPr>
                <w:sz w:val="21"/>
                <w:szCs w:val="21"/>
                <w:color w:val="auto"/>
              </w:rPr>
            </w:pPr>
          </w:p>
        </w:tc>
        <w:tc>
          <w:tcPr>
            <w:tcW w:w="1860" w:type="dxa"/>
            <w:vAlign w:val="bottom"/>
            <w:shd w:val="clear" w:color="auto" w:fill="CDDAE6"/>
          </w:tcPr>
          <w:p>
            <w:pPr>
              <w:spacing w:after="0"/>
              <w:rPr>
                <w:sz w:val="21"/>
                <w:szCs w:val="21"/>
                <w:color w:val="auto"/>
              </w:rPr>
            </w:pPr>
          </w:p>
        </w:tc>
        <w:tc>
          <w:tcPr>
            <w:tcW w:w="480" w:type="dxa"/>
            <w:vAlign w:val="bottom"/>
            <w:shd w:val="clear" w:color="auto" w:fill="CDDAE6"/>
          </w:tcPr>
          <w:p>
            <w:pPr>
              <w:ind w:left="100"/>
              <w:spacing w:after="0"/>
              <w:rPr>
                <w:sz w:val="20"/>
                <w:szCs w:val="20"/>
                <w:color w:val="auto"/>
              </w:rPr>
            </w:pPr>
            <w:r>
              <w:rPr>
                <w:rFonts w:ascii="Arial" w:cs="Arial" w:eastAsia="Arial" w:hAnsi="Arial"/>
                <w:sz w:val="18"/>
                <w:szCs w:val="18"/>
                <w:color w:val="005C7D"/>
              </w:rPr>
              <w:t>•</w:t>
            </w:r>
          </w:p>
        </w:tc>
        <w:tc>
          <w:tcPr>
            <w:tcW w:w="6780" w:type="dxa"/>
            <w:vAlign w:val="bottom"/>
            <w:shd w:val="clear" w:color="auto" w:fill="CDDAE6"/>
          </w:tcPr>
          <w:p>
            <w:pPr>
              <w:ind w:left="40"/>
              <w:spacing w:after="0"/>
              <w:rPr>
                <w:sz w:val="20"/>
                <w:szCs w:val="20"/>
                <w:color w:val="auto"/>
              </w:rPr>
            </w:pPr>
            <w:r>
              <w:rPr>
                <w:rFonts w:ascii="Arial" w:cs="Arial" w:eastAsia="Arial" w:hAnsi="Arial"/>
                <w:sz w:val="18"/>
                <w:szCs w:val="18"/>
                <w:color w:val="auto"/>
              </w:rPr>
              <w:t>Performance conditions on the Chief Executive Officer’s stock options</w:t>
            </w:r>
          </w:p>
        </w:tc>
      </w:tr>
      <w:tr>
        <w:trPr>
          <w:trHeight w:val="243"/>
        </w:trPr>
        <w:tc>
          <w:tcPr>
            <w:tcW w:w="440" w:type="dxa"/>
            <w:vAlign w:val="bottom"/>
            <w:shd w:val="clear" w:color="auto" w:fill="CDDAE6"/>
          </w:tcPr>
          <w:p>
            <w:pPr>
              <w:spacing w:after="0"/>
              <w:rPr>
                <w:sz w:val="21"/>
                <w:szCs w:val="21"/>
                <w:color w:val="auto"/>
              </w:rPr>
            </w:pPr>
          </w:p>
        </w:tc>
        <w:tc>
          <w:tcPr>
            <w:tcW w:w="1860" w:type="dxa"/>
            <w:vAlign w:val="bottom"/>
            <w:shd w:val="clear" w:color="auto" w:fill="CDDAE6"/>
          </w:tcPr>
          <w:p>
            <w:pPr>
              <w:spacing w:after="0"/>
              <w:rPr>
                <w:sz w:val="21"/>
                <w:szCs w:val="21"/>
                <w:color w:val="auto"/>
              </w:rPr>
            </w:pPr>
          </w:p>
        </w:tc>
        <w:tc>
          <w:tcPr>
            <w:tcW w:w="480" w:type="dxa"/>
            <w:vAlign w:val="bottom"/>
            <w:shd w:val="clear" w:color="auto" w:fill="CDDAE6"/>
          </w:tcPr>
          <w:p>
            <w:pPr>
              <w:ind w:left="100"/>
              <w:spacing w:after="0"/>
              <w:rPr>
                <w:sz w:val="20"/>
                <w:szCs w:val="20"/>
                <w:color w:val="auto"/>
              </w:rPr>
            </w:pPr>
            <w:r>
              <w:rPr>
                <w:rFonts w:ascii="Arial" w:cs="Arial" w:eastAsia="Arial" w:hAnsi="Arial"/>
                <w:sz w:val="18"/>
                <w:szCs w:val="18"/>
                <w:color w:val="005C7D"/>
              </w:rPr>
              <w:t>•</w:t>
            </w:r>
          </w:p>
        </w:tc>
        <w:tc>
          <w:tcPr>
            <w:tcW w:w="6780" w:type="dxa"/>
            <w:vAlign w:val="bottom"/>
            <w:shd w:val="clear" w:color="auto" w:fill="CDDAE6"/>
          </w:tcPr>
          <w:p>
            <w:pPr>
              <w:ind w:left="40"/>
              <w:spacing w:after="0"/>
              <w:rPr>
                <w:sz w:val="20"/>
                <w:szCs w:val="20"/>
                <w:color w:val="auto"/>
              </w:rPr>
            </w:pPr>
            <w:r>
              <w:rPr>
                <w:rFonts w:ascii="Arial" w:cs="Arial" w:eastAsia="Arial" w:hAnsi="Arial"/>
                <w:sz w:val="18"/>
                <w:szCs w:val="18"/>
                <w:color w:val="auto"/>
                <w:w w:val="94"/>
              </w:rPr>
              <w:t>Clawback policy that applies to all incentive compensation, including equity-based awards</w:t>
            </w:r>
          </w:p>
        </w:tc>
      </w:tr>
      <w:tr>
        <w:trPr>
          <w:trHeight w:val="243"/>
        </w:trPr>
        <w:tc>
          <w:tcPr>
            <w:tcW w:w="440" w:type="dxa"/>
            <w:vAlign w:val="bottom"/>
            <w:shd w:val="clear" w:color="auto" w:fill="CDDAE6"/>
          </w:tcPr>
          <w:p>
            <w:pPr>
              <w:spacing w:after="0"/>
              <w:rPr>
                <w:sz w:val="21"/>
                <w:szCs w:val="21"/>
                <w:color w:val="auto"/>
              </w:rPr>
            </w:pPr>
          </w:p>
        </w:tc>
        <w:tc>
          <w:tcPr>
            <w:tcW w:w="1860" w:type="dxa"/>
            <w:vAlign w:val="bottom"/>
            <w:shd w:val="clear" w:color="auto" w:fill="CDDAE6"/>
          </w:tcPr>
          <w:p>
            <w:pPr>
              <w:spacing w:after="0"/>
              <w:rPr>
                <w:sz w:val="21"/>
                <w:szCs w:val="21"/>
                <w:color w:val="auto"/>
              </w:rPr>
            </w:pPr>
          </w:p>
        </w:tc>
        <w:tc>
          <w:tcPr>
            <w:tcW w:w="480" w:type="dxa"/>
            <w:vAlign w:val="bottom"/>
            <w:shd w:val="clear" w:color="auto" w:fill="CDDAE6"/>
          </w:tcPr>
          <w:p>
            <w:pPr>
              <w:ind w:left="100"/>
              <w:spacing w:after="0"/>
              <w:rPr>
                <w:sz w:val="20"/>
                <w:szCs w:val="20"/>
                <w:color w:val="auto"/>
              </w:rPr>
            </w:pPr>
            <w:r>
              <w:rPr>
                <w:rFonts w:ascii="Arial" w:cs="Arial" w:eastAsia="Arial" w:hAnsi="Arial"/>
                <w:sz w:val="18"/>
                <w:szCs w:val="18"/>
                <w:color w:val="005C7D"/>
              </w:rPr>
              <w:t>•</w:t>
            </w:r>
          </w:p>
        </w:tc>
        <w:tc>
          <w:tcPr>
            <w:tcW w:w="6780" w:type="dxa"/>
            <w:vAlign w:val="bottom"/>
            <w:shd w:val="clear" w:color="auto" w:fill="CDDAE6"/>
          </w:tcPr>
          <w:p>
            <w:pPr>
              <w:ind w:left="40"/>
              <w:spacing w:after="0"/>
              <w:rPr>
                <w:sz w:val="20"/>
                <w:szCs w:val="20"/>
                <w:color w:val="auto"/>
              </w:rPr>
            </w:pPr>
            <w:r>
              <w:rPr>
                <w:rFonts w:ascii="Arial" w:cs="Arial" w:eastAsia="Arial" w:hAnsi="Arial"/>
                <w:sz w:val="18"/>
                <w:szCs w:val="18"/>
                <w:color w:val="auto"/>
              </w:rPr>
              <w:t>Modest perquisites consistent with competitive practices</w:t>
            </w:r>
          </w:p>
        </w:tc>
      </w:tr>
      <w:tr>
        <w:trPr>
          <w:trHeight w:val="243"/>
        </w:trPr>
        <w:tc>
          <w:tcPr>
            <w:tcW w:w="440" w:type="dxa"/>
            <w:vAlign w:val="bottom"/>
            <w:shd w:val="clear" w:color="auto" w:fill="CDDAE6"/>
          </w:tcPr>
          <w:p>
            <w:pPr>
              <w:spacing w:after="0"/>
              <w:rPr>
                <w:sz w:val="21"/>
                <w:szCs w:val="21"/>
                <w:color w:val="auto"/>
              </w:rPr>
            </w:pPr>
          </w:p>
        </w:tc>
        <w:tc>
          <w:tcPr>
            <w:tcW w:w="1860" w:type="dxa"/>
            <w:vAlign w:val="bottom"/>
            <w:shd w:val="clear" w:color="auto" w:fill="CDDAE6"/>
          </w:tcPr>
          <w:p>
            <w:pPr>
              <w:spacing w:after="0"/>
              <w:rPr>
                <w:sz w:val="21"/>
                <w:szCs w:val="21"/>
                <w:color w:val="auto"/>
              </w:rPr>
            </w:pPr>
          </w:p>
        </w:tc>
        <w:tc>
          <w:tcPr>
            <w:tcW w:w="480" w:type="dxa"/>
            <w:vAlign w:val="bottom"/>
            <w:shd w:val="clear" w:color="auto" w:fill="CDDAE6"/>
          </w:tcPr>
          <w:p>
            <w:pPr>
              <w:ind w:left="100"/>
              <w:spacing w:after="0"/>
              <w:rPr>
                <w:sz w:val="20"/>
                <w:szCs w:val="20"/>
                <w:color w:val="auto"/>
              </w:rPr>
            </w:pPr>
            <w:r>
              <w:rPr>
                <w:rFonts w:ascii="Arial" w:cs="Arial" w:eastAsia="Arial" w:hAnsi="Arial"/>
                <w:sz w:val="18"/>
                <w:szCs w:val="18"/>
                <w:color w:val="005C7D"/>
              </w:rPr>
              <w:t>•</w:t>
            </w:r>
          </w:p>
        </w:tc>
        <w:tc>
          <w:tcPr>
            <w:tcW w:w="6780" w:type="dxa"/>
            <w:vAlign w:val="bottom"/>
            <w:shd w:val="clear" w:color="auto" w:fill="CDDAE6"/>
          </w:tcPr>
          <w:p>
            <w:pPr>
              <w:ind w:left="40"/>
              <w:spacing w:after="0"/>
              <w:rPr>
                <w:sz w:val="20"/>
                <w:szCs w:val="20"/>
                <w:color w:val="auto"/>
              </w:rPr>
            </w:pPr>
            <w:r>
              <w:rPr>
                <w:rFonts w:ascii="Arial" w:cs="Arial" w:eastAsia="Arial" w:hAnsi="Arial"/>
                <w:sz w:val="18"/>
                <w:szCs w:val="18"/>
                <w:color w:val="auto"/>
              </w:rPr>
              <w:t>Double trigger provisions for severance payable in the event of a change in control</w:t>
            </w:r>
          </w:p>
        </w:tc>
      </w:tr>
      <w:tr>
        <w:trPr>
          <w:trHeight w:val="229"/>
        </w:trPr>
        <w:tc>
          <w:tcPr>
            <w:tcW w:w="440" w:type="dxa"/>
            <w:vAlign w:val="bottom"/>
            <w:shd w:val="clear" w:color="auto" w:fill="CDDAE6"/>
          </w:tcPr>
          <w:p>
            <w:pPr>
              <w:spacing w:after="0"/>
              <w:rPr>
                <w:sz w:val="19"/>
                <w:szCs w:val="19"/>
                <w:color w:val="auto"/>
              </w:rPr>
            </w:pPr>
          </w:p>
        </w:tc>
        <w:tc>
          <w:tcPr>
            <w:tcW w:w="1860" w:type="dxa"/>
            <w:vAlign w:val="bottom"/>
            <w:shd w:val="clear" w:color="auto" w:fill="CDDAE6"/>
          </w:tcPr>
          <w:p>
            <w:pPr>
              <w:spacing w:after="0"/>
              <w:rPr>
                <w:sz w:val="19"/>
                <w:szCs w:val="19"/>
                <w:color w:val="auto"/>
              </w:rPr>
            </w:pPr>
          </w:p>
        </w:tc>
        <w:tc>
          <w:tcPr>
            <w:tcW w:w="480" w:type="dxa"/>
            <w:vAlign w:val="bottom"/>
            <w:shd w:val="clear" w:color="auto" w:fill="CDDAE6"/>
          </w:tcPr>
          <w:p>
            <w:pPr>
              <w:ind w:left="100"/>
              <w:spacing w:after="0"/>
              <w:rPr>
                <w:sz w:val="20"/>
                <w:szCs w:val="20"/>
                <w:color w:val="auto"/>
              </w:rPr>
            </w:pPr>
            <w:r>
              <w:rPr>
                <w:rFonts w:ascii="Arial" w:cs="Arial" w:eastAsia="Arial" w:hAnsi="Arial"/>
                <w:sz w:val="18"/>
                <w:szCs w:val="18"/>
                <w:color w:val="005C7D"/>
              </w:rPr>
              <w:t>•</w:t>
            </w:r>
          </w:p>
        </w:tc>
        <w:tc>
          <w:tcPr>
            <w:tcW w:w="6780" w:type="dxa"/>
            <w:vAlign w:val="bottom"/>
            <w:shd w:val="clear" w:color="auto" w:fill="CDDAE6"/>
          </w:tcPr>
          <w:p>
            <w:pPr>
              <w:ind w:left="40"/>
              <w:spacing w:after="0"/>
              <w:rPr>
                <w:sz w:val="20"/>
                <w:szCs w:val="20"/>
                <w:color w:val="auto"/>
              </w:rPr>
            </w:pPr>
            <w:r>
              <w:rPr>
                <w:rFonts w:ascii="Arial" w:cs="Arial" w:eastAsia="Arial" w:hAnsi="Arial"/>
                <w:sz w:val="18"/>
                <w:szCs w:val="18"/>
                <w:color w:val="auto"/>
                <w:w w:val="90"/>
              </w:rPr>
              <w:t>Annual compensation risk assessment to ensure program does not encourage excessive risk-</w:t>
            </w:r>
          </w:p>
        </w:tc>
      </w:tr>
      <w:tr>
        <w:trPr>
          <w:trHeight w:val="230"/>
        </w:trPr>
        <w:tc>
          <w:tcPr>
            <w:tcW w:w="440" w:type="dxa"/>
            <w:vAlign w:val="bottom"/>
            <w:shd w:val="clear" w:color="auto" w:fill="CDDAE6"/>
          </w:tcPr>
          <w:p>
            <w:pPr>
              <w:spacing w:after="0"/>
              <w:rPr>
                <w:sz w:val="20"/>
                <w:szCs w:val="20"/>
                <w:color w:val="auto"/>
              </w:rPr>
            </w:pPr>
          </w:p>
        </w:tc>
        <w:tc>
          <w:tcPr>
            <w:tcW w:w="1860" w:type="dxa"/>
            <w:vAlign w:val="bottom"/>
            <w:shd w:val="clear" w:color="auto" w:fill="CDDAE6"/>
          </w:tcPr>
          <w:p>
            <w:pPr>
              <w:spacing w:after="0"/>
              <w:rPr>
                <w:sz w:val="20"/>
                <w:szCs w:val="20"/>
                <w:color w:val="auto"/>
              </w:rPr>
            </w:pPr>
          </w:p>
        </w:tc>
        <w:tc>
          <w:tcPr>
            <w:tcW w:w="480" w:type="dxa"/>
            <w:vAlign w:val="bottom"/>
            <w:shd w:val="clear" w:color="auto" w:fill="CDDAE6"/>
          </w:tcPr>
          <w:p>
            <w:pPr>
              <w:spacing w:after="0"/>
              <w:rPr>
                <w:sz w:val="20"/>
                <w:szCs w:val="20"/>
                <w:color w:val="auto"/>
              </w:rPr>
            </w:pPr>
          </w:p>
        </w:tc>
        <w:tc>
          <w:tcPr>
            <w:tcW w:w="6780" w:type="dxa"/>
            <w:vAlign w:val="bottom"/>
            <w:shd w:val="clear" w:color="auto" w:fill="CDDAE6"/>
          </w:tcPr>
          <w:p>
            <w:pPr>
              <w:ind w:left="40"/>
              <w:spacing w:after="0"/>
              <w:rPr>
                <w:sz w:val="20"/>
                <w:szCs w:val="20"/>
                <w:color w:val="auto"/>
              </w:rPr>
            </w:pPr>
            <w:r>
              <w:rPr>
                <w:rFonts w:ascii="Arial" w:cs="Arial" w:eastAsia="Arial" w:hAnsi="Arial"/>
                <w:sz w:val="18"/>
                <w:szCs w:val="18"/>
                <w:color w:val="auto"/>
              </w:rPr>
              <w:t>taking</w:t>
            </w:r>
          </w:p>
        </w:tc>
      </w:tr>
      <w:tr>
        <w:trPr>
          <w:trHeight w:val="257"/>
        </w:trPr>
        <w:tc>
          <w:tcPr>
            <w:tcW w:w="440" w:type="dxa"/>
            <w:vAlign w:val="bottom"/>
            <w:shd w:val="clear" w:color="auto" w:fill="CDDAE6"/>
          </w:tcPr>
          <w:p>
            <w:pPr>
              <w:spacing w:after="0"/>
              <w:rPr>
                <w:sz w:val="22"/>
                <w:szCs w:val="22"/>
                <w:color w:val="auto"/>
              </w:rPr>
            </w:pPr>
          </w:p>
        </w:tc>
        <w:tc>
          <w:tcPr>
            <w:tcW w:w="1860" w:type="dxa"/>
            <w:vAlign w:val="bottom"/>
            <w:shd w:val="clear" w:color="auto" w:fill="CDDAE6"/>
          </w:tcPr>
          <w:p>
            <w:pPr>
              <w:spacing w:after="0"/>
              <w:rPr>
                <w:sz w:val="22"/>
                <w:szCs w:val="22"/>
                <w:color w:val="auto"/>
              </w:rPr>
            </w:pPr>
          </w:p>
        </w:tc>
        <w:tc>
          <w:tcPr>
            <w:tcW w:w="480" w:type="dxa"/>
            <w:vAlign w:val="bottom"/>
            <w:shd w:val="clear" w:color="auto" w:fill="CDDAE6"/>
          </w:tcPr>
          <w:p>
            <w:pPr>
              <w:ind w:left="100"/>
              <w:spacing w:after="0"/>
              <w:rPr>
                <w:sz w:val="20"/>
                <w:szCs w:val="20"/>
                <w:color w:val="auto"/>
              </w:rPr>
            </w:pPr>
            <w:r>
              <w:rPr>
                <w:rFonts w:ascii="Arial" w:cs="Arial" w:eastAsia="Arial" w:hAnsi="Arial"/>
                <w:sz w:val="18"/>
                <w:szCs w:val="18"/>
                <w:color w:val="005C7D"/>
              </w:rPr>
              <w:t>•</w:t>
            </w:r>
          </w:p>
        </w:tc>
        <w:tc>
          <w:tcPr>
            <w:tcW w:w="6780" w:type="dxa"/>
            <w:vAlign w:val="bottom"/>
            <w:shd w:val="clear" w:color="auto" w:fill="CDDAE6"/>
          </w:tcPr>
          <w:p>
            <w:pPr>
              <w:ind w:left="40"/>
              <w:spacing w:after="0"/>
              <w:rPr>
                <w:sz w:val="20"/>
                <w:szCs w:val="20"/>
                <w:color w:val="auto"/>
              </w:rPr>
            </w:pPr>
            <w:r>
              <w:rPr>
                <w:rFonts w:ascii="Arial" w:cs="Arial" w:eastAsia="Arial" w:hAnsi="Arial"/>
                <w:sz w:val="18"/>
                <w:szCs w:val="18"/>
                <w:color w:val="auto"/>
                <w:w w:val="90"/>
              </w:rPr>
              <w:t>Tally sheet analysis to better understand current and accumulated compensation and benefits</w:t>
            </w:r>
          </w:p>
        </w:tc>
      </w:tr>
      <w:tr>
        <w:trPr>
          <w:trHeight w:val="211"/>
        </w:trPr>
        <w:tc>
          <w:tcPr>
            <w:tcW w:w="2300" w:type="dxa"/>
            <w:vAlign w:val="bottom"/>
            <w:gridSpan w:val="2"/>
          </w:tcPr>
          <w:p>
            <w:pPr>
              <w:ind w:left="40"/>
              <w:spacing w:after="0"/>
              <w:rPr>
                <w:sz w:val="20"/>
                <w:szCs w:val="20"/>
                <w:color w:val="auto"/>
              </w:rPr>
            </w:pPr>
            <w:r>
              <w:rPr>
                <w:rFonts w:ascii="Arial" w:cs="Arial" w:eastAsia="Arial" w:hAnsi="Arial"/>
                <w:sz w:val="18"/>
                <w:szCs w:val="18"/>
                <w:b w:val="1"/>
                <w:bCs w:val="1"/>
                <w:color w:val="auto"/>
              </w:rPr>
              <w:t>Executive Compensation</w:t>
            </w:r>
          </w:p>
        </w:tc>
        <w:tc>
          <w:tcPr>
            <w:tcW w:w="480" w:type="dxa"/>
            <w:vAlign w:val="bottom"/>
          </w:tcPr>
          <w:p>
            <w:pPr>
              <w:ind w:left="100"/>
              <w:spacing w:after="0"/>
              <w:rPr>
                <w:sz w:val="20"/>
                <w:szCs w:val="20"/>
                <w:color w:val="auto"/>
              </w:rPr>
            </w:pPr>
            <w:r>
              <w:rPr>
                <w:rFonts w:ascii="Arial" w:cs="Arial" w:eastAsia="Arial" w:hAnsi="Arial"/>
                <w:sz w:val="18"/>
                <w:szCs w:val="18"/>
                <w:color w:val="005C7D"/>
              </w:rPr>
              <w:t>•</w:t>
            </w:r>
          </w:p>
        </w:tc>
        <w:tc>
          <w:tcPr>
            <w:tcW w:w="6780" w:type="dxa"/>
            <w:vAlign w:val="bottom"/>
          </w:tcPr>
          <w:p>
            <w:pPr>
              <w:ind w:left="40"/>
              <w:spacing w:after="0"/>
              <w:rPr>
                <w:sz w:val="20"/>
                <w:szCs w:val="20"/>
                <w:color w:val="auto"/>
              </w:rPr>
            </w:pPr>
            <w:r>
              <w:rPr>
                <w:rFonts w:ascii="Arial" w:cs="Arial" w:eastAsia="Arial" w:hAnsi="Arial"/>
                <w:sz w:val="18"/>
                <w:szCs w:val="18"/>
                <w:color w:val="auto"/>
              </w:rPr>
              <w:t>Employment agreements</w:t>
            </w:r>
          </w:p>
        </w:tc>
      </w:tr>
      <w:tr>
        <w:trPr>
          <w:trHeight w:val="216"/>
        </w:trPr>
        <w:tc>
          <w:tcPr>
            <w:tcW w:w="2300" w:type="dxa"/>
            <w:vAlign w:val="bottom"/>
            <w:gridSpan w:val="2"/>
          </w:tcPr>
          <w:p>
            <w:pPr>
              <w:ind w:left="40"/>
              <w:spacing w:after="0"/>
              <w:rPr>
                <w:sz w:val="20"/>
                <w:szCs w:val="20"/>
                <w:color w:val="auto"/>
              </w:rPr>
            </w:pPr>
            <w:r>
              <w:rPr>
                <w:rFonts w:ascii="Arial" w:cs="Arial" w:eastAsia="Arial" w:hAnsi="Arial"/>
                <w:sz w:val="18"/>
                <w:szCs w:val="18"/>
                <w:b w:val="1"/>
                <w:bCs w:val="1"/>
                <w:color w:val="auto"/>
              </w:rPr>
              <w:t>Program Does Not</w:t>
            </w:r>
          </w:p>
        </w:tc>
        <w:tc>
          <w:tcPr>
            <w:tcW w:w="480" w:type="dxa"/>
            <w:vAlign w:val="bottom"/>
          </w:tcPr>
          <w:p>
            <w:pPr>
              <w:ind w:left="100"/>
              <w:spacing w:after="0"/>
              <w:rPr>
                <w:sz w:val="20"/>
                <w:szCs w:val="20"/>
                <w:color w:val="auto"/>
              </w:rPr>
            </w:pPr>
            <w:r>
              <w:rPr>
                <w:rFonts w:ascii="Arial" w:cs="Arial" w:eastAsia="Arial" w:hAnsi="Arial"/>
                <w:sz w:val="18"/>
                <w:szCs w:val="18"/>
                <w:color w:val="005C7D"/>
              </w:rPr>
              <w:t>•</w:t>
            </w:r>
          </w:p>
        </w:tc>
        <w:tc>
          <w:tcPr>
            <w:tcW w:w="6780" w:type="dxa"/>
            <w:vAlign w:val="bottom"/>
          </w:tcPr>
          <w:p>
            <w:pPr>
              <w:ind w:left="40"/>
              <w:spacing w:after="0"/>
              <w:rPr>
                <w:sz w:val="20"/>
                <w:szCs w:val="20"/>
                <w:color w:val="auto"/>
              </w:rPr>
            </w:pPr>
            <w:r>
              <w:rPr>
                <w:rFonts w:ascii="Arial" w:cs="Arial" w:eastAsia="Arial" w:hAnsi="Arial"/>
                <w:sz w:val="18"/>
                <w:szCs w:val="18"/>
                <w:color w:val="auto"/>
              </w:rPr>
              <w:t>Excise tax gross-ups on severance/change in control payments</w:t>
            </w:r>
          </w:p>
        </w:tc>
      </w:tr>
      <w:tr>
        <w:trPr>
          <w:trHeight w:val="288"/>
        </w:trPr>
        <w:tc>
          <w:tcPr>
            <w:tcW w:w="2300" w:type="dxa"/>
            <w:vAlign w:val="bottom"/>
            <w:gridSpan w:val="2"/>
          </w:tcPr>
          <w:p>
            <w:pPr>
              <w:ind w:left="40"/>
              <w:spacing w:after="0"/>
              <w:rPr>
                <w:sz w:val="20"/>
                <w:szCs w:val="20"/>
                <w:color w:val="auto"/>
              </w:rPr>
            </w:pPr>
            <w:r>
              <w:rPr>
                <w:rFonts w:ascii="Arial" w:cs="Arial" w:eastAsia="Arial" w:hAnsi="Arial"/>
                <w:sz w:val="18"/>
                <w:szCs w:val="18"/>
                <w:b w:val="1"/>
                <w:bCs w:val="1"/>
                <w:color w:val="auto"/>
              </w:rPr>
              <w:t>Include or Prohibits</w:t>
            </w:r>
          </w:p>
        </w:tc>
        <w:tc>
          <w:tcPr>
            <w:tcW w:w="480" w:type="dxa"/>
            <w:vAlign w:val="bottom"/>
          </w:tcPr>
          <w:p>
            <w:pPr>
              <w:ind w:left="100"/>
              <w:spacing w:after="0"/>
              <w:rPr>
                <w:sz w:val="20"/>
                <w:szCs w:val="20"/>
                <w:color w:val="auto"/>
              </w:rPr>
            </w:pPr>
            <w:r>
              <w:rPr>
                <w:rFonts w:ascii="Arial" w:cs="Arial" w:eastAsia="Arial" w:hAnsi="Arial"/>
                <w:sz w:val="18"/>
                <w:szCs w:val="18"/>
                <w:color w:val="005C7D"/>
              </w:rPr>
              <w:t>•</w:t>
            </w:r>
          </w:p>
        </w:tc>
        <w:tc>
          <w:tcPr>
            <w:tcW w:w="6780" w:type="dxa"/>
            <w:vAlign w:val="bottom"/>
          </w:tcPr>
          <w:p>
            <w:pPr>
              <w:ind w:left="40"/>
              <w:spacing w:after="0"/>
              <w:rPr>
                <w:sz w:val="20"/>
                <w:szCs w:val="20"/>
                <w:color w:val="auto"/>
              </w:rPr>
            </w:pPr>
            <w:r>
              <w:rPr>
                <w:rFonts w:ascii="Arial" w:cs="Arial" w:eastAsia="Arial" w:hAnsi="Arial"/>
                <w:sz w:val="18"/>
                <w:szCs w:val="18"/>
                <w:color w:val="auto"/>
                <w:w w:val="98"/>
              </w:rPr>
              <w:t>Repricing of stock options or other equity-based awards without shareholder approval</w:t>
            </w:r>
          </w:p>
        </w:tc>
      </w:tr>
      <w:tr>
        <w:trPr>
          <w:trHeight w:val="243"/>
        </w:trPr>
        <w:tc>
          <w:tcPr>
            <w:tcW w:w="4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005C7D"/>
              </w:rPr>
              <w:t>•</w:t>
            </w:r>
          </w:p>
        </w:tc>
        <w:tc>
          <w:tcPr>
            <w:tcW w:w="6780" w:type="dxa"/>
            <w:vAlign w:val="bottom"/>
          </w:tcPr>
          <w:p>
            <w:pPr>
              <w:ind w:left="40"/>
              <w:spacing w:after="0"/>
              <w:rPr>
                <w:sz w:val="20"/>
                <w:szCs w:val="20"/>
                <w:color w:val="auto"/>
              </w:rPr>
            </w:pPr>
            <w:r>
              <w:rPr>
                <w:rFonts w:ascii="Arial" w:cs="Arial" w:eastAsia="Arial" w:hAnsi="Arial"/>
                <w:sz w:val="18"/>
                <w:szCs w:val="18"/>
                <w:color w:val="auto"/>
                <w:w w:val="99"/>
              </w:rPr>
              <w:t>Pension plan/SERP credit for years not worked with L3 or its predecessor companies</w:t>
            </w:r>
          </w:p>
        </w:tc>
      </w:tr>
      <w:tr>
        <w:trPr>
          <w:trHeight w:val="243"/>
        </w:trPr>
        <w:tc>
          <w:tcPr>
            <w:tcW w:w="4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005C7D"/>
              </w:rPr>
              <w:t>•</w:t>
            </w:r>
          </w:p>
        </w:tc>
        <w:tc>
          <w:tcPr>
            <w:tcW w:w="6780" w:type="dxa"/>
            <w:vAlign w:val="bottom"/>
          </w:tcPr>
          <w:p>
            <w:pPr>
              <w:ind w:left="40"/>
              <w:spacing w:after="0"/>
              <w:rPr>
                <w:sz w:val="20"/>
                <w:szCs w:val="20"/>
                <w:color w:val="auto"/>
              </w:rPr>
            </w:pPr>
            <w:r>
              <w:rPr>
                <w:rFonts w:ascii="Arial" w:cs="Arial" w:eastAsia="Arial" w:hAnsi="Arial"/>
                <w:sz w:val="18"/>
                <w:szCs w:val="18"/>
                <w:color w:val="auto"/>
              </w:rPr>
              <w:t>Excessive severance or change in control provisions</w:t>
            </w:r>
          </w:p>
        </w:tc>
      </w:tr>
      <w:tr>
        <w:trPr>
          <w:trHeight w:val="243"/>
        </w:trPr>
        <w:tc>
          <w:tcPr>
            <w:tcW w:w="4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005C7D"/>
              </w:rPr>
              <w:t>•</w:t>
            </w:r>
          </w:p>
        </w:tc>
        <w:tc>
          <w:tcPr>
            <w:tcW w:w="6780" w:type="dxa"/>
            <w:vAlign w:val="bottom"/>
          </w:tcPr>
          <w:p>
            <w:pPr>
              <w:ind w:left="40"/>
              <w:spacing w:after="0"/>
              <w:rPr>
                <w:sz w:val="20"/>
                <w:szCs w:val="20"/>
                <w:color w:val="auto"/>
              </w:rPr>
            </w:pPr>
            <w:r>
              <w:rPr>
                <w:rFonts w:ascii="Arial" w:cs="Arial" w:eastAsia="Arial" w:hAnsi="Arial"/>
                <w:sz w:val="18"/>
                <w:szCs w:val="18"/>
                <w:color w:val="auto"/>
                <w:w w:val="96"/>
              </w:rPr>
              <w:t>Payment of dividends on stock options, or on other equity-based awards prior to vesting</w:t>
            </w:r>
          </w:p>
        </w:tc>
      </w:tr>
      <w:tr>
        <w:trPr>
          <w:trHeight w:val="250"/>
        </w:trPr>
        <w:tc>
          <w:tcPr>
            <w:tcW w:w="440" w:type="dxa"/>
            <w:vAlign w:val="bottom"/>
            <w:tcBorders>
              <w:bottom w:val="single" w:sz="8" w:color="005C7D"/>
            </w:tcBorders>
          </w:tcPr>
          <w:p>
            <w:pPr>
              <w:spacing w:after="0"/>
              <w:rPr>
                <w:sz w:val="21"/>
                <w:szCs w:val="21"/>
                <w:color w:val="auto"/>
              </w:rPr>
            </w:pPr>
          </w:p>
        </w:tc>
        <w:tc>
          <w:tcPr>
            <w:tcW w:w="1860" w:type="dxa"/>
            <w:vAlign w:val="bottom"/>
            <w:tcBorders>
              <w:bottom w:val="single" w:sz="8" w:color="005C7D"/>
            </w:tcBorders>
          </w:tcPr>
          <w:p>
            <w:pPr>
              <w:spacing w:after="0"/>
              <w:rPr>
                <w:sz w:val="21"/>
                <w:szCs w:val="21"/>
                <w:color w:val="auto"/>
              </w:rPr>
            </w:pPr>
          </w:p>
        </w:tc>
        <w:tc>
          <w:tcPr>
            <w:tcW w:w="480" w:type="dxa"/>
            <w:vAlign w:val="bottom"/>
            <w:tcBorders>
              <w:bottom w:val="single" w:sz="8" w:color="005C7D"/>
            </w:tcBorders>
          </w:tcPr>
          <w:p>
            <w:pPr>
              <w:ind w:left="100"/>
              <w:spacing w:after="0"/>
              <w:rPr>
                <w:sz w:val="20"/>
                <w:szCs w:val="20"/>
                <w:color w:val="auto"/>
              </w:rPr>
            </w:pPr>
            <w:r>
              <w:rPr>
                <w:rFonts w:ascii="Arial" w:cs="Arial" w:eastAsia="Arial" w:hAnsi="Arial"/>
                <w:sz w:val="18"/>
                <w:szCs w:val="18"/>
                <w:color w:val="005C7D"/>
              </w:rPr>
              <w:t>•</w:t>
            </w:r>
          </w:p>
        </w:tc>
        <w:tc>
          <w:tcPr>
            <w:tcW w:w="6780" w:type="dxa"/>
            <w:vAlign w:val="bottom"/>
            <w:tcBorders>
              <w:bottom w:val="single" w:sz="8" w:color="005C7D"/>
            </w:tcBorders>
          </w:tcPr>
          <w:p>
            <w:pPr>
              <w:ind w:left="40"/>
              <w:spacing w:after="0"/>
              <w:rPr>
                <w:sz w:val="20"/>
                <w:szCs w:val="20"/>
                <w:color w:val="auto"/>
              </w:rPr>
            </w:pPr>
            <w:r>
              <w:rPr>
                <w:rFonts w:ascii="Arial" w:cs="Arial" w:eastAsia="Arial" w:hAnsi="Arial"/>
                <w:sz w:val="18"/>
                <w:szCs w:val="18"/>
                <w:color w:val="auto"/>
                <w:w w:val="97"/>
              </w:rPr>
              <w:t>Hedging or pledging of L3 stock by executives, employees and non-employee directors</w:t>
            </w:r>
          </w:p>
        </w:tc>
      </w:tr>
      <w:tr>
        <w:trPr>
          <w:trHeight w:val="527"/>
        </w:trPr>
        <w:tc>
          <w:tcPr>
            <w:tcW w:w="440" w:type="dxa"/>
            <w:vAlign w:val="bottom"/>
          </w:tcPr>
          <w:p>
            <w:pPr>
              <w:ind w:left="40"/>
              <w:spacing w:after="0"/>
              <w:rPr>
                <w:sz w:val="20"/>
                <w:szCs w:val="20"/>
                <w:color w:val="auto"/>
              </w:rPr>
            </w:pPr>
            <w:r>
              <w:rPr>
                <w:rFonts w:ascii="Arial" w:cs="Arial" w:eastAsia="Arial" w:hAnsi="Arial"/>
                <w:sz w:val="18"/>
                <w:szCs w:val="18"/>
                <w:color w:val="005C7D"/>
              </w:rPr>
              <w:t>42</w:t>
            </w:r>
          </w:p>
        </w:tc>
        <w:tc>
          <w:tcPr>
            <w:tcW w:w="1860" w:type="dxa"/>
            <w:vAlign w:val="bottom"/>
          </w:tcPr>
          <w:p>
            <w:pPr>
              <w:ind w:left="240"/>
              <w:spacing w:after="0"/>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tc>
        <w:tc>
          <w:tcPr>
            <w:tcW w:w="480" w:type="dxa"/>
            <w:vAlign w:val="bottom"/>
          </w:tcPr>
          <w:p>
            <w:pPr>
              <w:spacing w:after="0"/>
              <w:rPr>
                <w:sz w:val="24"/>
                <w:szCs w:val="24"/>
                <w:color w:val="auto"/>
              </w:rPr>
            </w:pPr>
          </w:p>
        </w:tc>
        <w:tc>
          <w:tcPr>
            <w:tcW w:w="6780" w:type="dxa"/>
            <w:vAlign w:val="bottom"/>
          </w:tcPr>
          <w:p>
            <w:pPr>
              <w:spacing w:after="0"/>
              <w:rPr>
                <w:sz w:val="24"/>
                <w:szCs w:val="24"/>
                <w:color w:val="auto"/>
              </w:rPr>
            </w:pPr>
          </w:p>
        </w:tc>
      </w:tr>
      <w:tr>
        <w:trPr>
          <w:trHeight w:val="554"/>
        </w:trPr>
        <w:tc>
          <w:tcPr>
            <w:tcW w:w="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780" w:type="dxa"/>
            <w:vAlign w:val="bottom"/>
          </w:tcPr>
          <w:p>
            <w:pPr>
              <w:spacing w:after="0"/>
              <w:rPr>
                <w:sz w:val="24"/>
                <w:szCs w:val="24"/>
                <w:color w:val="auto"/>
              </w:rPr>
            </w:pPr>
          </w:p>
        </w:tc>
      </w:tr>
      <w:tr>
        <w:trPr>
          <w:trHeight w:val="68"/>
        </w:trPr>
        <w:tc>
          <w:tcPr>
            <w:tcW w:w="440" w:type="dxa"/>
            <w:vAlign w:val="bottom"/>
            <w:shd w:val="clear" w:color="auto" w:fill="000000"/>
          </w:tcPr>
          <w:p>
            <w:pPr>
              <w:spacing w:after="0"/>
              <w:rPr>
                <w:sz w:val="5"/>
                <w:szCs w:val="5"/>
                <w:color w:val="auto"/>
              </w:rPr>
            </w:pPr>
          </w:p>
        </w:tc>
        <w:tc>
          <w:tcPr>
            <w:tcW w:w="186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678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-530860</wp:posOffset>
            </wp:positionV>
            <wp:extent cx="154305"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OVERVIEW</w:t>
      </w:r>
    </w:p>
    <w:p>
      <w:pPr>
        <w:spacing w:after="0" w:line="175" w:lineRule="exact"/>
        <w:rPr>
          <w:sz w:val="20"/>
          <w:szCs w:val="20"/>
          <w:color w:val="auto"/>
        </w:rPr>
      </w:pPr>
    </w:p>
    <w:p>
      <w:pPr>
        <w:ind w:right="26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The table below outlines the principal elements of our executive compensation program. Detailed descriptions of each element of compensation and discussion of how the Committee determined compensation levels for 2016 can be found in the section “– Elements of 2016 Target Pay” beginning on page </w:t>
      </w:r>
      <w:hyperlink w:anchor="page52">
        <w:r>
          <w:rPr>
            <w:rFonts w:ascii="Arial" w:cs="Arial" w:eastAsia="Arial" w:hAnsi="Arial"/>
            <w:sz w:val="18"/>
            <w:szCs w:val="18"/>
            <w:u w:val="single" w:color="auto"/>
            <w:color w:val="0000EE"/>
          </w:rPr>
          <w:t>46</w:t>
        </w:r>
      </w:hyperlink>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90170</wp:posOffset>
            </wp:positionV>
            <wp:extent cx="5720080" cy="47853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20080" cy="4785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EXECUTIVE COMPENSATION</w:t>
      </w:r>
    </w:p>
    <w:p>
      <w:pPr>
        <w:spacing w:after="0" w:line="175" w:lineRule="exact"/>
        <w:rPr>
          <w:sz w:val="20"/>
          <w:szCs w:val="20"/>
          <w:color w:val="auto"/>
        </w:rPr>
      </w:pPr>
    </w:p>
    <w:p>
      <w:pPr>
        <w:ind w:right="60"/>
        <w:spacing w:after="0" w:line="279" w:lineRule="auto"/>
        <w:rPr>
          <w:rFonts w:ascii="Arial" w:cs="Arial" w:eastAsia="Arial" w:hAnsi="Arial"/>
          <w:sz w:val="17"/>
          <w:szCs w:val="17"/>
          <w:color w:val="auto"/>
        </w:rPr>
      </w:pPr>
      <w:r>
        <w:rPr>
          <w:rFonts w:ascii="Arial" w:cs="Arial" w:eastAsia="Arial" w:hAnsi="Arial"/>
          <w:sz w:val="17"/>
          <w:szCs w:val="17"/>
          <w:i w:val="1"/>
          <w:iCs w:val="1"/>
          <w:color w:val="auto"/>
        </w:rPr>
        <w:t>Role of the Compensation Committee</w:t>
      </w:r>
      <w:r>
        <w:rPr>
          <w:rFonts w:ascii="Arial" w:cs="Arial" w:eastAsia="Arial" w:hAnsi="Arial"/>
          <w:sz w:val="17"/>
          <w:szCs w:val="17"/>
          <w:color w:val="auto"/>
        </w:rPr>
        <w:t>. L3’s executive compensation program is administered by the Committee. The Committee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ultimately responsible for the review and approval of compensation for L3’s Chief Executive Officer and all other executive officers, including the other named executive officers. Key areas of responsibility for the Committee are described in “The Board of Directors and Certain Governance Matters — Committees of the Board of Directors” beginning on page </w:t>
      </w:r>
      <w:hyperlink w:anchor="page33">
        <w:r>
          <w:rPr>
            <w:rFonts w:ascii="Arial" w:cs="Arial" w:eastAsia="Arial" w:hAnsi="Arial"/>
            <w:sz w:val="17"/>
            <w:szCs w:val="17"/>
            <w:u w:val="single" w:color="auto"/>
            <w:color w:val="0000EE"/>
          </w:rPr>
          <w:t>27</w:t>
        </w:r>
      </w:hyperlink>
      <w:r>
        <w:rPr>
          <w:rFonts w:ascii="Arial" w:cs="Arial" w:eastAsia="Arial" w:hAnsi="Arial"/>
          <w:sz w:val="17"/>
          <w:szCs w:val="17"/>
          <w:color w:val="auto"/>
        </w:rPr>
        <w:t>.</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color w:val="auto"/>
        </w:rPr>
        <w:t>Role of Management and the Chief Executive Officer</w:t>
      </w:r>
      <w:r>
        <w:rPr>
          <w:rFonts w:ascii="Arial" w:cs="Arial" w:eastAsia="Arial" w:hAnsi="Arial"/>
          <w:sz w:val="16"/>
          <w:szCs w:val="16"/>
          <w:color w:val="auto"/>
        </w:rPr>
        <w:t>. The Company’s human resources, finance and legal departments assist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in the design and development of competitive compensation programs by providing data and analyses to the Committee and FW Cook, the Committee’s independent compensation consultant, in order to ensure that L3’s programs and incentives align with and support the Company’s business strategy. Management also recommends incentive plan metrics, performance targets and other plan objectives to be achieved, based on expected Company performance and subject to Committee approval.</w:t>
      </w:r>
    </w:p>
    <w:p>
      <w:pPr>
        <w:spacing w:after="0" w:line="199" w:lineRule="exact"/>
        <w:rPr>
          <w:sz w:val="20"/>
          <w:szCs w:val="20"/>
          <w:color w:val="auto"/>
        </w:rPr>
      </w:pPr>
    </w:p>
    <w:p>
      <w:pPr>
        <w:ind w:left="7820"/>
        <w:spacing w:after="0"/>
        <w:tabs>
          <w:tab w:leader="none" w:pos="932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389890</wp:posOffset>
            </wp:positionV>
            <wp:extent cx="6071870" cy="431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-107315</wp:posOffset>
            </wp:positionV>
            <wp:extent cx="163195" cy="1631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005C7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On an annual basis, the Chief Executive Officer reviews the performance of the other executive officers relative to their individual goals and Company performance and submits recommendations to the Committee for proposed base salary adjustments, target bonuses and personal ratings, and grant date target values for long-term incentive awards. In connection with reviewing the performance of, and making compensation recommendations with respect to, group presidents (all of whom directly report to the Chief Operating Officer), the Chief Executive Officer also takes into account the recommendations of the Chief Operating Officer. The Chief Executive Officer further provides the Committee with an annual assessment of his own performance, but otherwise has no role in determining his own compensation. Except as described above, no other executive officer participates in the setting of compensation for himself or any other executive officer.</w:t>
      </w:r>
    </w:p>
    <w:p>
      <w:pPr>
        <w:spacing w:after="0" w:line="125" w:lineRule="exact"/>
        <w:rPr>
          <w:sz w:val="20"/>
          <w:szCs w:val="20"/>
          <w:color w:val="auto"/>
        </w:rPr>
      </w:pPr>
    </w:p>
    <w:p>
      <w:pPr>
        <w:ind w:right="80"/>
        <w:spacing w:after="0" w:line="257" w:lineRule="auto"/>
        <w:rPr>
          <w:rFonts w:ascii="Arial" w:cs="Arial" w:eastAsia="Arial" w:hAnsi="Arial"/>
          <w:sz w:val="18"/>
          <w:szCs w:val="18"/>
          <w:color w:val="auto"/>
        </w:rPr>
      </w:pPr>
      <w:r>
        <w:rPr>
          <w:rFonts w:ascii="Arial" w:cs="Arial" w:eastAsia="Arial" w:hAnsi="Arial"/>
          <w:sz w:val="18"/>
          <w:szCs w:val="18"/>
          <w:i w:val="1"/>
          <w:iCs w:val="1"/>
          <w:color w:val="auto"/>
        </w:rPr>
        <w:t>Role of Compensation Consultant</w:t>
      </w:r>
      <w:r>
        <w:rPr>
          <w:rFonts w:ascii="Arial" w:cs="Arial" w:eastAsia="Arial" w:hAnsi="Arial"/>
          <w:sz w:val="18"/>
          <w:szCs w:val="18"/>
          <w:color w:val="auto"/>
        </w:rPr>
        <w:t>. The Committee has the sole authority to select, retain, terminate and approve the fees payable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outside consultants to provide it with advice on various aspects of executive compensation design and delivery. The Committee has retained FW Cook to advise the Committee on executive and non-employee director compensation generally. For a detailed description of FW Cook’s activities for the Committee, see “The Board of Directors and Certain Governance Matters — Compensation Committee Use of Consultants” on page </w:t>
      </w:r>
      <w:hyperlink w:anchor="page37">
        <w:r>
          <w:rPr>
            <w:rFonts w:ascii="Arial" w:cs="Arial" w:eastAsia="Arial" w:hAnsi="Arial"/>
            <w:sz w:val="18"/>
            <w:szCs w:val="18"/>
            <w:u w:val="single" w:color="auto"/>
            <w:color w:val="0000EE"/>
          </w:rPr>
          <w:t>31</w:t>
        </w:r>
      </w:hyperlink>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MIX OF PAY</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Committee believes that L3’s pay mix strongly supports the Company’s pay-for-performance culture. In 2016, 68% of the Chief Executive Officer’s 2016 target pay was “at risk” and subject to future performance to have any realized value.</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Base salary and restricted stock units (“RSUs”) are the only elements of 2016 target pay that are not contingent on future performance to have value (“fixed” pay). However, they both serve to attract and retain top executive talent, and the use of these pay elements is consistent with competitive market practices. As illustrated below, the mix of incentive compensation for our named executive officers is balanced to avoid the risk of emphasizing short-term gains at the expense of long-term performance. The emphasis on long-term incentives demonstrates our strong commitment to the alignment of management and shareholder interests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2006600</wp:posOffset>
            </wp:positionH>
            <wp:positionV relativeFrom="paragraph">
              <wp:posOffset>28575</wp:posOffset>
            </wp:positionV>
            <wp:extent cx="2058035"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058035" cy="171450"/>
                    </a:xfrm>
                    <a:prstGeom prst="rect">
                      <a:avLst/>
                    </a:prstGeom>
                    <a:noFill/>
                  </pic:spPr>
                </pic:pic>
              </a:graphicData>
            </a:graphic>
          </wp:anchor>
        </w:drawing>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2016 Target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102870</wp:posOffset>
            </wp:positionV>
            <wp:extent cx="5222875" cy="14833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222875"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005C7D"/>
        </w:rPr>
        <w:t>44</w:t>
      </w:r>
      <w:r>
        <w:rPr>
          <w:sz w:val="20"/>
          <w:szCs w:val="20"/>
          <w:color w:val="auto"/>
        </w:rPr>
        <w:tab/>
      </w: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6071870" cy="431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-106045</wp:posOffset>
            </wp:positionV>
            <wp:extent cx="154305" cy="1631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54305" cy="163195"/>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MARKET DATA AND COMPETITIVE COMPENSATION POSITIONING</w:t>
      </w:r>
    </w:p>
    <w:p>
      <w:pPr>
        <w:spacing w:after="0" w:line="17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Use of Market Data</w:t>
      </w:r>
      <w:r>
        <w:rPr>
          <w:rFonts w:ascii="Arial" w:cs="Arial" w:eastAsia="Arial" w:hAnsi="Arial"/>
          <w:sz w:val="18"/>
          <w:szCs w:val="18"/>
          <w:color w:val="auto"/>
        </w:rPr>
        <w:t>. The Committee believes that the success of our Company is dependent upon its ability to continue to attract</w:t>
      </w:r>
      <w:r>
        <w:rPr>
          <w:rFonts w:ascii="Arial" w:cs="Arial" w:eastAsia="Arial" w:hAnsi="Arial"/>
          <w:sz w:val="18"/>
          <w:szCs w:val="18"/>
          <w:i w:val="1"/>
          <w:iCs w:val="1"/>
          <w:color w:val="auto"/>
        </w:rPr>
        <w:t xml:space="preserve"> </w:t>
      </w:r>
      <w:r>
        <w:rPr>
          <w:rFonts w:ascii="Arial" w:cs="Arial" w:eastAsia="Arial" w:hAnsi="Arial"/>
          <w:sz w:val="18"/>
          <w:szCs w:val="18"/>
          <w:color w:val="auto"/>
        </w:rPr>
        <w:t>and retain high-performing executives. To ensure the comparability of our executive compensation practices and pay levels, the Committee has historically monitored executive pay at leading defense, aerospace and other industrial companies (the “compensation peer group”) with whom L3 competes for business, executive talent or investor capital. The table below shows the composition of our peer group used to benchmark target pay in 2016, which is identical to the peer group used to benchmark target pay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60718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Compensation Peer Group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660" w:type="dxa"/>
            <w:vAlign w:val="bottom"/>
            <w:tcBorders>
              <w:top w:val="single" w:sz="8" w:color="005C7D"/>
            </w:tcBorders>
            <w:shd w:val="clear" w:color="auto" w:fill="CDDAE6"/>
          </w:tcPr>
          <w:p>
            <w:pPr>
              <w:ind w:left="40"/>
              <w:spacing w:after="0"/>
              <w:rPr>
                <w:sz w:val="20"/>
                <w:szCs w:val="20"/>
                <w:color w:val="auto"/>
              </w:rPr>
            </w:pPr>
            <w:r>
              <w:rPr>
                <w:rFonts w:ascii="Arial" w:cs="Arial" w:eastAsia="Arial" w:hAnsi="Arial"/>
                <w:sz w:val="18"/>
                <w:szCs w:val="18"/>
                <w:color w:val="auto"/>
              </w:rPr>
              <w:t>Danaher Corporation</w:t>
            </w:r>
          </w:p>
        </w:tc>
        <w:tc>
          <w:tcPr>
            <w:tcW w:w="3640" w:type="dxa"/>
            <w:vAlign w:val="bottom"/>
            <w:tcBorders>
              <w:top w:val="single" w:sz="8" w:color="005C7D"/>
            </w:tcBorders>
            <w:shd w:val="clear" w:color="auto" w:fill="CDDAE6"/>
          </w:tcPr>
          <w:p>
            <w:pPr>
              <w:ind w:left="340"/>
              <w:spacing w:after="0"/>
              <w:rPr>
                <w:sz w:val="20"/>
                <w:szCs w:val="20"/>
                <w:color w:val="auto"/>
              </w:rPr>
            </w:pPr>
            <w:r>
              <w:rPr>
                <w:rFonts w:ascii="Arial" w:cs="Arial" w:eastAsia="Arial" w:hAnsi="Arial"/>
                <w:sz w:val="18"/>
                <w:szCs w:val="18"/>
                <w:color w:val="auto"/>
              </w:rPr>
              <w:t>Huntington Ingalls Industries, Inc.</w:t>
            </w:r>
          </w:p>
        </w:tc>
        <w:tc>
          <w:tcPr>
            <w:tcW w:w="3260" w:type="dxa"/>
            <w:vAlign w:val="bottom"/>
            <w:tcBorders>
              <w:top w:val="single" w:sz="8" w:color="005C7D"/>
            </w:tcBorders>
            <w:shd w:val="clear" w:color="auto" w:fill="CDDAE6"/>
          </w:tcPr>
          <w:p>
            <w:pPr>
              <w:ind w:left="820"/>
              <w:spacing w:after="0"/>
              <w:rPr>
                <w:sz w:val="20"/>
                <w:szCs w:val="20"/>
                <w:color w:val="auto"/>
              </w:rPr>
            </w:pPr>
            <w:r>
              <w:rPr>
                <w:rFonts w:ascii="Arial" w:cs="Arial" w:eastAsia="Arial" w:hAnsi="Arial"/>
                <w:sz w:val="18"/>
                <w:szCs w:val="18"/>
                <w:color w:val="auto"/>
              </w:rPr>
              <w:t>Parker Hannifin Corporation</w:t>
            </w:r>
          </w:p>
        </w:tc>
      </w:tr>
      <w:tr>
        <w:trPr>
          <w:trHeight w:val="237"/>
        </w:trPr>
        <w:tc>
          <w:tcPr>
            <w:tcW w:w="2660" w:type="dxa"/>
            <w:vAlign w:val="bottom"/>
          </w:tcPr>
          <w:p>
            <w:pPr>
              <w:ind w:left="40"/>
              <w:spacing w:after="0"/>
              <w:rPr>
                <w:sz w:val="20"/>
                <w:szCs w:val="20"/>
                <w:color w:val="auto"/>
              </w:rPr>
            </w:pPr>
            <w:r>
              <w:rPr>
                <w:rFonts w:ascii="Arial" w:cs="Arial" w:eastAsia="Arial" w:hAnsi="Arial"/>
                <w:sz w:val="18"/>
                <w:szCs w:val="18"/>
                <w:color w:val="auto"/>
              </w:rPr>
              <w:t>Eaton Corporation</w:t>
            </w:r>
          </w:p>
        </w:tc>
        <w:tc>
          <w:tcPr>
            <w:tcW w:w="3640" w:type="dxa"/>
            <w:vAlign w:val="bottom"/>
          </w:tcPr>
          <w:p>
            <w:pPr>
              <w:ind w:left="340"/>
              <w:spacing w:after="0"/>
              <w:rPr>
                <w:sz w:val="20"/>
                <w:szCs w:val="20"/>
                <w:color w:val="auto"/>
              </w:rPr>
            </w:pPr>
            <w:r>
              <w:rPr>
                <w:rFonts w:ascii="Arial" w:cs="Arial" w:eastAsia="Arial" w:hAnsi="Arial"/>
                <w:sz w:val="18"/>
                <w:szCs w:val="18"/>
                <w:color w:val="auto"/>
              </w:rPr>
              <w:t>Leidos Holdings, Inc.</w:t>
            </w:r>
          </w:p>
        </w:tc>
        <w:tc>
          <w:tcPr>
            <w:tcW w:w="3260" w:type="dxa"/>
            <w:vAlign w:val="bottom"/>
          </w:tcPr>
          <w:p>
            <w:pPr>
              <w:ind w:left="820"/>
              <w:spacing w:after="0"/>
              <w:rPr>
                <w:sz w:val="20"/>
                <w:szCs w:val="20"/>
                <w:color w:val="auto"/>
              </w:rPr>
            </w:pPr>
            <w:r>
              <w:rPr>
                <w:rFonts w:ascii="Arial" w:cs="Arial" w:eastAsia="Arial" w:hAnsi="Arial"/>
                <w:sz w:val="18"/>
                <w:szCs w:val="18"/>
                <w:color w:val="auto"/>
              </w:rPr>
              <w:t>Raytheon Company</w:t>
            </w:r>
          </w:p>
        </w:tc>
      </w:tr>
      <w:tr>
        <w:trPr>
          <w:trHeight w:val="249"/>
        </w:trPr>
        <w:tc>
          <w:tcPr>
            <w:tcW w:w="2660" w:type="dxa"/>
            <w:vAlign w:val="bottom"/>
            <w:shd w:val="clear" w:color="auto" w:fill="CDDAE6"/>
          </w:tcPr>
          <w:p>
            <w:pPr>
              <w:ind w:left="40"/>
              <w:spacing w:after="0"/>
              <w:rPr>
                <w:sz w:val="20"/>
                <w:szCs w:val="20"/>
                <w:color w:val="auto"/>
              </w:rPr>
            </w:pPr>
            <w:r>
              <w:rPr>
                <w:rFonts w:ascii="Arial" w:cs="Arial" w:eastAsia="Arial" w:hAnsi="Arial"/>
                <w:sz w:val="18"/>
                <w:szCs w:val="18"/>
                <w:color w:val="auto"/>
              </w:rPr>
              <w:t>General Dynamics Corporation</w:t>
            </w:r>
          </w:p>
        </w:tc>
        <w:tc>
          <w:tcPr>
            <w:tcW w:w="3640" w:type="dxa"/>
            <w:vAlign w:val="bottom"/>
            <w:shd w:val="clear" w:color="auto" w:fill="CDDAE6"/>
          </w:tcPr>
          <w:p>
            <w:pPr>
              <w:ind w:left="340"/>
              <w:spacing w:after="0"/>
              <w:rPr>
                <w:sz w:val="20"/>
                <w:szCs w:val="20"/>
                <w:color w:val="auto"/>
              </w:rPr>
            </w:pPr>
            <w:r>
              <w:rPr>
                <w:rFonts w:ascii="Arial" w:cs="Arial" w:eastAsia="Arial" w:hAnsi="Arial"/>
                <w:sz w:val="18"/>
                <w:szCs w:val="18"/>
                <w:color w:val="auto"/>
              </w:rPr>
              <w:t>Lockheed Martin Corporation</w:t>
            </w:r>
          </w:p>
        </w:tc>
        <w:tc>
          <w:tcPr>
            <w:tcW w:w="3260" w:type="dxa"/>
            <w:vAlign w:val="bottom"/>
            <w:shd w:val="clear" w:color="auto" w:fill="CDDAE6"/>
          </w:tcPr>
          <w:p>
            <w:pPr>
              <w:ind w:left="820"/>
              <w:spacing w:after="0"/>
              <w:rPr>
                <w:sz w:val="20"/>
                <w:szCs w:val="20"/>
                <w:color w:val="auto"/>
              </w:rPr>
            </w:pPr>
            <w:r>
              <w:rPr>
                <w:rFonts w:ascii="Arial" w:cs="Arial" w:eastAsia="Arial" w:hAnsi="Arial"/>
                <w:sz w:val="18"/>
                <w:szCs w:val="18"/>
                <w:color w:val="auto"/>
              </w:rPr>
              <w:t>Rockwell Collins, Inc.</w:t>
            </w:r>
          </w:p>
        </w:tc>
      </w:tr>
      <w:tr>
        <w:trPr>
          <w:trHeight w:val="237"/>
        </w:trPr>
        <w:tc>
          <w:tcPr>
            <w:tcW w:w="2660" w:type="dxa"/>
            <w:vAlign w:val="bottom"/>
          </w:tcPr>
          <w:p>
            <w:pPr>
              <w:ind w:left="40"/>
              <w:spacing w:after="0"/>
              <w:rPr>
                <w:sz w:val="20"/>
                <w:szCs w:val="20"/>
                <w:color w:val="auto"/>
              </w:rPr>
            </w:pPr>
            <w:r>
              <w:rPr>
                <w:rFonts w:ascii="Arial" w:cs="Arial" w:eastAsia="Arial" w:hAnsi="Arial"/>
                <w:sz w:val="18"/>
                <w:szCs w:val="18"/>
                <w:color w:val="auto"/>
              </w:rPr>
              <w:t>Harris Corporation</w:t>
            </w:r>
          </w:p>
        </w:tc>
        <w:tc>
          <w:tcPr>
            <w:tcW w:w="3640" w:type="dxa"/>
            <w:vAlign w:val="bottom"/>
          </w:tcPr>
          <w:p>
            <w:pPr>
              <w:ind w:left="340"/>
              <w:spacing w:after="0"/>
              <w:rPr>
                <w:sz w:val="20"/>
                <w:szCs w:val="20"/>
                <w:color w:val="auto"/>
              </w:rPr>
            </w:pPr>
            <w:r>
              <w:rPr>
                <w:rFonts w:ascii="Arial" w:cs="Arial" w:eastAsia="Arial" w:hAnsi="Arial"/>
                <w:sz w:val="18"/>
                <w:szCs w:val="18"/>
                <w:color w:val="auto"/>
              </w:rPr>
              <w:t>Northrop Grumman Corporation</w:t>
            </w:r>
          </w:p>
        </w:tc>
        <w:tc>
          <w:tcPr>
            <w:tcW w:w="3260" w:type="dxa"/>
            <w:vAlign w:val="bottom"/>
          </w:tcPr>
          <w:p>
            <w:pPr>
              <w:ind w:left="820"/>
              <w:spacing w:after="0"/>
              <w:rPr>
                <w:sz w:val="20"/>
                <w:szCs w:val="20"/>
                <w:color w:val="auto"/>
              </w:rPr>
            </w:pPr>
            <w:r>
              <w:rPr>
                <w:rFonts w:ascii="Arial" w:cs="Arial" w:eastAsia="Arial" w:hAnsi="Arial"/>
                <w:sz w:val="18"/>
                <w:szCs w:val="18"/>
                <w:color w:val="auto"/>
              </w:rPr>
              <w:t>Textron, Inc.</w:t>
            </w:r>
          </w:p>
        </w:tc>
      </w:tr>
      <w:tr>
        <w:trPr>
          <w:trHeight w:val="243"/>
        </w:trPr>
        <w:tc>
          <w:tcPr>
            <w:tcW w:w="2660" w:type="dxa"/>
            <w:vAlign w:val="bottom"/>
            <w:tcBorders>
              <w:bottom w:val="single" w:sz="8" w:color="005C7D"/>
            </w:tcBorders>
            <w:shd w:val="clear" w:color="auto" w:fill="CDDAE6"/>
          </w:tcPr>
          <w:p>
            <w:pPr>
              <w:ind w:left="40"/>
              <w:spacing w:after="0"/>
              <w:rPr>
                <w:sz w:val="20"/>
                <w:szCs w:val="20"/>
                <w:color w:val="auto"/>
              </w:rPr>
            </w:pPr>
            <w:r>
              <w:rPr>
                <w:rFonts w:ascii="Arial" w:cs="Arial" w:eastAsia="Arial" w:hAnsi="Arial"/>
                <w:sz w:val="18"/>
                <w:szCs w:val="18"/>
                <w:color w:val="auto"/>
              </w:rPr>
              <w:t>Honeywell International, Inc.</w:t>
            </w:r>
          </w:p>
        </w:tc>
        <w:tc>
          <w:tcPr>
            <w:tcW w:w="3640" w:type="dxa"/>
            <w:vAlign w:val="bottom"/>
            <w:tcBorders>
              <w:bottom w:val="single" w:sz="8" w:color="005C7D"/>
            </w:tcBorders>
            <w:shd w:val="clear" w:color="auto" w:fill="CDDAE6"/>
          </w:tcPr>
          <w:p>
            <w:pPr>
              <w:spacing w:after="0"/>
              <w:rPr>
                <w:sz w:val="21"/>
                <w:szCs w:val="21"/>
                <w:color w:val="auto"/>
              </w:rPr>
            </w:pPr>
          </w:p>
        </w:tc>
        <w:tc>
          <w:tcPr>
            <w:tcW w:w="3260" w:type="dxa"/>
            <w:vAlign w:val="bottom"/>
            <w:tcBorders>
              <w:bottom w:val="single" w:sz="8" w:color="005C7D"/>
            </w:tcBorders>
            <w:shd w:val="clear" w:color="auto" w:fill="CDDAE6"/>
          </w:tcPr>
          <w:p>
            <w:pPr>
              <w:spacing w:after="0"/>
              <w:rPr>
                <w:sz w:val="21"/>
                <w:szCs w:val="21"/>
                <w:color w:val="auto"/>
              </w:rPr>
            </w:pPr>
          </w:p>
        </w:tc>
      </w:tr>
    </w:tbl>
    <w:p>
      <w:pPr>
        <w:spacing w:after="0" w:line="1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Committee evaluates each peer company on an annual basis to determine its continued suitability from a pay benchmarking perspective. The selection criteria examined include:</w:t>
      </w:r>
    </w:p>
    <w:p>
      <w:pPr>
        <w:spacing w:after="0" w:line="62" w:lineRule="exact"/>
        <w:rPr>
          <w:sz w:val="20"/>
          <w:szCs w:val="20"/>
          <w:color w:val="auto"/>
        </w:rPr>
      </w:pPr>
    </w:p>
    <w:p>
      <w:pPr>
        <w:ind w:left="700" w:right="120" w:hanging="356"/>
        <w:spacing w:after="0" w:line="259" w:lineRule="auto"/>
        <w:tabs>
          <w:tab w:leader="none" w:pos="700" w:val="left"/>
        </w:tabs>
        <w:numPr>
          <w:ilvl w:val="0"/>
          <w:numId w:val="55"/>
        </w:numPr>
        <w:rPr>
          <w:rFonts w:ascii="Arial" w:cs="Arial" w:eastAsia="Arial" w:hAnsi="Arial"/>
          <w:sz w:val="18"/>
          <w:szCs w:val="18"/>
          <w:color w:val="005C7D"/>
        </w:rPr>
      </w:pPr>
      <w:r>
        <w:rPr>
          <w:rFonts w:ascii="Arial" w:cs="Arial" w:eastAsia="Arial" w:hAnsi="Arial"/>
          <w:sz w:val="18"/>
          <w:szCs w:val="18"/>
          <w:b w:val="1"/>
          <w:bCs w:val="1"/>
          <w:i w:val="1"/>
          <w:iCs w:val="1"/>
          <w:color w:val="auto"/>
        </w:rPr>
        <w:t xml:space="preserve">Operational Fit: </w:t>
      </w:r>
      <w:r>
        <w:rPr>
          <w:rFonts w:ascii="Arial" w:cs="Arial" w:eastAsia="Arial" w:hAnsi="Arial"/>
          <w:sz w:val="18"/>
          <w:szCs w:val="18"/>
          <w:color w:val="auto"/>
        </w:rPr>
        <w:t>companies in the same or similar industries with a comparable business mix and client base,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diversified global operations. Due to the limited number of “pure defense” companies of comparable size, the Committee believes that it is appropriate to include other companies in L3’s compensation peer group that are similar in size and compete with L3 for executive talent or investor capital.</w:t>
      </w:r>
    </w:p>
    <w:p>
      <w:pPr>
        <w:spacing w:after="0" w:line="78" w:lineRule="exact"/>
        <w:rPr>
          <w:rFonts w:ascii="Arial" w:cs="Arial" w:eastAsia="Arial" w:hAnsi="Arial"/>
          <w:sz w:val="18"/>
          <w:szCs w:val="18"/>
          <w:color w:val="005C7D"/>
        </w:rPr>
      </w:pPr>
    </w:p>
    <w:p>
      <w:pPr>
        <w:ind w:left="700" w:right="20" w:hanging="356"/>
        <w:spacing w:after="0" w:line="259" w:lineRule="auto"/>
        <w:tabs>
          <w:tab w:leader="none" w:pos="700" w:val="left"/>
        </w:tabs>
        <w:numPr>
          <w:ilvl w:val="0"/>
          <w:numId w:val="55"/>
        </w:numPr>
        <w:rPr>
          <w:rFonts w:ascii="Arial" w:cs="Arial" w:eastAsia="Arial" w:hAnsi="Arial"/>
          <w:sz w:val="18"/>
          <w:szCs w:val="18"/>
          <w:color w:val="005C7D"/>
        </w:rPr>
      </w:pPr>
      <w:r>
        <w:rPr>
          <w:rFonts w:ascii="Arial" w:cs="Arial" w:eastAsia="Arial" w:hAnsi="Arial"/>
          <w:sz w:val="18"/>
          <w:szCs w:val="18"/>
          <w:b w:val="1"/>
          <w:bCs w:val="1"/>
          <w:i w:val="1"/>
          <w:iCs w:val="1"/>
          <w:color w:val="auto"/>
        </w:rPr>
        <w:t xml:space="preserve">Financial Scope: </w:t>
      </w:r>
      <w:r>
        <w:rPr>
          <w:rFonts w:ascii="Arial" w:cs="Arial" w:eastAsia="Arial" w:hAnsi="Arial"/>
          <w:sz w:val="18"/>
          <w:szCs w:val="18"/>
          <w:color w:val="auto"/>
        </w:rPr>
        <w:t>companies of similar size as measured by annual corporate revenues. At the time this peer group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approved, most of the peers fell within a range of one-third to three times the size of L3. In limited circumstances, we have found it appropriate to include companies with revenues that fall both above and below this range when they are proven competitors for business, executive talent or investor capital.</w:t>
      </w:r>
    </w:p>
    <w:p>
      <w:pPr>
        <w:spacing w:after="0" w:line="13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June 2016, the Committee conducted its annual review of the suitability of the peer group companies, taking into account L3’s projected revenues from continuing operations following the sale of its National Security Solutions business in February 2016. As part of its annual review, the Committee also considered a number of business transactions that occurred during the past year with respect to the 2016 peer group companies. Among other things, Danaher completed its acquisition of Pall Corporation and split itself into two publicly traded companies. In consideration of these changes, the Committee determined to remove Danaher from the 2017 peer group, and to add Ingersoll-Rand, Spirit AeroSystems and TransDigm Group to the 2017 peer group. Ingersoll-Rand is an industrial machinery company that shares many business characteristics and is similar in size to L3. Spirit AeroSystems and TransDigm Group are both aerospace and defense companies that, while smaller in size than L3, compete with L3 for business, investor capital or executive talent. The table below shows the revised peer group that the Committee has determined to use to benchmark executive officer target pay levels for fiscal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0718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Compensation Peer Group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720" w:type="dxa"/>
            <w:vAlign w:val="bottom"/>
            <w:tcBorders>
              <w:top w:val="single" w:sz="8" w:color="005C7D"/>
            </w:tcBorders>
            <w:shd w:val="clear" w:color="auto" w:fill="CDDAE6"/>
          </w:tcPr>
          <w:p>
            <w:pPr>
              <w:ind w:left="40"/>
              <w:spacing w:after="0"/>
              <w:rPr>
                <w:sz w:val="20"/>
                <w:szCs w:val="20"/>
                <w:color w:val="auto"/>
              </w:rPr>
            </w:pPr>
            <w:r>
              <w:rPr>
                <w:rFonts w:ascii="Arial" w:cs="Arial" w:eastAsia="Arial" w:hAnsi="Arial"/>
                <w:sz w:val="18"/>
                <w:szCs w:val="18"/>
                <w:color w:val="auto"/>
              </w:rPr>
              <w:t>Eaton Corporation</w:t>
            </w:r>
          </w:p>
        </w:tc>
        <w:tc>
          <w:tcPr>
            <w:tcW w:w="3320" w:type="dxa"/>
            <w:vAlign w:val="bottom"/>
            <w:tcBorders>
              <w:top w:val="single" w:sz="8" w:color="005C7D"/>
            </w:tcBorders>
            <w:shd w:val="clear" w:color="auto" w:fill="CDDAE6"/>
          </w:tcPr>
          <w:p>
            <w:pPr>
              <w:ind w:left="180"/>
              <w:spacing w:after="0"/>
              <w:rPr>
                <w:sz w:val="20"/>
                <w:szCs w:val="20"/>
                <w:color w:val="auto"/>
              </w:rPr>
            </w:pPr>
            <w:r>
              <w:rPr>
                <w:rFonts w:ascii="Arial" w:cs="Arial" w:eastAsia="Arial" w:hAnsi="Arial"/>
                <w:sz w:val="18"/>
                <w:szCs w:val="18"/>
                <w:color w:val="auto"/>
              </w:rPr>
              <w:t>Ingersoll-Rand plc</w:t>
            </w:r>
          </w:p>
        </w:tc>
        <w:tc>
          <w:tcPr>
            <w:tcW w:w="3520" w:type="dxa"/>
            <w:vAlign w:val="bottom"/>
            <w:tcBorders>
              <w:top w:val="single" w:sz="8" w:color="005C7D"/>
            </w:tcBorders>
            <w:shd w:val="clear" w:color="auto" w:fill="CDDAE6"/>
          </w:tcPr>
          <w:p>
            <w:pPr>
              <w:ind w:left="780"/>
              <w:spacing w:after="0"/>
              <w:rPr>
                <w:sz w:val="20"/>
                <w:szCs w:val="20"/>
                <w:color w:val="auto"/>
              </w:rPr>
            </w:pPr>
            <w:r>
              <w:rPr>
                <w:rFonts w:ascii="Arial" w:cs="Arial" w:eastAsia="Arial" w:hAnsi="Arial"/>
                <w:sz w:val="18"/>
                <w:szCs w:val="18"/>
                <w:color w:val="auto"/>
              </w:rPr>
              <w:t>Raytheon Company</w:t>
            </w:r>
          </w:p>
        </w:tc>
      </w:tr>
      <w:tr>
        <w:trPr>
          <w:trHeight w:val="237"/>
        </w:trPr>
        <w:tc>
          <w:tcPr>
            <w:tcW w:w="2720" w:type="dxa"/>
            <w:vAlign w:val="bottom"/>
          </w:tcPr>
          <w:p>
            <w:pPr>
              <w:ind w:left="40"/>
              <w:spacing w:after="0"/>
              <w:rPr>
                <w:sz w:val="20"/>
                <w:szCs w:val="20"/>
                <w:color w:val="auto"/>
              </w:rPr>
            </w:pPr>
            <w:r>
              <w:rPr>
                <w:rFonts w:ascii="Arial" w:cs="Arial" w:eastAsia="Arial" w:hAnsi="Arial"/>
                <w:sz w:val="18"/>
                <w:szCs w:val="18"/>
                <w:color w:val="auto"/>
              </w:rPr>
              <w:t>General Dynamics Corporation</w:t>
            </w:r>
          </w:p>
        </w:tc>
        <w:tc>
          <w:tcPr>
            <w:tcW w:w="3320" w:type="dxa"/>
            <w:vAlign w:val="bottom"/>
          </w:tcPr>
          <w:p>
            <w:pPr>
              <w:ind w:left="180"/>
              <w:spacing w:after="0"/>
              <w:rPr>
                <w:sz w:val="20"/>
                <w:szCs w:val="20"/>
                <w:color w:val="auto"/>
              </w:rPr>
            </w:pPr>
            <w:r>
              <w:rPr>
                <w:rFonts w:ascii="Arial" w:cs="Arial" w:eastAsia="Arial" w:hAnsi="Arial"/>
                <w:sz w:val="18"/>
                <w:szCs w:val="18"/>
                <w:color w:val="auto"/>
              </w:rPr>
              <w:t>Leidos Holdings, Inc.</w:t>
            </w:r>
          </w:p>
        </w:tc>
        <w:tc>
          <w:tcPr>
            <w:tcW w:w="3520" w:type="dxa"/>
            <w:vAlign w:val="bottom"/>
          </w:tcPr>
          <w:p>
            <w:pPr>
              <w:ind w:left="780"/>
              <w:spacing w:after="0"/>
              <w:rPr>
                <w:sz w:val="20"/>
                <w:szCs w:val="20"/>
                <w:color w:val="auto"/>
              </w:rPr>
            </w:pPr>
            <w:r>
              <w:rPr>
                <w:rFonts w:ascii="Arial" w:cs="Arial" w:eastAsia="Arial" w:hAnsi="Arial"/>
                <w:sz w:val="18"/>
                <w:szCs w:val="18"/>
                <w:color w:val="auto"/>
              </w:rPr>
              <w:t>Rockwell Collins, Inc.</w:t>
            </w:r>
          </w:p>
        </w:tc>
      </w:tr>
      <w:tr>
        <w:trPr>
          <w:trHeight w:val="249"/>
        </w:trPr>
        <w:tc>
          <w:tcPr>
            <w:tcW w:w="2720" w:type="dxa"/>
            <w:vAlign w:val="bottom"/>
            <w:shd w:val="clear" w:color="auto" w:fill="CDDAE6"/>
          </w:tcPr>
          <w:p>
            <w:pPr>
              <w:ind w:left="40"/>
              <w:spacing w:after="0"/>
              <w:rPr>
                <w:sz w:val="20"/>
                <w:szCs w:val="20"/>
                <w:color w:val="auto"/>
              </w:rPr>
            </w:pPr>
            <w:r>
              <w:rPr>
                <w:rFonts w:ascii="Arial" w:cs="Arial" w:eastAsia="Arial" w:hAnsi="Arial"/>
                <w:sz w:val="18"/>
                <w:szCs w:val="18"/>
                <w:color w:val="auto"/>
              </w:rPr>
              <w:t>Harris Corporation</w:t>
            </w:r>
          </w:p>
        </w:tc>
        <w:tc>
          <w:tcPr>
            <w:tcW w:w="3320" w:type="dxa"/>
            <w:vAlign w:val="bottom"/>
            <w:shd w:val="clear" w:color="auto" w:fill="CDDAE6"/>
          </w:tcPr>
          <w:p>
            <w:pPr>
              <w:ind w:left="180"/>
              <w:spacing w:after="0"/>
              <w:rPr>
                <w:sz w:val="20"/>
                <w:szCs w:val="20"/>
                <w:color w:val="auto"/>
              </w:rPr>
            </w:pPr>
            <w:r>
              <w:rPr>
                <w:rFonts w:ascii="Arial" w:cs="Arial" w:eastAsia="Arial" w:hAnsi="Arial"/>
                <w:sz w:val="18"/>
                <w:szCs w:val="18"/>
                <w:color w:val="auto"/>
              </w:rPr>
              <w:t>Lockheed Martin Corporation</w:t>
            </w:r>
          </w:p>
        </w:tc>
        <w:tc>
          <w:tcPr>
            <w:tcW w:w="3520" w:type="dxa"/>
            <w:vAlign w:val="bottom"/>
            <w:shd w:val="clear" w:color="auto" w:fill="CDDAE6"/>
          </w:tcPr>
          <w:p>
            <w:pPr>
              <w:ind w:left="780"/>
              <w:spacing w:after="0"/>
              <w:rPr>
                <w:sz w:val="20"/>
                <w:szCs w:val="20"/>
                <w:color w:val="auto"/>
              </w:rPr>
            </w:pPr>
            <w:r>
              <w:rPr>
                <w:rFonts w:ascii="Arial" w:cs="Arial" w:eastAsia="Arial" w:hAnsi="Arial"/>
                <w:sz w:val="18"/>
                <w:szCs w:val="18"/>
                <w:color w:val="auto"/>
              </w:rPr>
              <w:t>Spirit AeroSystems Holdings, Inc.</w:t>
            </w:r>
          </w:p>
        </w:tc>
      </w:tr>
      <w:tr>
        <w:trPr>
          <w:trHeight w:val="237"/>
        </w:trPr>
        <w:tc>
          <w:tcPr>
            <w:tcW w:w="2720" w:type="dxa"/>
            <w:vAlign w:val="bottom"/>
          </w:tcPr>
          <w:p>
            <w:pPr>
              <w:ind w:left="40"/>
              <w:spacing w:after="0"/>
              <w:rPr>
                <w:sz w:val="20"/>
                <w:szCs w:val="20"/>
                <w:color w:val="auto"/>
              </w:rPr>
            </w:pPr>
            <w:r>
              <w:rPr>
                <w:rFonts w:ascii="Arial" w:cs="Arial" w:eastAsia="Arial" w:hAnsi="Arial"/>
                <w:sz w:val="18"/>
                <w:szCs w:val="18"/>
                <w:color w:val="auto"/>
              </w:rPr>
              <w:t>Honeywell International, Inc.</w:t>
            </w:r>
          </w:p>
        </w:tc>
        <w:tc>
          <w:tcPr>
            <w:tcW w:w="3320" w:type="dxa"/>
            <w:vAlign w:val="bottom"/>
          </w:tcPr>
          <w:p>
            <w:pPr>
              <w:ind w:left="180"/>
              <w:spacing w:after="0"/>
              <w:rPr>
                <w:sz w:val="20"/>
                <w:szCs w:val="20"/>
                <w:color w:val="auto"/>
              </w:rPr>
            </w:pPr>
            <w:r>
              <w:rPr>
                <w:rFonts w:ascii="Arial" w:cs="Arial" w:eastAsia="Arial" w:hAnsi="Arial"/>
                <w:sz w:val="18"/>
                <w:szCs w:val="18"/>
                <w:color w:val="auto"/>
              </w:rPr>
              <w:t>Northrop Grumman Corporation</w:t>
            </w:r>
          </w:p>
        </w:tc>
        <w:tc>
          <w:tcPr>
            <w:tcW w:w="3520" w:type="dxa"/>
            <w:vAlign w:val="bottom"/>
          </w:tcPr>
          <w:p>
            <w:pPr>
              <w:ind w:left="780"/>
              <w:spacing w:after="0"/>
              <w:rPr>
                <w:sz w:val="20"/>
                <w:szCs w:val="20"/>
                <w:color w:val="auto"/>
              </w:rPr>
            </w:pPr>
            <w:r>
              <w:rPr>
                <w:rFonts w:ascii="Arial" w:cs="Arial" w:eastAsia="Arial" w:hAnsi="Arial"/>
                <w:sz w:val="18"/>
                <w:szCs w:val="18"/>
                <w:color w:val="auto"/>
              </w:rPr>
              <w:t>Textron, Inc.</w:t>
            </w:r>
          </w:p>
        </w:tc>
      </w:tr>
      <w:tr>
        <w:trPr>
          <w:trHeight w:val="243"/>
        </w:trPr>
        <w:tc>
          <w:tcPr>
            <w:tcW w:w="2720" w:type="dxa"/>
            <w:vAlign w:val="bottom"/>
            <w:tcBorders>
              <w:bottom w:val="single" w:sz="8" w:color="005C7D"/>
            </w:tcBorders>
            <w:shd w:val="clear" w:color="auto" w:fill="CDDAE6"/>
          </w:tcPr>
          <w:p>
            <w:pPr>
              <w:ind w:left="40"/>
              <w:spacing w:after="0"/>
              <w:rPr>
                <w:sz w:val="20"/>
                <w:szCs w:val="20"/>
                <w:color w:val="auto"/>
              </w:rPr>
            </w:pPr>
            <w:r>
              <w:rPr>
                <w:rFonts w:ascii="Arial" w:cs="Arial" w:eastAsia="Arial" w:hAnsi="Arial"/>
                <w:sz w:val="18"/>
                <w:szCs w:val="18"/>
                <w:color w:val="auto"/>
                <w:w w:val="99"/>
              </w:rPr>
              <w:t>Huntington Ingalls Industries, Inc.</w:t>
            </w:r>
          </w:p>
        </w:tc>
        <w:tc>
          <w:tcPr>
            <w:tcW w:w="3320" w:type="dxa"/>
            <w:vAlign w:val="bottom"/>
            <w:tcBorders>
              <w:bottom w:val="single" w:sz="8" w:color="005C7D"/>
            </w:tcBorders>
            <w:shd w:val="clear" w:color="auto" w:fill="CDDAE6"/>
          </w:tcPr>
          <w:p>
            <w:pPr>
              <w:ind w:left="180"/>
              <w:spacing w:after="0"/>
              <w:rPr>
                <w:sz w:val="20"/>
                <w:szCs w:val="20"/>
                <w:color w:val="auto"/>
              </w:rPr>
            </w:pPr>
            <w:r>
              <w:rPr>
                <w:rFonts w:ascii="Arial" w:cs="Arial" w:eastAsia="Arial" w:hAnsi="Arial"/>
                <w:sz w:val="18"/>
                <w:szCs w:val="18"/>
                <w:color w:val="auto"/>
              </w:rPr>
              <w:t>Parker Hannifin Corporation</w:t>
            </w:r>
          </w:p>
        </w:tc>
        <w:tc>
          <w:tcPr>
            <w:tcW w:w="3520" w:type="dxa"/>
            <w:vAlign w:val="bottom"/>
            <w:tcBorders>
              <w:bottom w:val="single" w:sz="8" w:color="005C7D"/>
            </w:tcBorders>
            <w:shd w:val="clear" w:color="auto" w:fill="CDDAE6"/>
          </w:tcPr>
          <w:p>
            <w:pPr>
              <w:ind w:left="780"/>
              <w:spacing w:after="0"/>
              <w:rPr>
                <w:sz w:val="20"/>
                <w:szCs w:val="20"/>
                <w:color w:val="auto"/>
              </w:rPr>
            </w:pPr>
            <w:r>
              <w:rPr>
                <w:rFonts w:ascii="Arial" w:cs="Arial" w:eastAsia="Arial" w:hAnsi="Arial"/>
                <w:sz w:val="18"/>
                <w:szCs w:val="18"/>
                <w:color w:val="auto"/>
              </w:rPr>
              <w:t>TransDigm Group Incorporated</w:t>
            </w:r>
          </w:p>
        </w:tc>
      </w:tr>
    </w:tbl>
    <w:p>
      <w:pPr>
        <w:spacing w:after="0" w:line="14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reviewing competitive compensation levels, it is the Committee’s practice to consider compensation peer group data for all named executive officers and, for named executive officers who are group presidents (for 2016, Mr. Kantor), to also consider general industry compensation data included in third-party surveys because it believes that including a broader industry group more accurately reflects the labor market for group presidents and ensures a meaningful sample size given the revenue of the</w:t>
      </w:r>
    </w:p>
    <w:p>
      <w:pPr>
        <w:spacing w:after="0" w:line="212" w:lineRule="exact"/>
        <w:rPr>
          <w:sz w:val="20"/>
          <w:szCs w:val="20"/>
          <w:color w:val="auto"/>
        </w:rPr>
      </w:pPr>
    </w:p>
    <w:p>
      <w:pPr>
        <w:ind w:left="7820"/>
        <w:spacing w:after="0"/>
        <w:tabs>
          <w:tab w:leader="none" w:pos="932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6071870" cy="431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-107315</wp:posOffset>
            </wp:positionV>
            <wp:extent cx="163195"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005C7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groups they lead. With respect to compensation decisions made by the Committee for Mr. Kantor in 2016, the Committee considered competitive compensation levels based on the average of the compensation peer group data and survey data from the Willis Towers Watson Executive Compensation Database General Industry survey. The survey data was size-adjusted by FW Cook to reflect the annual revenue of Mr. Kantor’s group (Electronic Systems), and was used to provide a supplemental market reference.</w:t>
      </w:r>
    </w:p>
    <w:p>
      <w:pPr>
        <w:spacing w:after="0" w:line="10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Competitive Market Positioning</w:t>
      </w:r>
      <w:r>
        <w:rPr>
          <w:rFonts w:ascii="Arial" w:cs="Arial" w:eastAsia="Arial" w:hAnsi="Arial"/>
          <w:sz w:val="17"/>
          <w:szCs w:val="17"/>
          <w:color w:val="auto"/>
        </w:rPr>
        <w:t>. The Committee’s practice is to make pay decisions regarding the elements of compensation that</w:t>
      </w:r>
      <w:r>
        <w:rPr>
          <w:rFonts w:ascii="Arial" w:cs="Arial" w:eastAsia="Arial" w:hAnsi="Arial"/>
          <w:sz w:val="17"/>
          <w:szCs w:val="17"/>
          <w:i w:val="1"/>
          <w:iCs w:val="1"/>
          <w:color w:val="auto"/>
        </w:rPr>
        <w:t xml:space="preserve"> </w:t>
      </w:r>
      <w:r>
        <w:rPr>
          <w:rFonts w:ascii="Arial" w:cs="Arial" w:eastAsia="Arial" w:hAnsi="Arial"/>
          <w:sz w:val="17"/>
          <w:szCs w:val="17"/>
          <w:color w:val="auto"/>
        </w:rPr>
        <w:t>compose each named executive officer’s target pay (base salary, target bonus and grant date target value of long-term incentives) in February of each fiscal year. As part of its decision-making process, the Committee compares each named executive officer’s target pay for the fiscal year against the market median; however, the Committee does not use market data in isolation in determining pay. Instead, competitive market data serves as one of many considerations used by the Committee in determining base salary adjustments and target pay opportunities for both annual and long-term incentives. The primary factors considered by the Committee in making its annual pay determinations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0718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Target Pay Determinants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80" w:type="dxa"/>
            <w:vAlign w:val="bottom"/>
            <w:tcBorders>
              <w:top w:val="single" w:sz="8" w:color="005C7D"/>
            </w:tcBorders>
            <w:shd w:val="clear" w:color="auto" w:fill="CDDAE6"/>
          </w:tcPr>
          <w:p>
            <w:pPr>
              <w:ind w:left="40"/>
              <w:spacing w:after="0"/>
              <w:rPr>
                <w:sz w:val="20"/>
                <w:szCs w:val="20"/>
                <w:color w:val="auto"/>
              </w:rPr>
            </w:pPr>
            <w:r>
              <w:rPr>
                <w:rFonts w:ascii="Arial" w:cs="Arial" w:eastAsia="Arial" w:hAnsi="Arial"/>
                <w:sz w:val="18"/>
                <w:szCs w:val="18"/>
                <w:color w:val="auto"/>
              </w:rPr>
              <w:t>•  Positioning to competitive market</w:t>
            </w:r>
          </w:p>
        </w:tc>
        <w:tc>
          <w:tcPr>
            <w:tcW w:w="3180" w:type="dxa"/>
            <w:vAlign w:val="bottom"/>
            <w:tcBorders>
              <w:top w:val="single" w:sz="8" w:color="005C7D"/>
            </w:tcBorders>
            <w:shd w:val="clear" w:color="auto" w:fill="CDDAE6"/>
          </w:tcPr>
          <w:p>
            <w:pPr>
              <w:ind w:left="160"/>
              <w:spacing w:after="0"/>
              <w:rPr>
                <w:sz w:val="20"/>
                <w:szCs w:val="20"/>
                <w:color w:val="auto"/>
              </w:rPr>
            </w:pPr>
            <w:r>
              <w:rPr>
                <w:rFonts w:ascii="Arial" w:cs="Arial" w:eastAsia="Arial" w:hAnsi="Arial"/>
                <w:sz w:val="18"/>
                <w:szCs w:val="18"/>
                <w:color w:val="auto"/>
              </w:rPr>
              <w:t>•   Long-term financial and individual</w:t>
            </w:r>
          </w:p>
        </w:tc>
        <w:tc>
          <w:tcPr>
            <w:tcW w:w="3300" w:type="dxa"/>
            <w:vAlign w:val="bottom"/>
            <w:tcBorders>
              <w:top w:val="single" w:sz="8" w:color="005C7D"/>
            </w:tcBorders>
            <w:shd w:val="clear" w:color="auto" w:fill="CDDAE6"/>
          </w:tcPr>
          <w:p>
            <w:pPr>
              <w:ind w:left="220"/>
              <w:spacing w:after="0"/>
              <w:rPr>
                <w:sz w:val="20"/>
                <w:szCs w:val="20"/>
                <w:color w:val="auto"/>
              </w:rPr>
            </w:pPr>
            <w:r>
              <w:rPr>
                <w:rFonts w:ascii="Arial" w:cs="Arial" w:eastAsia="Arial" w:hAnsi="Arial"/>
                <w:sz w:val="18"/>
                <w:szCs w:val="18"/>
                <w:color w:val="auto"/>
              </w:rPr>
              <w:t>•   Role and responsibilities relative to</w:t>
            </w:r>
          </w:p>
        </w:tc>
      </w:tr>
      <w:tr>
        <w:trPr>
          <w:trHeight w:val="244"/>
        </w:trPr>
        <w:tc>
          <w:tcPr>
            <w:tcW w:w="3080" w:type="dxa"/>
            <w:vAlign w:val="bottom"/>
            <w:shd w:val="clear" w:color="auto" w:fill="CDDAE6"/>
          </w:tcPr>
          <w:p>
            <w:pPr>
              <w:ind w:left="260"/>
              <w:spacing w:after="0"/>
              <w:rPr>
                <w:sz w:val="20"/>
                <w:szCs w:val="20"/>
                <w:color w:val="auto"/>
              </w:rPr>
            </w:pPr>
            <w:r>
              <w:rPr>
                <w:rFonts w:ascii="Arial" w:cs="Arial" w:eastAsia="Arial" w:hAnsi="Arial"/>
                <w:sz w:val="18"/>
                <w:szCs w:val="18"/>
                <w:color w:val="auto"/>
              </w:rPr>
              <w:t>median</w:t>
            </w:r>
          </w:p>
        </w:tc>
        <w:tc>
          <w:tcPr>
            <w:tcW w:w="3180" w:type="dxa"/>
            <w:vAlign w:val="bottom"/>
            <w:shd w:val="clear" w:color="auto" w:fill="CDDAE6"/>
          </w:tcPr>
          <w:p>
            <w:pPr>
              <w:ind w:left="440"/>
              <w:spacing w:after="0"/>
              <w:rPr>
                <w:sz w:val="20"/>
                <w:szCs w:val="20"/>
                <w:color w:val="auto"/>
              </w:rPr>
            </w:pPr>
            <w:r>
              <w:rPr>
                <w:rFonts w:ascii="Arial" w:cs="Arial" w:eastAsia="Arial" w:hAnsi="Arial"/>
                <w:sz w:val="18"/>
                <w:szCs w:val="18"/>
                <w:color w:val="auto"/>
              </w:rPr>
              <w:t>performance</w:t>
            </w:r>
          </w:p>
        </w:tc>
        <w:tc>
          <w:tcPr>
            <w:tcW w:w="3300" w:type="dxa"/>
            <w:vAlign w:val="bottom"/>
            <w:shd w:val="clear" w:color="auto" w:fill="CDDAE6"/>
          </w:tcPr>
          <w:p>
            <w:pPr>
              <w:ind w:left="500"/>
              <w:spacing w:after="0"/>
              <w:rPr>
                <w:sz w:val="20"/>
                <w:szCs w:val="20"/>
                <w:color w:val="auto"/>
              </w:rPr>
            </w:pPr>
            <w:r>
              <w:rPr>
                <w:rFonts w:ascii="Arial" w:cs="Arial" w:eastAsia="Arial" w:hAnsi="Arial"/>
                <w:sz w:val="18"/>
                <w:szCs w:val="18"/>
                <w:color w:val="auto"/>
              </w:rPr>
              <w:t>benchmark</w:t>
            </w:r>
          </w:p>
        </w:tc>
      </w:tr>
      <w:tr>
        <w:trPr>
          <w:trHeight w:val="215"/>
        </w:trPr>
        <w:tc>
          <w:tcPr>
            <w:tcW w:w="3080" w:type="dxa"/>
            <w:vAlign w:val="bottom"/>
          </w:tcPr>
          <w:p>
            <w:pPr>
              <w:ind w:left="40"/>
              <w:spacing w:after="0"/>
              <w:rPr>
                <w:sz w:val="20"/>
                <w:szCs w:val="20"/>
                <w:color w:val="auto"/>
              </w:rPr>
            </w:pPr>
            <w:r>
              <w:rPr>
                <w:rFonts w:ascii="Arial" w:cs="Arial" w:eastAsia="Arial" w:hAnsi="Arial"/>
                <w:sz w:val="18"/>
                <w:szCs w:val="18"/>
                <w:color w:val="auto"/>
              </w:rPr>
              <w:t>•  Competitive mix of fixed and at-risk</w:t>
            </w:r>
          </w:p>
        </w:tc>
        <w:tc>
          <w:tcPr>
            <w:tcW w:w="3180" w:type="dxa"/>
            <w:vAlign w:val="bottom"/>
          </w:tcPr>
          <w:p>
            <w:pPr>
              <w:ind w:left="160"/>
              <w:spacing w:after="0"/>
              <w:rPr>
                <w:sz w:val="20"/>
                <w:szCs w:val="20"/>
                <w:color w:val="auto"/>
              </w:rPr>
            </w:pPr>
            <w:r>
              <w:rPr>
                <w:rFonts w:ascii="Arial" w:cs="Arial" w:eastAsia="Arial" w:hAnsi="Arial"/>
                <w:sz w:val="18"/>
                <w:szCs w:val="18"/>
                <w:color w:val="auto"/>
              </w:rPr>
              <w:t>•   Tenure and experience in role</w:t>
            </w:r>
          </w:p>
        </w:tc>
        <w:tc>
          <w:tcPr>
            <w:tcW w:w="3300" w:type="dxa"/>
            <w:vAlign w:val="bottom"/>
          </w:tcPr>
          <w:p>
            <w:pPr>
              <w:ind w:left="220"/>
              <w:spacing w:after="0"/>
              <w:rPr>
                <w:sz w:val="20"/>
                <w:szCs w:val="20"/>
                <w:color w:val="auto"/>
              </w:rPr>
            </w:pPr>
            <w:r>
              <w:rPr>
                <w:rFonts w:ascii="Arial" w:cs="Arial" w:eastAsia="Arial" w:hAnsi="Arial"/>
                <w:sz w:val="18"/>
                <w:szCs w:val="18"/>
                <w:color w:val="auto"/>
              </w:rPr>
              <w:t>•   Internal pay equity</w:t>
            </w:r>
          </w:p>
        </w:tc>
      </w:tr>
      <w:tr>
        <w:trPr>
          <w:trHeight w:val="237"/>
        </w:trPr>
        <w:tc>
          <w:tcPr>
            <w:tcW w:w="3080" w:type="dxa"/>
            <w:vAlign w:val="bottom"/>
          </w:tcPr>
          <w:p>
            <w:pPr>
              <w:ind w:left="260"/>
              <w:spacing w:after="0"/>
              <w:rPr>
                <w:sz w:val="20"/>
                <w:szCs w:val="20"/>
                <w:color w:val="auto"/>
              </w:rPr>
            </w:pPr>
            <w:r>
              <w:rPr>
                <w:rFonts w:ascii="Arial" w:cs="Arial" w:eastAsia="Arial" w:hAnsi="Arial"/>
                <w:sz w:val="18"/>
                <w:szCs w:val="18"/>
                <w:color w:val="auto"/>
              </w:rPr>
              <w:t>pay</w:t>
            </w:r>
          </w:p>
        </w:tc>
        <w:tc>
          <w:tcPr>
            <w:tcW w:w="318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222"/>
        </w:trPr>
        <w:tc>
          <w:tcPr>
            <w:tcW w:w="3080" w:type="dxa"/>
            <w:vAlign w:val="bottom"/>
            <w:shd w:val="clear" w:color="auto" w:fill="CDDAE6"/>
          </w:tcPr>
          <w:p>
            <w:pPr>
              <w:ind w:left="40"/>
              <w:spacing w:after="0"/>
              <w:rPr>
                <w:sz w:val="20"/>
                <w:szCs w:val="20"/>
                <w:color w:val="auto"/>
              </w:rPr>
            </w:pPr>
            <w:r>
              <w:rPr>
                <w:rFonts w:ascii="Arial" w:cs="Arial" w:eastAsia="Arial" w:hAnsi="Arial"/>
                <w:sz w:val="18"/>
                <w:szCs w:val="18"/>
                <w:color w:val="auto"/>
              </w:rPr>
              <w:t>•  Competitive mix of cash and equity</w:t>
            </w:r>
          </w:p>
        </w:tc>
        <w:tc>
          <w:tcPr>
            <w:tcW w:w="3180" w:type="dxa"/>
            <w:vAlign w:val="bottom"/>
            <w:shd w:val="clear" w:color="auto" w:fill="CDDAE6"/>
          </w:tcPr>
          <w:p>
            <w:pPr>
              <w:ind w:left="160"/>
              <w:spacing w:after="0"/>
              <w:rPr>
                <w:sz w:val="20"/>
                <w:szCs w:val="20"/>
                <w:color w:val="auto"/>
              </w:rPr>
            </w:pPr>
            <w:r>
              <w:rPr>
                <w:rFonts w:ascii="Arial" w:cs="Arial" w:eastAsia="Arial" w:hAnsi="Arial"/>
                <w:sz w:val="18"/>
                <w:szCs w:val="18"/>
                <w:color w:val="auto"/>
              </w:rPr>
              <w:t>•   Expected future contributions and</w:t>
            </w:r>
          </w:p>
        </w:tc>
        <w:tc>
          <w:tcPr>
            <w:tcW w:w="3300" w:type="dxa"/>
            <w:vAlign w:val="bottom"/>
            <w:shd w:val="clear" w:color="auto" w:fill="CDDAE6"/>
          </w:tcPr>
          <w:p>
            <w:pPr>
              <w:ind w:left="220"/>
              <w:spacing w:after="0"/>
              <w:rPr>
                <w:sz w:val="20"/>
                <w:szCs w:val="20"/>
                <w:color w:val="auto"/>
              </w:rPr>
            </w:pPr>
            <w:r>
              <w:rPr>
                <w:rFonts w:ascii="Arial" w:cs="Arial" w:eastAsia="Arial" w:hAnsi="Arial"/>
                <w:sz w:val="18"/>
                <w:szCs w:val="18"/>
                <w:color w:val="auto"/>
              </w:rPr>
              <w:t>•   Prior year’s compensation levels</w:t>
            </w:r>
          </w:p>
        </w:tc>
      </w:tr>
      <w:tr>
        <w:trPr>
          <w:trHeight w:val="237"/>
        </w:trPr>
        <w:tc>
          <w:tcPr>
            <w:tcW w:w="3080" w:type="dxa"/>
            <w:vAlign w:val="bottom"/>
            <w:tcBorders>
              <w:bottom w:val="single" w:sz="8" w:color="005C7D"/>
            </w:tcBorders>
            <w:shd w:val="clear" w:color="auto" w:fill="CDDAE6"/>
          </w:tcPr>
          <w:p>
            <w:pPr>
              <w:spacing w:after="0"/>
              <w:rPr>
                <w:sz w:val="20"/>
                <w:szCs w:val="20"/>
                <w:color w:val="auto"/>
              </w:rPr>
            </w:pPr>
          </w:p>
        </w:tc>
        <w:tc>
          <w:tcPr>
            <w:tcW w:w="3180" w:type="dxa"/>
            <w:vAlign w:val="bottom"/>
            <w:tcBorders>
              <w:bottom w:val="single" w:sz="8" w:color="005C7D"/>
            </w:tcBorders>
            <w:shd w:val="clear" w:color="auto" w:fill="CDDAE6"/>
          </w:tcPr>
          <w:p>
            <w:pPr>
              <w:ind w:left="440"/>
              <w:spacing w:after="0"/>
              <w:rPr>
                <w:sz w:val="20"/>
                <w:szCs w:val="20"/>
                <w:color w:val="auto"/>
              </w:rPr>
            </w:pPr>
            <w:r>
              <w:rPr>
                <w:rFonts w:ascii="Arial" w:cs="Arial" w:eastAsia="Arial" w:hAnsi="Arial"/>
                <w:sz w:val="18"/>
                <w:szCs w:val="18"/>
                <w:color w:val="auto"/>
              </w:rPr>
              <w:t>market conditions</w:t>
            </w:r>
          </w:p>
        </w:tc>
        <w:tc>
          <w:tcPr>
            <w:tcW w:w="3300" w:type="dxa"/>
            <w:vAlign w:val="bottom"/>
            <w:tcBorders>
              <w:bottom w:val="single" w:sz="8" w:color="005C7D"/>
            </w:tcBorders>
            <w:shd w:val="clear" w:color="auto" w:fill="CDDAE6"/>
          </w:tcPr>
          <w:p>
            <w:pPr>
              <w:spacing w:after="0"/>
              <w:rPr>
                <w:sz w:val="20"/>
                <w:szCs w:val="20"/>
                <w:color w:val="auto"/>
              </w:rPr>
            </w:pPr>
          </w:p>
        </w:tc>
      </w:tr>
    </w:tbl>
    <w:p>
      <w:pPr>
        <w:spacing w:after="0" w:line="14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2016, the target pay for each of our named executive officers was within a range that approximates 80% to 120% of market median.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2016 TARGET PAY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Base salary serves as the foundation of an executive’s compensation and is an important component in L3’s ability to attract and retain executive talent. On an individual basis, the Committee considers each executive’s role and responsibilities, experience, tenure, business results and individual performance, competitive market pay levels, and internal pay equity considerations in making base salary adjustments. In 2016, the Committee did not increase the Chief Executive Officer’s base salary. The Committee approved base salary increases of 0.8% to 2.0% for the other named executive officers to maintain competitive positioning as compared to market levels. In the case of Mr. Kubasik, his base salary increase was prorated to reflect his hire date in October 2015. All base salary increases for 2016 were approved by the Committee on February 16, 2016 and made effective as of April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0718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jc w:val="right"/>
              <w:ind w:right="275"/>
              <w:spacing w:after="0"/>
              <w:rPr>
                <w:sz w:val="20"/>
                <w:szCs w:val="20"/>
                <w:color w:val="auto"/>
              </w:rPr>
            </w:pPr>
            <w:r>
              <w:rPr>
                <w:rFonts w:ascii="Arial" w:cs="Arial" w:eastAsia="Arial" w:hAnsi="Arial"/>
                <w:sz w:val="14"/>
                <w:szCs w:val="14"/>
                <w:b w:val="1"/>
                <w:bCs w:val="1"/>
                <w:color w:val="auto"/>
              </w:rPr>
              <w:t>2016 Salary</w:t>
            </w:r>
          </w:p>
        </w:tc>
        <w:tc>
          <w:tcPr>
            <w:tcW w:w="220" w:type="dxa"/>
            <w:vAlign w:val="bottom"/>
          </w:tcPr>
          <w:p>
            <w:pPr>
              <w:spacing w:after="0"/>
              <w:rPr>
                <w:sz w:val="14"/>
                <w:szCs w:val="14"/>
                <w:color w:val="auto"/>
              </w:rPr>
            </w:pPr>
          </w:p>
        </w:tc>
        <w:tc>
          <w:tcPr>
            <w:tcW w:w="1320" w:type="dxa"/>
            <w:vAlign w:val="bottom"/>
          </w:tcPr>
          <w:p>
            <w:pPr>
              <w:jc w:val="right"/>
              <w:ind w:right="395"/>
              <w:spacing w:after="0"/>
              <w:rPr>
                <w:sz w:val="20"/>
                <w:szCs w:val="20"/>
                <w:color w:val="auto"/>
              </w:rPr>
            </w:pPr>
            <w:r>
              <w:rPr>
                <w:rFonts w:ascii="Arial" w:cs="Arial" w:eastAsia="Arial" w:hAnsi="Arial"/>
                <w:sz w:val="14"/>
                <w:szCs w:val="14"/>
                <w:b w:val="1"/>
                <w:bCs w:val="1"/>
                <w:color w:val="auto"/>
              </w:rPr>
              <w:t>2015 Salary</w:t>
            </w:r>
          </w:p>
        </w:tc>
        <w:tc>
          <w:tcPr>
            <w:tcW w:w="1460" w:type="dxa"/>
            <w:vAlign w:val="bottom"/>
          </w:tcPr>
          <w:p>
            <w:pPr>
              <w:spacing w:after="0"/>
              <w:rPr>
                <w:sz w:val="14"/>
                <w:szCs w:val="14"/>
                <w:color w:val="auto"/>
              </w:rPr>
            </w:pPr>
          </w:p>
        </w:tc>
      </w:tr>
      <w:tr>
        <w:trPr>
          <w:trHeight w:val="185"/>
        </w:trPr>
        <w:tc>
          <w:tcPr>
            <w:tcW w:w="440" w:type="dxa"/>
            <w:vAlign w:val="bottom"/>
            <w:tcBorders>
              <w:bottom w:val="single" w:sz="8" w:color="005C7D"/>
            </w:tcBorders>
          </w:tcPr>
          <w:p>
            <w:pPr>
              <w:spacing w:after="0"/>
              <w:rPr>
                <w:sz w:val="16"/>
                <w:szCs w:val="16"/>
                <w:color w:val="auto"/>
              </w:rPr>
            </w:pPr>
          </w:p>
        </w:tc>
        <w:tc>
          <w:tcPr>
            <w:tcW w:w="3200" w:type="dxa"/>
            <w:vAlign w:val="bottom"/>
            <w:tcBorders>
              <w:bottom w:val="single" w:sz="8" w:color="005C7D"/>
            </w:tcBorders>
          </w:tcPr>
          <w:p>
            <w:pPr>
              <w:spacing w:after="0"/>
              <w:rPr>
                <w:sz w:val="16"/>
                <w:szCs w:val="16"/>
                <w:color w:val="auto"/>
              </w:rPr>
            </w:pPr>
          </w:p>
        </w:tc>
        <w:tc>
          <w:tcPr>
            <w:tcW w:w="1720" w:type="dxa"/>
            <w:vAlign w:val="bottom"/>
            <w:tcBorders>
              <w:bottom w:val="single" w:sz="8" w:color="005C7D"/>
            </w:tcBorders>
          </w:tcPr>
          <w:p>
            <w:pPr>
              <w:spacing w:after="0"/>
              <w:rPr>
                <w:sz w:val="16"/>
                <w:szCs w:val="16"/>
                <w:color w:val="auto"/>
              </w:rPr>
            </w:pPr>
          </w:p>
        </w:tc>
        <w:tc>
          <w:tcPr>
            <w:tcW w:w="1200" w:type="dxa"/>
            <w:vAlign w:val="bottom"/>
            <w:tcBorders>
              <w:bottom w:val="single" w:sz="8" w:color="005C7D"/>
            </w:tcBorders>
          </w:tcPr>
          <w:p>
            <w:pPr>
              <w:jc w:val="right"/>
              <w:ind w:right="195"/>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Borders>
              <w:bottom w:val="single" w:sz="8" w:color="005C7D"/>
            </w:tcBorders>
          </w:tcPr>
          <w:p>
            <w:pPr>
              <w:spacing w:after="0"/>
              <w:rPr>
                <w:sz w:val="16"/>
                <w:szCs w:val="16"/>
                <w:color w:val="auto"/>
              </w:rPr>
            </w:pPr>
          </w:p>
        </w:tc>
        <w:tc>
          <w:tcPr>
            <w:tcW w:w="1320" w:type="dxa"/>
            <w:vAlign w:val="bottom"/>
            <w:tcBorders>
              <w:bottom w:val="single" w:sz="8" w:color="005C7D"/>
            </w:tcBorders>
          </w:tcPr>
          <w:p>
            <w:pPr>
              <w:jc w:val="right"/>
              <w:ind w:right="315"/>
              <w:spacing w:after="0"/>
              <w:rPr>
                <w:sz w:val="20"/>
                <w:szCs w:val="20"/>
                <w:color w:val="auto"/>
              </w:rPr>
            </w:pPr>
            <w:r>
              <w:rPr>
                <w:rFonts w:ascii="Arial" w:cs="Arial" w:eastAsia="Arial" w:hAnsi="Arial"/>
                <w:sz w:val="14"/>
                <w:szCs w:val="14"/>
                <w:b w:val="1"/>
                <w:bCs w:val="1"/>
                <w:color w:val="auto"/>
                <w:w w:val="93"/>
              </w:rPr>
              <w:t>(in thousands)</w:t>
            </w:r>
          </w:p>
        </w:tc>
        <w:tc>
          <w:tcPr>
            <w:tcW w:w="1460" w:type="dxa"/>
            <w:vAlign w:val="bottom"/>
            <w:tcBorders>
              <w:bottom w:val="single" w:sz="8" w:color="005C7D"/>
            </w:tcBorders>
          </w:tcPr>
          <w:p>
            <w:pPr>
              <w:jc w:val="right"/>
              <w:ind w:right="173"/>
              <w:spacing w:after="0"/>
              <w:rPr>
                <w:sz w:val="20"/>
                <w:szCs w:val="20"/>
                <w:color w:val="auto"/>
              </w:rPr>
            </w:pPr>
            <w:r>
              <w:rPr>
                <w:rFonts w:ascii="Arial" w:cs="Arial" w:eastAsia="Arial" w:hAnsi="Arial"/>
                <w:sz w:val="14"/>
                <w:szCs w:val="14"/>
                <w:b w:val="1"/>
                <w:bCs w:val="1"/>
                <w:color w:val="auto"/>
              </w:rPr>
              <w:t>Percent Change</w:t>
            </w:r>
          </w:p>
        </w:tc>
      </w:tr>
      <w:tr>
        <w:trPr>
          <w:trHeight w:val="237"/>
        </w:trPr>
        <w:tc>
          <w:tcPr>
            <w:tcW w:w="3640" w:type="dxa"/>
            <w:vAlign w:val="bottom"/>
            <w:gridSpan w:val="2"/>
            <w:shd w:val="clear" w:color="auto" w:fill="CDDAE6"/>
          </w:tcPr>
          <w:p>
            <w:pPr>
              <w:ind w:left="20"/>
              <w:spacing w:after="0"/>
              <w:rPr>
                <w:sz w:val="20"/>
                <w:szCs w:val="20"/>
                <w:color w:val="auto"/>
              </w:rPr>
            </w:pPr>
            <w:r>
              <w:rPr>
                <w:rFonts w:ascii="Arial" w:cs="Arial" w:eastAsia="Arial" w:hAnsi="Arial"/>
                <w:sz w:val="18"/>
                <w:szCs w:val="18"/>
                <w:color w:val="auto"/>
              </w:rPr>
              <w:t>Michael T. Strianese</w:t>
            </w:r>
          </w:p>
        </w:tc>
        <w:tc>
          <w:tcPr>
            <w:tcW w:w="1720" w:type="dxa"/>
            <w:vAlign w:val="bottom"/>
            <w:shd w:val="clear" w:color="auto" w:fill="CDDAE6"/>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DDAE6"/>
          </w:tcPr>
          <w:p>
            <w:pPr>
              <w:jc w:val="right"/>
              <w:ind w:right="15"/>
              <w:spacing w:after="0"/>
              <w:rPr>
                <w:sz w:val="20"/>
                <w:szCs w:val="20"/>
                <w:color w:val="auto"/>
              </w:rPr>
            </w:pPr>
            <w:r>
              <w:rPr>
                <w:rFonts w:ascii="Arial" w:cs="Arial" w:eastAsia="Arial" w:hAnsi="Arial"/>
                <w:sz w:val="18"/>
                <w:szCs w:val="18"/>
                <w:color w:val="auto"/>
              </w:rPr>
              <w:t>1,390</w:t>
            </w:r>
          </w:p>
        </w:tc>
        <w:tc>
          <w:tcPr>
            <w:tcW w:w="220" w:type="dxa"/>
            <w:vAlign w:val="bottom"/>
            <w:shd w:val="clear" w:color="auto" w:fill="CDDAE6"/>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DDAE6"/>
          </w:tcPr>
          <w:p>
            <w:pPr>
              <w:jc w:val="right"/>
              <w:ind w:right="135"/>
              <w:spacing w:after="0"/>
              <w:rPr>
                <w:sz w:val="20"/>
                <w:szCs w:val="20"/>
                <w:color w:val="auto"/>
              </w:rPr>
            </w:pPr>
            <w:r>
              <w:rPr>
                <w:rFonts w:ascii="Arial" w:cs="Arial" w:eastAsia="Arial" w:hAnsi="Arial"/>
                <w:sz w:val="18"/>
                <w:szCs w:val="18"/>
                <w:color w:val="auto"/>
              </w:rPr>
              <w:t>1,390</w:t>
            </w:r>
          </w:p>
        </w:tc>
        <w:tc>
          <w:tcPr>
            <w:tcW w:w="1460" w:type="dxa"/>
            <w:vAlign w:val="bottom"/>
            <w:shd w:val="clear" w:color="auto" w:fill="CDDAE6"/>
          </w:tcPr>
          <w:p>
            <w:pPr>
              <w:jc w:val="right"/>
              <w:ind w:right="73"/>
              <w:spacing w:after="0"/>
              <w:rPr>
                <w:sz w:val="20"/>
                <w:szCs w:val="20"/>
                <w:color w:val="auto"/>
              </w:rPr>
            </w:pPr>
            <w:r>
              <w:rPr>
                <w:rFonts w:ascii="Arial" w:cs="Arial" w:eastAsia="Arial" w:hAnsi="Arial"/>
                <w:sz w:val="18"/>
                <w:szCs w:val="18"/>
                <w:color w:val="auto"/>
              </w:rPr>
              <w:t>—</w:t>
            </w:r>
          </w:p>
        </w:tc>
      </w:tr>
      <w:tr>
        <w:trPr>
          <w:trHeight w:val="237"/>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Christopher E. Kubasik</w:t>
            </w:r>
          </w:p>
        </w:tc>
        <w:tc>
          <w:tcPr>
            <w:tcW w:w="172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908</w:t>
            </w:r>
          </w:p>
        </w:tc>
        <w:tc>
          <w:tcPr>
            <w:tcW w:w="220" w:type="dxa"/>
            <w:vAlign w:val="bottom"/>
          </w:tcPr>
          <w:p>
            <w:pPr>
              <w:spacing w:after="0"/>
              <w:rPr>
                <w:sz w:val="20"/>
                <w:szCs w:val="20"/>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900</w:t>
            </w:r>
          </w:p>
        </w:tc>
        <w:tc>
          <w:tcPr>
            <w:tcW w:w="14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49"/>
        </w:trPr>
        <w:tc>
          <w:tcPr>
            <w:tcW w:w="3640" w:type="dxa"/>
            <w:vAlign w:val="bottom"/>
            <w:gridSpan w:val="2"/>
            <w:shd w:val="clear" w:color="auto" w:fill="CDDAE6"/>
          </w:tcPr>
          <w:p>
            <w:pPr>
              <w:ind w:left="20"/>
              <w:spacing w:after="0"/>
              <w:rPr>
                <w:sz w:val="20"/>
                <w:szCs w:val="20"/>
                <w:color w:val="auto"/>
              </w:rPr>
            </w:pPr>
            <w:r>
              <w:rPr>
                <w:rFonts w:ascii="Arial" w:cs="Arial" w:eastAsia="Arial" w:hAnsi="Arial"/>
                <w:sz w:val="18"/>
                <w:szCs w:val="18"/>
                <w:color w:val="auto"/>
              </w:rPr>
              <w:t>Ralph G. D’Ambrosio</w:t>
            </w:r>
          </w:p>
        </w:tc>
        <w:tc>
          <w:tcPr>
            <w:tcW w:w="1720" w:type="dxa"/>
            <w:vAlign w:val="bottom"/>
            <w:shd w:val="clear" w:color="auto" w:fill="CDDAE6"/>
          </w:tcPr>
          <w:p>
            <w:pPr>
              <w:spacing w:after="0"/>
              <w:rPr>
                <w:sz w:val="21"/>
                <w:szCs w:val="21"/>
                <w:color w:val="auto"/>
              </w:rPr>
            </w:pPr>
          </w:p>
        </w:tc>
        <w:tc>
          <w:tcPr>
            <w:tcW w:w="1200" w:type="dxa"/>
            <w:vAlign w:val="bottom"/>
            <w:shd w:val="clear" w:color="auto" w:fill="CDDAE6"/>
          </w:tcPr>
          <w:p>
            <w:pPr>
              <w:jc w:val="right"/>
              <w:ind w:right="15"/>
              <w:spacing w:after="0"/>
              <w:rPr>
                <w:sz w:val="20"/>
                <w:szCs w:val="20"/>
                <w:color w:val="auto"/>
              </w:rPr>
            </w:pPr>
            <w:r>
              <w:rPr>
                <w:rFonts w:ascii="Arial" w:cs="Arial" w:eastAsia="Arial" w:hAnsi="Arial"/>
                <w:sz w:val="18"/>
                <w:szCs w:val="18"/>
                <w:color w:val="auto"/>
              </w:rPr>
              <w:t>709</w:t>
            </w:r>
          </w:p>
        </w:tc>
        <w:tc>
          <w:tcPr>
            <w:tcW w:w="220" w:type="dxa"/>
            <w:vAlign w:val="bottom"/>
            <w:shd w:val="clear" w:color="auto" w:fill="CDDAE6"/>
          </w:tcPr>
          <w:p>
            <w:pPr>
              <w:spacing w:after="0"/>
              <w:rPr>
                <w:sz w:val="21"/>
                <w:szCs w:val="21"/>
                <w:color w:val="auto"/>
              </w:rPr>
            </w:pPr>
          </w:p>
        </w:tc>
        <w:tc>
          <w:tcPr>
            <w:tcW w:w="1320" w:type="dxa"/>
            <w:vAlign w:val="bottom"/>
            <w:shd w:val="clear" w:color="auto" w:fill="CDDAE6"/>
          </w:tcPr>
          <w:p>
            <w:pPr>
              <w:jc w:val="right"/>
              <w:ind w:right="135"/>
              <w:spacing w:after="0"/>
              <w:rPr>
                <w:sz w:val="20"/>
                <w:szCs w:val="20"/>
                <w:color w:val="auto"/>
              </w:rPr>
            </w:pPr>
            <w:r>
              <w:rPr>
                <w:rFonts w:ascii="Arial" w:cs="Arial" w:eastAsia="Arial" w:hAnsi="Arial"/>
                <w:sz w:val="18"/>
                <w:szCs w:val="18"/>
                <w:color w:val="auto"/>
              </w:rPr>
              <w:t>695</w:t>
            </w:r>
          </w:p>
        </w:tc>
        <w:tc>
          <w:tcPr>
            <w:tcW w:w="1460" w:type="dxa"/>
            <w:vAlign w:val="bottom"/>
            <w:shd w:val="clear" w:color="auto" w:fill="CDDAE6"/>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Curtis Brunson</w:t>
            </w:r>
          </w:p>
        </w:tc>
        <w:tc>
          <w:tcPr>
            <w:tcW w:w="172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684</w:t>
            </w:r>
          </w:p>
        </w:tc>
        <w:tc>
          <w:tcPr>
            <w:tcW w:w="220" w:type="dxa"/>
            <w:vAlign w:val="bottom"/>
          </w:tcPr>
          <w:p>
            <w:pPr>
              <w:spacing w:after="0"/>
              <w:rPr>
                <w:sz w:val="20"/>
                <w:szCs w:val="20"/>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670</w:t>
            </w: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3640" w:type="dxa"/>
            <w:vAlign w:val="bottom"/>
            <w:tcBorders>
              <w:bottom w:val="single" w:sz="8" w:color="005C7D"/>
            </w:tcBorders>
            <w:gridSpan w:val="2"/>
            <w:shd w:val="clear" w:color="auto" w:fill="CDDAE6"/>
          </w:tcPr>
          <w:p>
            <w:pPr>
              <w:ind w:left="20"/>
              <w:spacing w:after="0"/>
              <w:rPr>
                <w:sz w:val="20"/>
                <w:szCs w:val="20"/>
                <w:color w:val="auto"/>
              </w:rPr>
            </w:pPr>
            <w:r>
              <w:rPr>
                <w:rFonts w:ascii="Arial" w:cs="Arial" w:eastAsia="Arial" w:hAnsi="Arial"/>
                <w:sz w:val="18"/>
                <w:szCs w:val="18"/>
                <w:color w:val="auto"/>
              </w:rPr>
              <w:t>Steve Kantor</w:t>
            </w:r>
          </w:p>
        </w:tc>
        <w:tc>
          <w:tcPr>
            <w:tcW w:w="1720" w:type="dxa"/>
            <w:vAlign w:val="bottom"/>
            <w:tcBorders>
              <w:bottom w:val="single" w:sz="8" w:color="005C7D"/>
            </w:tcBorders>
            <w:shd w:val="clear" w:color="auto" w:fill="CDDAE6"/>
          </w:tcPr>
          <w:p>
            <w:pPr>
              <w:spacing w:after="0"/>
              <w:rPr>
                <w:sz w:val="21"/>
                <w:szCs w:val="21"/>
                <w:color w:val="auto"/>
              </w:rPr>
            </w:pPr>
          </w:p>
        </w:tc>
        <w:tc>
          <w:tcPr>
            <w:tcW w:w="1200" w:type="dxa"/>
            <w:vAlign w:val="bottom"/>
            <w:tcBorders>
              <w:bottom w:val="single" w:sz="8" w:color="005C7D"/>
            </w:tcBorders>
            <w:shd w:val="clear" w:color="auto" w:fill="CDDAE6"/>
          </w:tcPr>
          <w:p>
            <w:pPr>
              <w:jc w:val="right"/>
              <w:ind w:right="15"/>
              <w:spacing w:after="0"/>
              <w:rPr>
                <w:sz w:val="20"/>
                <w:szCs w:val="20"/>
                <w:color w:val="auto"/>
              </w:rPr>
            </w:pPr>
            <w:r>
              <w:rPr>
                <w:rFonts w:ascii="Arial" w:cs="Arial" w:eastAsia="Arial" w:hAnsi="Arial"/>
                <w:sz w:val="18"/>
                <w:szCs w:val="18"/>
                <w:color w:val="auto"/>
              </w:rPr>
              <w:t>706</w:t>
            </w:r>
          </w:p>
        </w:tc>
        <w:tc>
          <w:tcPr>
            <w:tcW w:w="220" w:type="dxa"/>
            <w:vAlign w:val="bottom"/>
            <w:tcBorders>
              <w:bottom w:val="single" w:sz="8" w:color="005C7D"/>
            </w:tcBorders>
            <w:shd w:val="clear" w:color="auto" w:fill="CDDAE6"/>
          </w:tcPr>
          <w:p>
            <w:pPr>
              <w:spacing w:after="0"/>
              <w:rPr>
                <w:sz w:val="21"/>
                <w:szCs w:val="21"/>
                <w:color w:val="auto"/>
              </w:rPr>
            </w:pPr>
          </w:p>
        </w:tc>
        <w:tc>
          <w:tcPr>
            <w:tcW w:w="1320" w:type="dxa"/>
            <w:vAlign w:val="bottom"/>
            <w:tcBorders>
              <w:bottom w:val="single" w:sz="8" w:color="005C7D"/>
            </w:tcBorders>
            <w:shd w:val="clear" w:color="auto" w:fill="CDDAE6"/>
          </w:tcPr>
          <w:p>
            <w:pPr>
              <w:jc w:val="right"/>
              <w:ind w:right="135"/>
              <w:spacing w:after="0"/>
              <w:rPr>
                <w:sz w:val="20"/>
                <w:szCs w:val="20"/>
                <w:color w:val="auto"/>
              </w:rPr>
            </w:pPr>
            <w:r>
              <w:rPr>
                <w:rFonts w:ascii="Arial" w:cs="Arial" w:eastAsia="Arial" w:hAnsi="Arial"/>
                <w:sz w:val="18"/>
                <w:szCs w:val="18"/>
                <w:color w:val="auto"/>
              </w:rPr>
              <w:t>692</w:t>
            </w:r>
          </w:p>
        </w:tc>
        <w:tc>
          <w:tcPr>
            <w:tcW w:w="1460" w:type="dxa"/>
            <w:vAlign w:val="bottom"/>
            <w:tcBorders>
              <w:bottom w:val="single" w:sz="8" w:color="005C7D"/>
            </w:tcBorders>
            <w:shd w:val="clear" w:color="auto" w:fill="CDDAE6"/>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6560" w:type="dxa"/>
            <w:vAlign w:val="bottom"/>
            <w:gridSpan w:val="4"/>
          </w:tcPr>
          <w:p>
            <w:pPr>
              <w:spacing w:after="0"/>
              <w:rPr>
                <w:sz w:val="20"/>
                <w:szCs w:val="20"/>
                <w:color w:val="auto"/>
              </w:rPr>
            </w:pPr>
            <w:r>
              <w:rPr>
                <w:rFonts w:ascii="Arial" w:cs="Arial" w:eastAsia="Arial" w:hAnsi="Arial"/>
                <w:sz w:val="16"/>
                <w:szCs w:val="16"/>
                <w:color w:val="auto"/>
                <w:w w:val="93"/>
              </w:rPr>
              <w:t>Note: Amounts reflect annualized base salary rates in effect at the end of the fiscal years indicated.</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533"/>
        </w:trPr>
        <w:tc>
          <w:tcPr>
            <w:tcW w:w="440" w:type="dxa"/>
            <w:vAlign w:val="bottom"/>
          </w:tcPr>
          <w:p>
            <w:pPr>
              <w:ind w:left="40"/>
              <w:spacing w:after="0"/>
              <w:rPr>
                <w:sz w:val="20"/>
                <w:szCs w:val="20"/>
                <w:color w:val="auto"/>
              </w:rPr>
            </w:pPr>
            <w:r>
              <w:rPr>
                <w:rFonts w:ascii="Arial" w:cs="Arial" w:eastAsia="Arial" w:hAnsi="Arial"/>
                <w:sz w:val="18"/>
                <w:szCs w:val="18"/>
                <w:color w:val="005C7D"/>
              </w:rPr>
              <w:t>46</w:t>
            </w:r>
          </w:p>
        </w:tc>
        <w:tc>
          <w:tcPr>
            <w:tcW w:w="3200" w:type="dxa"/>
            <w:vAlign w:val="bottom"/>
          </w:tcPr>
          <w:p>
            <w:pPr>
              <w:ind w:left="240"/>
              <w:spacing w:after="0"/>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tc>
        <w:tc>
          <w:tcPr>
            <w:tcW w:w="1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554"/>
        </w:trPr>
        <w:tc>
          <w:tcPr>
            <w:tcW w:w="4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68"/>
        </w:trPr>
        <w:tc>
          <w:tcPr>
            <w:tcW w:w="440" w:type="dxa"/>
            <w:vAlign w:val="bottom"/>
            <w:shd w:val="clear" w:color="auto" w:fill="000000"/>
          </w:tcPr>
          <w:p>
            <w:pPr>
              <w:spacing w:after="0"/>
              <w:rPr>
                <w:sz w:val="5"/>
                <w:szCs w:val="5"/>
                <w:color w:val="auto"/>
              </w:rPr>
            </w:pPr>
          </w:p>
        </w:tc>
        <w:tc>
          <w:tcPr>
            <w:tcW w:w="3200" w:type="dxa"/>
            <w:vAlign w:val="bottom"/>
            <w:shd w:val="clear" w:color="auto" w:fill="000000"/>
          </w:tcPr>
          <w:p>
            <w:pPr>
              <w:spacing w:after="0"/>
              <w:rPr>
                <w:sz w:val="5"/>
                <w:szCs w:val="5"/>
                <w:color w:val="auto"/>
              </w:rPr>
            </w:pPr>
          </w:p>
        </w:tc>
        <w:tc>
          <w:tcPr>
            <w:tcW w:w="172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320" w:type="dxa"/>
            <w:vAlign w:val="bottom"/>
            <w:shd w:val="clear" w:color="auto" w:fill="000000"/>
          </w:tcPr>
          <w:p>
            <w:pPr>
              <w:spacing w:after="0"/>
              <w:rPr>
                <w:sz w:val="5"/>
                <w:szCs w:val="5"/>
                <w:color w:val="auto"/>
              </w:rPr>
            </w:pPr>
          </w:p>
        </w:tc>
        <w:tc>
          <w:tcPr>
            <w:tcW w:w="146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-530860</wp:posOffset>
            </wp:positionV>
            <wp:extent cx="154305" cy="1631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54305" cy="16319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annual incentive plan provides senior executives with the opportunity to earn annual cash incentive awards based on corporate, group and individual performance relative to pre-established internal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718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Determination under Annual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071870" cy="1631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71870" cy="163195"/>
                    </a:xfrm>
                    <a:prstGeom prst="rect">
                      <a:avLst/>
                    </a:prstGeom>
                    <a:noFill/>
                  </pic:spPr>
                </pic:pic>
              </a:graphicData>
            </a:graphic>
          </wp:anchor>
        </w:drawing>
      </w:r>
    </w:p>
    <w:p>
      <w:pPr>
        <w:spacing w:after="0" w:line="34" w:lineRule="exact"/>
        <w:rPr>
          <w:sz w:val="20"/>
          <w:szCs w:val="20"/>
          <w:color w:val="auto"/>
        </w:rPr>
      </w:pPr>
    </w:p>
    <w:p>
      <w:pPr>
        <w:ind w:left="240" w:hanging="193"/>
        <w:spacing w:after="0"/>
        <w:tabs>
          <w:tab w:leader="none" w:pos="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Performance criteria defined at the beginning of the performance period</w:t>
      </w:r>
    </w:p>
    <w:p>
      <w:pPr>
        <w:spacing w:after="0" w:line="36" w:lineRule="exact"/>
        <w:rPr>
          <w:rFonts w:ascii="Arial" w:cs="Arial" w:eastAsia="Arial" w:hAnsi="Arial"/>
          <w:sz w:val="18"/>
          <w:szCs w:val="18"/>
          <w:color w:val="auto"/>
        </w:rPr>
      </w:pPr>
    </w:p>
    <w:p>
      <w:pPr>
        <w:ind w:left="240" w:hanging="193"/>
        <w:spacing w:after="0"/>
        <w:tabs>
          <w:tab w:leader="none" w:pos="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Performance compared to pre-established goals</w:t>
      </w:r>
    </w:p>
    <w:p>
      <w:pPr>
        <w:spacing w:after="0" w:line="36" w:lineRule="exact"/>
        <w:rPr>
          <w:rFonts w:ascii="Arial" w:cs="Arial" w:eastAsia="Arial" w:hAnsi="Arial"/>
          <w:sz w:val="18"/>
          <w:szCs w:val="18"/>
          <w:color w:val="auto"/>
        </w:rPr>
      </w:pPr>
    </w:p>
    <w:p>
      <w:pPr>
        <w:ind w:left="240" w:hanging="193"/>
        <w:spacing w:after="0"/>
        <w:tabs>
          <w:tab w:leader="none" w:pos="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corporate named executive officers, financial performance is based on consolidated EPS and FCF results</w:t>
      </w:r>
    </w:p>
    <w:p>
      <w:pPr>
        <w:spacing w:after="0" w:line="36" w:lineRule="exact"/>
        <w:rPr>
          <w:rFonts w:ascii="Arial" w:cs="Arial" w:eastAsia="Arial" w:hAnsi="Arial"/>
          <w:sz w:val="18"/>
          <w:szCs w:val="18"/>
          <w:color w:val="auto"/>
        </w:rPr>
      </w:pPr>
    </w:p>
    <w:p>
      <w:pPr>
        <w:ind w:left="240" w:right="700" w:hanging="193"/>
        <w:spacing w:after="0" w:line="266" w:lineRule="auto"/>
        <w:tabs>
          <w:tab w:leader="none" w:pos="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group presidents, financial performance is primarily based on the operating income (“OI”) and FCF results for their respective groups, with additional consideration given to consolidated EPS and FCF results</w:t>
      </w:r>
    </w:p>
    <w:p>
      <w:pPr>
        <w:ind w:left="240" w:hanging="193"/>
        <w:spacing w:after="0"/>
        <w:tabs>
          <w:tab w:leader="none" w:pos="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Individual performance measured based on pre-established goals and assigned specific weighting</w:t>
      </w:r>
    </w:p>
    <w:p>
      <w:pPr>
        <w:spacing w:after="0" w:line="36" w:lineRule="exact"/>
        <w:rPr>
          <w:rFonts w:ascii="Arial" w:cs="Arial" w:eastAsia="Arial" w:hAnsi="Arial"/>
          <w:sz w:val="18"/>
          <w:szCs w:val="18"/>
          <w:color w:val="auto"/>
        </w:rPr>
      </w:pPr>
    </w:p>
    <w:p>
      <w:pPr>
        <w:ind w:left="240" w:hanging="193"/>
        <w:spacing w:after="0"/>
        <w:tabs>
          <w:tab w:leader="none" w:pos="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Payouts can range from 0% to 225% of target bonus based on performance</w:t>
      </w:r>
    </w:p>
    <w:p>
      <w:pPr>
        <w:spacing w:after="0" w:line="36" w:lineRule="exact"/>
        <w:rPr>
          <w:rFonts w:ascii="Arial" w:cs="Arial" w:eastAsia="Arial" w:hAnsi="Arial"/>
          <w:sz w:val="18"/>
          <w:szCs w:val="18"/>
          <w:color w:val="auto"/>
        </w:rPr>
      </w:pPr>
    </w:p>
    <w:p>
      <w:pPr>
        <w:ind w:left="620" w:right="800" w:hanging="262"/>
        <w:spacing w:after="0" w:line="266" w:lineRule="auto"/>
        <w:tabs>
          <w:tab w:leader="none" w:pos="620" w:val="left"/>
        </w:tabs>
        <w:numPr>
          <w:ilvl w:val="1"/>
          <w:numId w:val="56"/>
        </w:numPr>
        <w:rPr>
          <w:rFonts w:ascii="Arial" w:cs="Arial" w:eastAsia="Arial" w:hAnsi="Arial"/>
          <w:sz w:val="9"/>
          <w:szCs w:val="9"/>
          <w:color w:val="auto"/>
        </w:rPr>
      </w:pPr>
      <w:r>
        <w:rPr>
          <w:rFonts w:ascii="Arial" w:cs="Arial" w:eastAsia="Arial" w:hAnsi="Arial"/>
          <w:sz w:val="18"/>
          <w:szCs w:val="18"/>
          <w:color w:val="auto"/>
        </w:rPr>
        <w:t>0% to 200% of target bonus can be earned by the CEO and the other named executive officers who are not group presidents</w:t>
      </w:r>
    </w:p>
    <w:p>
      <w:pPr>
        <w:ind w:left="620" w:right="560" w:hanging="262"/>
        <w:spacing w:after="0" w:line="277" w:lineRule="auto"/>
        <w:tabs>
          <w:tab w:leader="none" w:pos="620" w:val="left"/>
        </w:tabs>
        <w:numPr>
          <w:ilvl w:val="1"/>
          <w:numId w:val="56"/>
        </w:numPr>
        <w:rPr>
          <w:rFonts w:ascii="Arial" w:cs="Arial" w:eastAsia="Arial" w:hAnsi="Arial"/>
          <w:sz w:val="9"/>
          <w:szCs w:val="9"/>
          <w:color w:val="auto"/>
        </w:rPr>
      </w:pPr>
      <w:r>
        <w:rPr>
          <w:rFonts w:ascii="Arial" w:cs="Arial" w:eastAsia="Arial" w:hAnsi="Arial"/>
          <w:sz w:val="18"/>
          <w:szCs w:val="18"/>
          <w:color w:val="auto"/>
        </w:rPr>
        <w:t>For group presidents, up to an additional 25% of the target bonus can be earned based on achievement of organic OI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-1348740</wp:posOffset>
            </wp:positionV>
            <wp:extent cx="6071870"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71870" cy="1543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-902335</wp:posOffset>
            </wp:positionV>
            <wp:extent cx="6071870"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71870" cy="1543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60718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2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Committee established the 2016 corporate and group financial targets under the annual incentive plan, as well as individual performance goals and weightings, in February 2016. The corporate financial targets were based on management’s most recent consolidated internal financial plan presented to L3’s Board of Directors (the “2016 Plan”), which formed the basis for L3’s financial guidance for 2016 EPS and FCF disclosed to investors in January 2016. The individual group financial targets were based on internal group financial plans that were consistent with the 2016 Plan.</w:t>
      </w:r>
    </w:p>
    <w:p>
      <w:pPr>
        <w:spacing w:after="0" w:line="13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Based on L3’s actual 2016 financial performance relative to plan and the Committee’s assessment of the named executive officers’ individual performance for 2016, the Committee approved 2016 annual incentive payouts for the named executive officers as detailed in the steps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1. Determine target bonus at beginning of fiscal year</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Annual incentive plan (“AIP”) target bonuses are set as a percent of base salary in connection with the determination of target pay for each named executive officer. The 2016 target bonus for each of the named executive officers was held constant, as a percentage of their respective base salaries, from 2015 levels (or in the case of Mr. Kubasik, from the level established for him at the time he was hired by L3 in October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60718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jc w:val="right"/>
              <w:ind w:right="515"/>
              <w:spacing w:after="0"/>
              <w:rPr>
                <w:sz w:val="20"/>
                <w:szCs w:val="20"/>
                <w:color w:val="auto"/>
              </w:rPr>
            </w:pPr>
            <w:r>
              <w:rPr>
                <w:rFonts w:ascii="Arial" w:cs="Arial" w:eastAsia="Arial" w:hAnsi="Arial"/>
                <w:sz w:val="14"/>
                <w:szCs w:val="14"/>
                <w:b w:val="1"/>
                <w:bCs w:val="1"/>
                <w:color w:val="auto"/>
              </w:rPr>
              <w:t>2016 Salary</w:t>
            </w:r>
          </w:p>
        </w:tc>
        <w:tc>
          <w:tcPr>
            <w:tcW w:w="1700" w:type="dxa"/>
            <w:vAlign w:val="bottom"/>
          </w:tcPr>
          <w:p>
            <w:pPr>
              <w:jc w:val="right"/>
              <w:ind w:right="555"/>
              <w:spacing w:after="0"/>
              <w:rPr>
                <w:sz w:val="20"/>
                <w:szCs w:val="20"/>
                <w:color w:val="auto"/>
              </w:rPr>
            </w:pPr>
            <w:r>
              <w:rPr>
                <w:rFonts w:ascii="Arial" w:cs="Arial" w:eastAsia="Arial" w:hAnsi="Arial"/>
                <w:sz w:val="14"/>
                <w:szCs w:val="14"/>
                <w:b w:val="1"/>
                <w:bCs w:val="1"/>
                <w:color w:val="auto"/>
              </w:rPr>
              <w:t>2016 AIP</w:t>
            </w:r>
          </w:p>
        </w:tc>
        <w:tc>
          <w:tcPr>
            <w:tcW w:w="420" w:type="dxa"/>
            <w:vAlign w:val="bottom"/>
          </w:tcPr>
          <w:p>
            <w:pPr>
              <w:spacing w:after="0"/>
              <w:rPr>
                <w:sz w:val="14"/>
                <w:szCs w:val="14"/>
                <w:color w:val="auto"/>
              </w:rPr>
            </w:pPr>
          </w:p>
        </w:tc>
        <w:tc>
          <w:tcPr>
            <w:tcW w:w="1580" w:type="dxa"/>
            <w:vAlign w:val="bottom"/>
          </w:tcPr>
          <w:p>
            <w:pPr>
              <w:jc w:val="right"/>
              <w:ind w:right="653"/>
              <w:spacing w:after="0"/>
              <w:rPr>
                <w:sz w:val="20"/>
                <w:szCs w:val="20"/>
                <w:color w:val="auto"/>
              </w:rPr>
            </w:pPr>
            <w:r>
              <w:rPr>
                <w:rFonts w:ascii="Arial" w:cs="Arial" w:eastAsia="Arial" w:hAnsi="Arial"/>
                <w:sz w:val="14"/>
                <w:szCs w:val="14"/>
                <w:b w:val="1"/>
                <w:bCs w:val="1"/>
                <w:color w:val="auto"/>
              </w:rPr>
              <w:t>2016 AIP</w:t>
            </w:r>
          </w:p>
        </w:tc>
      </w:tr>
      <w:tr>
        <w:trPr>
          <w:trHeight w:val="185"/>
        </w:trPr>
        <w:tc>
          <w:tcPr>
            <w:tcW w:w="2920" w:type="dxa"/>
            <w:vAlign w:val="bottom"/>
            <w:tcBorders>
              <w:bottom w:val="single" w:sz="8" w:color="005C7D"/>
            </w:tcBorders>
          </w:tcPr>
          <w:p>
            <w:pPr>
              <w:spacing w:after="0"/>
              <w:rPr>
                <w:sz w:val="16"/>
                <w:szCs w:val="16"/>
                <w:color w:val="auto"/>
              </w:rPr>
            </w:pPr>
          </w:p>
        </w:tc>
        <w:tc>
          <w:tcPr>
            <w:tcW w:w="1420" w:type="dxa"/>
            <w:vAlign w:val="bottom"/>
            <w:tcBorders>
              <w:bottom w:val="single" w:sz="8" w:color="005C7D"/>
            </w:tcBorders>
          </w:tcPr>
          <w:p>
            <w:pPr>
              <w:spacing w:after="0"/>
              <w:rPr>
                <w:sz w:val="16"/>
                <w:szCs w:val="16"/>
                <w:color w:val="auto"/>
              </w:rPr>
            </w:pPr>
          </w:p>
        </w:tc>
        <w:tc>
          <w:tcPr>
            <w:tcW w:w="1520" w:type="dxa"/>
            <w:vAlign w:val="bottom"/>
            <w:tcBorders>
              <w:bottom w:val="single" w:sz="8" w:color="005C7D"/>
            </w:tcBorders>
          </w:tcPr>
          <w:p>
            <w:pPr>
              <w:jc w:val="right"/>
              <w:ind w:right="435"/>
              <w:spacing w:after="0"/>
              <w:rPr>
                <w:sz w:val="20"/>
                <w:szCs w:val="20"/>
                <w:color w:val="auto"/>
              </w:rPr>
            </w:pPr>
            <w:r>
              <w:rPr>
                <w:rFonts w:ascii="Arial" w:cs="Arial" w:eastAsia="Arial" w:hAnsi="Arial"/>
                <w:sz w:val="14"/>
                <w:szCs w:val="14"/>
                <w:b w:val="1"/>
                <w:bCs w:val="1"/>
                <w:color w:val="auto"/>
              </w:rPr>
              <w:t>(in thousands)</w:t>
            </w:r>
          </w:p>
        </w:tc>
        <w:tc>
          <w:tcPr>
            <w:tcW w:w="1700" w:type="dxa"/>
            <w:vAlign w:val="bottom"/>
            <w:tcBorders>
              <w:bottom w:val="single" w:sz="8" w:color="005C7D"/>
            </w:tcBorders>
          </w:tcPr>
          <w:p>
            <w:pPr>
              <w:jc w:val="right"/>
              <w:ind w:right="295"/>
              <w:spacing w:after="0"/>
              <w:rPr>
                <w:sz w:val="20"/>
                <w:szCs w:val="20"/>
                <w:color w:val="auto"/>
              </w:rPr>
            </w:pPr>
            <w:r>
              <w:rPr>
                <w:rFonts w:ascii="Arial" w:cs="Arial" w:eastAsia="Arial" w:hAnsi="Arial"/>
                <w:sz w:val="14"/>
                <w:szCs w:val="14"/>
                <w:b w:val="1"/>
                <w:bCs w:val="1"/>
                <w:color w:val="auto"/>
              </w:rPr>
              <w:t>Target Bonus (%)</w:t>
            </w:r>
          </w:p>
        </w:tc>
        <w:tc>
          <w:tcPr>
            <w:tcW w:w="2000" w:type="dxa"/>
            <w:vAlign w:val="bottom"/>
            <w:tcBorders>
              <w:bottom w:val="single" w:sz="8" w:color="005C7D"/>
            </w:tcBorders>
            <w:gridSpan w:val="2"/>
          </w:tcPr>
          <w:p>
            <w:pPr>
              <w:jc w:val="right"/>
              <w:ind w:right="73"/>
              <w:spacing w:after="0"/>
              <w:rPr>
                <w:sz w:val="20"/>
                <w:szCs w:val="20"/>
                <w:color w:val="auto"/>
              </w:rPr>
            </w:pPr>
            <w:r>
              <w:rPr>
                <w:rFonts w:ascii="Arial" w:cs="Arial" w:eastAsia="Arial" w:hAnsi="Arial"/>
                <w:sz w:val="14"/>
                <w:szCs w:val="14"/>
                <w:b w:val="1"/>
                <w:bCs w:val="1"/>
                <w:color w:val="auto"/>
                <w:w w:val="95"/>
              </w:rPr>
              <w:t>Target Bonus (in thousands)</w:t>
            </w:r>
          </w:p>
        </w:tc>
      </w:tr>
      <w:tr>
        <w:trPr>
          <w:trHeight w:val="237"/>
        </w:trPr>
        <w:tc>
          <w:tcPr>
            <w:tcW w:w="2920" w:type="dxa"/>
            <w:vAlign w:val="bottom"/>
            <w:shd w:val="clear" w:color="auto" w:fill="CDDAE6"/>
          </w:tcPr>
          <w:p>
            <w:pPr>
              <w:ind w:left="20"/>
              <w:spacing w:after="0"/>
              <w:rPr>
                <w:sz w:val="20"/>
                <w:szCs w:val="20"/>
                <w:color w:val="auto"/>
              </w:rPr>
            </w:pPr>
            <w:r>
              <w:rPr>
                <w:rFonts w:ascii="Arial" w:cs="Arial" w:eastAsia="Arial" w:hAnsi="Arial"/>
                <w:sz w:val="18"/>
                <w:szCs w:val="18"/>
                <w:color w:val="auto"/>
              </w:rPr>
              <w:t>Michael T. Strianese</w:t>
            </w:r>
          </w:p>
        </w:tc>
        <w:tc>
          <w:tcPr>
            <w:tcW w:w="1420" w:type="dxa"/>
            <w:vAlign w:val="bottom"/>
            <w:shd w:val="clear" w:color="auto" w:fill="CDDAE6"/>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DDAE6"/>
          </w:tcPr>
          <w:p>
            <w:pPr>
              <w:jc w:val="right"/>
              <w:ind w:right="115"/>
              <w:spacing w:after="0"/>
              <w:rPr>
                <w:sz w:val="20"/>
                <w:szCs w:val="20"/>
                <w:color w:val="auto"/>
              </w:rPr>
            </w:pPr>
            <w:r>
              <w:rPr>
                <w:rFonts w:ascii="Arial" w:cs="Arial" w:eastAsia="Arial" w:hAnsi="Arial"/>
                <w:sz w:val="18"/>
                <w:szCs w:val="18"/>
                <w:color w:val="auto"/>
              </w:rPr>
              <w:t>1,390</w:t>
            </w:r>
          </w:p>
        </w:tc>
        <w:tc>
          <w:tcPr>
            <w:tcW w:w="1700" w:type="dxa"/>
            <w:vAlign w:val="bottom"/>
            <w:shd w:val="clear" w:color="auto" w:fill="CDDAE6"/>
          </w:tcPr>
          <w:p>
            <w:pPr>
              <w:jc w:val="right"/>
              <w:spacing w:after="0"/>
              <w:rPr>
                <w:sz w:val="20"/>
                <w:szCs w:val="20"/>
                <w:color w:val="auto"/>
              </w:rPr>
            </w:pPr>
            <w:r>
              <w:rPr>
                <w:rFonts w:ascii="Arial" w:cs="Arial" w:eastAsia="Arial" w:hAnsi="Arial"/>
                <w:sz w:val="18"/>
                <w:szCs w:val="18"/>
                <w:color w:val="auto"/>
              </w:rPr>
              <w:t>165%</w:t>
            </w:r>
          </w:p>
        </w:tc>
        <w:tc>
          <w:tcPr>
            <w:tcW w:w="420" w:type="dxa"/>
            <w:vAlign w:val="bottom"/>
            <w:shd w:val="clear" w:color="auto" w:fill="CDDAE6"/>
          </w:tcPr>
          <w:p>
            <w:pPr>
              <w:jc w:val="right"/>
              <w:ind w:right="199"/>
              <w:spacing w:after="0"/>
              <w:rPr>
                <w:sz w:val="20"/>
                <w:szCs w:val="20"/>
                <w:color w:val="auto"/>
              </w:rPr>
            </w:pPr>
            <w:r>
              <w:rPr>
                <w:rFonts w:ascii="Arial" w:cs="Arial" w:eastAsia="Arial" w:hAnsi="Arial"/>
                <w:sz w:val="18"/>
                <w:szCs w:val="18"/>
                <w:color w:val="auto"/>
              </w:rPr>
              <w:t>$</w:t>
            </w:r>
          </w:p>
        </w:tc>
        <w:tc>
          <w:tcPr>
            <w:tcW w:w="1580" w:type="dxa"/>
            <w:vAlign w:val="bottom"/>
            <w:shd w:val="clear" w:color="auto" w:fill="CDDAE6"/>
          </w:tcPr>
          <w:p>
            <w:pPr>
              <w:jc w:val="right"/>
              <w:spacing w:after="0"/>
              <w:rPr>
                <w:sz w:val="20"/>
                <w:szCs w:val="20"/>
                <w:color w:val="auto"/>
              </w:rPr>
            </w:pPr>
            <w:r>
              <w:rPr>
                <w:rFonts w:ascii="Arial" w:cs="Arial" w:eastAsia="Arial" w:hAnsi="Arial"/>
                <w:sz w:val="18"/>
                <w:szCs w:val="18"/>
                <w:color w:val="auto"/>
              </w:rPr>
              <w:t>2,294</w:t>
            </w:r>
          </w:p>
        </w:tc>
      </w:tr>
      <w:tr>
        <w:trPr>
          <w:trHeight w:val="237"/>
        </w:trPr>
        <w:tc>
          <w:tcPr>
            <w:tcW w:w="2920" w:type="dxa"/>
            <w:vAlign w:val="bottom"/>
          </w:tcPr>
          <w:p>
            <w:pPr>
              <w:ind w:left="20"/>
              <w:spacing w:after="0"/>
              <w:rPr>
                <w:sz w:val="20"/>
                <w:szCs w:val="20"/>
                <w:color w:val="auto"/>
              </w:rPr>
            </w:pPr>
            <w:r>
              <w:rPr>
                <w:rFonts w:ascii="Arial" w:cs="Arial" w:eastAsia="Arial" w:hAnsi="Arial"/>
                <w:sz w:val="18"/>
                <w:szCs w:val="18"/>
                <w:color w:val="auto"/>
              </w:rPr>
              <w:t>Christopher E. Kubasik</w:t>
            </w:r>
          </w:p>
        </w:tc>
        <w:tc>
          <w:tcPr>
            <w:tcW w:w="1420" w:type="dxa"/>
            <w:vAlign w:val="bottom"/>
          </w:tcPr>
          <w:p>
            <w:pPr>
              <w:spacing w:after="0"/>
              <w:rPr>
                <w:sz w:val="20"/>
                <w:szCs w:val="20"/>
                <w:color w:val="auto"/>
              </w:rPr>
            </w:pPr>
          </w:p>
        </w:tc>
        <w:tc>
          <w:tcPr>
            <w:tcW w:w="1520" w:type="dxa"/>
            <w:vAlign w:val="bottom"/>
          </w:tcPr>
          <w:p>
            <w:pPr>
              <w:jc w:val="right"/>
              <w:ind w:right="115"/>
              <w:spacing w:after="0"/>
              <w:rPr>
                <w:sz w:val="20"/>
                <w:szCs w:val="20"/>
                <w:color w:val="auto"/>
              </w:rPr>
            </w:pPr>
            <w:r>
              <w:rPr>
                <w:rFonts w:ascii="Arial" w:cs="Arial" w:eastAsia="Arial" w:hAnsi="Arial"/>
                <w:sz w:val="18"/>
                <w:szCs w:val="18"/>
                <w:color w:val="auto"/>
              </w:rPr>
              <w:t>908</w:t>
            </w:r>
          </w:p>
        </w:tc>
        <w:tc>
          <w:tcPr>
            <w:tcW w:w="1700" w:type="dxa"/>
            <w:vAlign w:val="bottom"/>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908</w:t>
            </w:r>
          </w:p>
        </w:tc>
      </w:tr>
      <w:tr>
        <w:trPr>
          <w:trHeight w:val="249"/>
        </w:trPr>
        <w:tc>
          <w:tcPr>
            <w:tcW w:w="2920" w:type="dxa"/>
            <w:vAlign w:val="bottom"/>
            <w:shd w:val="clear" w:color="auto" w:fill="CDDAE6"/>
          </w:tcPr>
          <w:p>
            <w:pPr>
              <w:ind w:left="20"/>
              <w:spacing w:after="0"/>
              <w:rPr>
                <w:sz w:val="20"/>
                <w:szCs w:val="20"/>
                <w:color w:val="auto"/>
              </w:rPr>
            </w:pPr>
            <w:r>
              <w:rPr>
                <w:rFonts w:ascii="Arial" w:cs="Arial" w:eastAsia="Arial" w:hAnsi="Arial"/>
                <w:sz w:val="18"/>
                <w:szCs w:val="18"/>
                <w:color w:val="auto"/>
              </w:rPr>
              <w:t>Ralph G. D’Ambrosio</w:t>
            </w:r>
          </w:p>
        </w:tc>
        <w:tc>
          <w:tcPr>
            <w:tcW w:w="1420" w:type="dxa"/>
            <w:vAlign w:val="bottom"/>
            <w:shd w:val="clear" w:color="auto" w:fill="CDDAE6"/>
          </w:tcPr>
          <w:p>
            <w:pPr>
              <w:spacing w:after="0"/>
              <w:rPr>
                <w:sz w:val="21"/>
                <w:szCs w:val="21"/>
                <w:color w:val="auto"/>
              </w:rPr>
            </w:pPr>
          </w:p>
        </w:tc>
        <w:tc>
          <w:tcPr>
            <w:tcW w:w="1520" w:type="dxa"/>
            <w:vAlign w:val="bottom"/>
            <w:shd w:val="clear" w:color="auto" w:fill="CDDAE6"/>
          </w:tcPr>
          <w:p>
            <w:pPr>
              <w:jc w:val="right"/>
              <w:ind w:right="115"/>
              <w:spacing w:after="0"/>
              <w:rPr>
                <w:sz w:val="20"/>
                <w:szCs w:val="20"/>
                <w:color w:val="auto"/>
              </w:rPr>
            </w:pPr>
            <w:r>
              <w:rPr>
                <w:rFonts w:ascii="Arial" w:cs="Arial" w:eastAsia="Arial" w:hAnsi="Arial"/>
                <w:sz w:val="18"/>
                <w:szCs w:val="18"/>
                <w:color w:val="auto"/>
              </w:rPr>
              <w:t>709</w:t>
            </w:r>
          </w:p>
        </w:tc>
        <w:tc>
          <w:tcPr>
            <w:tcW w:w="1700" w:type="dxa"/>
            <w:vAlign w:val="bottom"/>
            <w:shd w:val="clear" w:color="auto" w:fill="CDDAE6"/>
          </w:tcPr>
          <w:p>
            <w:pPr>
              <w:jc w:val="right"/>
              <w:spacing w:after="0"/>
              <w:rPr>
                <w:sz w:val="20"/>
                <w:szCs w:val="20"/>
                <w:color w:val="auto"/>
              </w:rPr>
            </w:pPr>
            <w:r>
              <w:rPr>
                <w:rFonts w:ascii="Arial" w:cs="Arial" w:eastAsia="Arial" w:hAnsi="Arial"/>
                <w:sz w:val="18"/>
                <w:szCs w:val="18"/>
                <w:color w:val="auto"/>
              </w:rPr>
              <w:t>90%</w:t>
            </w:r>
          </w:p>
        </w:tc>
        <w:tc>
          <w:tcPr>
            <w:tcW w:w="420" w:type="dxa"/>
            <w:vAlign w:val="bottom"/>
            <w:shd w:val="clear" w:color="auto" w:fill="CDDAE6"/>
          </w:tcPr>
          <w:p>
            <w:pPr>
              <w:spacing w:after="0"/>
              <w:rPr>
                <w:sz w:val="21"/>
                <w:szCs w:val="21"/>
                <w:color w:val="auto"/>
              </w:rPr>
            </w:pPr>
          </w:p>
        </w:tc>
        <w:tc>
          <w:tcPr>
            <w:tcW w:w="1580" w:type="dxa"/>
            <w:vAlign w:val="bottom"/>
            <w:shd w:val="clear" w:color="auto" w:fill="CDDAE6"/>
          </w:tcPr>
          <w:p>
            <w:pPr>
              <w:jc w:val="right"/>
              <w:spacing w:after="0"/>
              <w:rPr>
                <w:sz w:val="20"/>
                <w:szCs w:val="20"/>
                <w:color w:val="auto"/>
              </w:rPr>
            </w:pPr>
            <w:r>
              <w:rPr>
                <w:rFonts w:ascii="Arial" w:cs="Arial" w:eastAsia="Arial" w:hAnsi="Arial"/>
                <w:sz w:val="18"/>
                <w:szCs w:val="18"/>
                <w:color w:val="auto"/>
              </w:rPr>
              <w:t>638</w:t>
            </w:r>
          </w:p>
        </w:tc>
      </w:tr>
      <w:tr>
        <w:trPr>
          <w:trHeight w:val="237"/>
        </w:trPr>
        <w:tc>
          <w:tcPr>
            <w:tcW w:w="2920" w:type="dxa"/>
            <w:vAlign w:val="bottom"/>
          </w:tcPr>
          <w:p>
            <w:pPr>
              <w:ind w:left="20"/>
              <w:spacing w:after="0"/>
              <w:rPr>
                <w:sz w:val="20"/>
                <w:szCs w:val="20"/>
                <w:color w:val="auto"/>
              </w:rPr>
            </w:pPr>
            <w:r>
              <w:rPr>
                <w:rFonts w:ascii="Arial" w:cs="Arial" w:eastAsia="Arial" w:hAnsi="Arial"/>
                <w:sz w:val="18"/>
                <w:szCs w:val="18"/>
                <w:color w:val="auto"/>
              </w:rPr>
              <w:t>Curtis Brunson</w:t>
            </w:r>
          </w:p>
        </w:tc>
        <w:tc>
          <w:tcPr>
            <w:tcW w:w="1420" w:type="dxa"/>
            <w:vAlign w:val="bottom"/>
          </w:tcPr>
          <w:p>
            <w:pPr>
              <w:spacing w:after="0"/>
              <w:rPr>
                <w:sz w:val="20"/>
                <w:szCs w:val="20"/>
                <w:color w:val="auto"/>
              </w:rPr>
            </w:pPr>
          </w:p>
        </w:tc>
        <w:tc>
          <w:tcPr>
            <w:tcW w:w="1520" w:type="dxa"/>
            <w:vAlign w:val="bottom"/>
          </w:tcPr>
          <w:p>
            <w:pPr>
              <w:jc w:val="right"/>
              <w:ind w:right="115"/>
              <w:spacing w:after="0"/>
              <w:rPr>
                <w:sz w:val="20"/>
                <w:szCs w:val="20"/>
                <w:color w:val="auto"/>
              </w:rPr>
            </w:pPr>
            <w:r>
              <w:rPr>
                <w:rFonts w:ascii="Arial" w:cs="Arial" w:eastAsia="Arial" w:hAnsi="Arial"/>
                <w:sz w:val="18"/>
                <w:szCs w:val="18"/>
                <w:color w:val="auto"/>
              </w:rPr>
              <w:t>684</w:t>
            </w:r>
          </w:p>
        </w:tc>
        <w:tc>
          <w:tcPr>
            <w:tcW w:w="1700" w:type="dxa"/>
            <w:vAlign w:val="bottom"/>
          </w:tcPr>
          <w:p>
            <w:pPr>
              <w:jc w:val="right"/>
              <w:spacing w:after="0"/>
              <w:rPr>
                <w:sz w:val="20"/>
                <w:szCs w:val="20"/>
                <w:color w:val="auto"/>
              </w:rPr>
            </w:pPr>
            <w:r>
              <w:rPr>
                <w:rFonts w:ascii="Arial" w:cs="Arial" w:eastAsia="Arial" w:hAnsi="Arial"/>
                <w:sz w:val="18"/>
                <w:szCs w:val="18"/>
                <w:color w:val="auto"/>
              </w:rPr>
              <w:t>90%</w:t>
            </w:r>
          </w:p>
        </w:tc>
        <w:tc>
          <w:tcPr>
            <w:tcW w:w="4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43"/>
        </w:trPr>
        <w:tc>
          <w:tcPr>
            <w:tcW w:w="2920" w:type="dxa"/>
            <w:vAlign w:val="bottom"/>
            <w:tcBorders>
              <w:bottom w:val="single" w:sz="8" w:color="005C7D"/>
            </w:tcBorders>
            <w:shd w:val="clear" w:color="auto" w:fill="CDDAE6"/>
          </w:tcPr>
          <w:p>
            <w:pPr>
              <w:ind w:left="20"/>
              <w:spacing w:after="0"/>
              <w:rPr>
                <w:sz w:val="20"/>
                <w:szCs w:val="20"/>
                <w:color w:val="auto"/>
              </w:rPr>
            </w:pPr>
            <w:r>
              <w:rPr>
                <w:rFonts w:ascii="Arial" w:cs="Arial" w:eastAsia="Arial" w:hAnsi="Arial"/>
                <w:sz w:val="18"/>
                <w:szCs w:val="18"/>
                <w:color w:val="auto"/>
              </w:rPr>
              <w:t>Steve Kantor</w:t>
            </w:r>
          </w:p>
        </w:tc>
        <w:tc>
          <w:tcPr>
            <w:tcW w:w="1420" w:type="dxa"/>
            <w:vAlign w:val="bottom"/>
            <w:tcBorders>
              <w:bottom w:val="single" w:sz="8" w:color="005C7D"/>
            </w:tcBorders>
            <w:shd w:val="clear" w:color="auto" w:fill="CDDAE6"/>
          </w:tcPr>
          <w:p>
            <w:pPr>
              <w:spacing w:after="0"/>
              <w:rPr>
                <w:sz w:val="21"/>
                <w:szCs w:val="21"/>
                <w:color w:val="auto"/>
              </w:rPr>
            </w:pPr>
          </w:p>
        </w:tc>
        <w:tc>
          <w:tcPr>
            <w:tcW w:w="1520" w:type="dxa"/>
            <w:vAlign w:val="bottom"/>
            <w:tcBorders>
              <w:bottom w:val="single" w:sz="8" w:color="005C7D"/>
            </w:tcBorders>
            <w:shd w:val="clear" w:color="auto" w:fill="CDDAE6"/>
          </w:tcPr>
          <w:p>
            <w:pPr>
              <w:jc w:val="right"/>
              <w:ind w:right="115"/>
              <w:spacing w:after="0"/>
              <w:rPr>
                <w:sz w:val="20"/>
                <w:szCs w:val="20"/>
                <w:color w:val="auto"/>
              </w:rPr>
            </w:pPr>
            <w:r>
              <w:rPr>
                <w:rFonts w:ascii="Arial" w:cs="Arial" w:eastAsia="Arial" w:hAnsi="Arial"/>
                <w:sz w:val="18"/>
                <w:szCs w:val="18"/>
                <w:color w:val="auto"/>
              </w:rPr>
              <w:t>706</w:t>
            </w:r>
          </w:p>
        </w:tc>
        <w:tc>
          <w:tcPr>
            <w:tcW w:w="1700" w:type="dxa"/>
            <w:vAlign w:val="bottom"/>
            <w:tcBorders>
              <w:bottom w:val="single" w:sz="8" w:color="005C7D"/>
            </w:tcBorders>
            <w:shd w:val="clear" w:color="auto" w:fill="CDDAE6"/>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Borders>
              <w:bottom w:val="single" w:sz="8" w:color="005C7D"/>
            </w:tcBorders>
            <w:shd w:val="clear" w:color="auto" w:fill="CDDAE6"/>
          </w:tcPr>
          <w:p>
            <w:pPr>
              <w:spacing w:after="0"/>
              <w:rPr>
                <w:sz w:val="21"/>
                <w:szCs w:val="21"/>
                <w:color w:val="auto"/>
              </w:rPr>
            </w:pPr>
          </w:p>
        </w:tc>
        <w:tc>
          <w:tcPr>
            <w:tcW w:w="1580" w:type="dxa"/>
            <w:vAlign w:val="bottom"/>
            <w:tcBorders>
              <w:bottom w:val="single" w:sz="8" w:color="005C7D"/>
            </w:tcBorders>
            <w:shd w:val="clear" w:color="auto" w:fill="CDDAE6"/>
          </w:tcPr>
          <w:p>
            <w:pPr>
              <w:jc w:val="right"/>
              <w:spacing w:after="0"/>
              <w:rPr>
                <w:sz w:val="20"/>
                <w:szCs w:val="20"/>
                <w:color w:val="auto"/>
              </w:rPr>
            </w:pPr>
            <w:r>
              <w:rPr>
                <w:rFonts w:ascii="Arial" w:cs="Arial" w:eastAsia="Arial" w:hAnsi="Arial"/>
                <w:sz w:val="18"/>
                <w:szCs w:val="18"/>
                <w:color w:val="auto"/>
              </w:rPr>
              <w:t>706</w:t>
            </w:r>
          </w:p>
        </w:tc>
      </w:tr>
    </w:tbl>
    <w:p>
      <w:pPr>
        <w:spacing w:after="0" w:line="242" w:lineRule="exact"/>
        <w:rPr>
          <w:sz w:val="20"/>
          <w:szCs w:val="20"/>
          <w:color w:val="auto"/>
        </w:rPr>
      </w:pPr>
    </w:p>
    <w:p>
      <w:pPr>
        <w:ind w:left="7820"/>
        <w:spacing w:after="0"/>
        <w:tabs>
          <w:tab w:leader="none" w:pos="932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6071870" cy="431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-107315</wp:posOffset>
            </wp:positionV>
            <wp:extent cx="163195"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005C7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2. Determine the financial rating based on performance for the fiscal year</w:t>
      </w:r>
    </w:p>
    <w:p>
      <w:pPr>
        <w:spacing w:after="0" w:line="17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Financial ratings are based on a weighted-average assessment of L3’s consolidated performance (or, for group presidents, both L3’s and their respective group’s performance) relative to pre-established targets for key financial measures.</w:t>
      </w:r>
    </w:p>
    <w:p>
      <w:pPr>
        <w:spacing w:after="0" w:line="9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For corporate named executive officers, our annual incentive plan is focused on L3’s consolidated EPS and FCF performance (with FCF calculated as net cash from operating activities, less capital expenditures, net of dispositions) because we believe that these metrics constitute two of the most important financial measures that create shareholder value. For 2016, our consolidated EPS and FCF plan targets, and the measurement of our actual consolidated EPS and FCF performance, were based solely on continuing operations (that is, on a basis that excludes the results of our National Securities Solutions business that was sold in February 2016).</w:t>
      </w:r>
    </w:p>
    <w:p>
      <w:pPr>
        <w:spacing w:after="0" w:line="10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For group presidents, our plan emphasizes the respective group’s OI and FCF performance because we consider those to be important financial measures that group presidents can directly influence in order to increase L3’s consolidated EPS and FCF. Our plan also takes into account L3’s consolidated EPS and FCF results in evaluating group presidents’ financial ratings in order to provide a degree of alignment for group presidents with L3’s overall performance.</w:t>
      </w:r>
    </w:p>
    <w:p>
      <w:pPr>
        <w:spacing w:after="0" w:line="11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table below provides the relative weightings of these performance measures that are utilized in evaluating each named executive officer’s financial rating. We believe that the weightings appropriately reflect the importance of these measures to our overall financial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60718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Corporate Executives</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Borders>
              <w:bottom w:val="single" w:sz="8" w:color="005C7D"/>
            </w:tcBorders>
          </w:tcPr>
          <w:p>
            <w:pPr>
              <w:spacing w:after="0"/>
              <w:rPr>
                <w:sz w:val="14"/>
                <w:szCs w:val="14"/>
                <w:color w:val="auto"/>
              </w:rPr>
            </w:pPr>
          </w:p>
        </w:tc>
        <w:tc>
          <w:tcPr>
            <w:tcW w:w="2140" w:type="dxa"/>
            <w:vAlign w:val="bottom"/>
            <w:tcBorders>
              <w:bottom w:val="single" w:sz="8" w:color="005C7D"/>
            </w:tcBorders>
            <w:gridSpan w:val="3"/>
          </w:tcPr>
          <w:p>
            <w:pPr>
              <w:jc w:val="right"/>
              <w:spacing w:after="0"/>
              <w:rPr>
                <w:sz w:val="20"/>
                <w:szCs w:val="20"/>
                <w:color w:val="auto"/>
              </w:rPr>
            </w:pPr>
            <w:r>
              <w:rPr>
                <w:rFonts w:ascii="Arial" w:cs="Arial" w:eastAsia="Arial" w:hAnsi="Arial"/>
                <w:sz w:val="14"/>
                <w:szCs w:val="14"/>
                <w:b w:val="1"/>
                <w:bCs w:val="1"/>
                <w:color w:val="auto"/>
              </w:rPr>
              <w:t>Group Presidents</w:t>
            </w:r>
          </w:p>
        </w:tc>
        <w:tc>
          <w:tcPr>
            <w:tcW w:w="1520" w:type="dxa"/>
            <w:vAlign w:val="bottom"/>
            <w:tcBorders>
              <w:bottom w:val="single" w:sz="8" w:color="005C7D"/>
            </w:tcBorders>
          </w:tcPr>
          <w:p>
            <w:pPr>
              <w:spacing w:after="0"/>
              <w:rPr>
                <w:sz w:val="14"/>
                <w:szCs w:val="14"/>
                <w:color w:val="auto"/>
              </w:rPr>
            </w:pPr>
          </w:p>
        </w:tc>
        <w:tc>
          <w:tcPr>
            <w:tcW w:w="180" w:type="dxa"/>
            <w:vAlign w:val="bottom"/>
            <w:tcBorders>
              <w:bottom w:val="single" w:sz="8" w:color="005C7D"/>
            </w:tcBorders>
          </w:tcPr>
          <w:p>
            <w:pPr>
              <w:spacing w:after="0"/>
              <w:rPr>
                <w:sz w:val="14"/>
                <w:szCs w:val="14"/>
                <w:color w:val="auto"/>
              </w:rPr>
            </w:pPr>
          </w:p>
        </w:tc>
        <w:tc>
          <w:tcPr>
            <w:tcW w:w="580" w:type="dxa"/>
            <w:vAlign w:val="bottom"/>
            <w:tcBorders>
              <w:bottom w:val="single" w:sz="8" w:color="005C7D"/>
            </w:tcBorders>
          </w:tcPr>
          <w:p>
            <w:pPr>
              <w:spacing w:after="0"/>
              <w:rPr>
                <w:sz w:val="14"/>
                <w:szCs w:val="14"/>
                <w:color w:val="auto"/>
              </w:rPr>
            </w:pPr>
          </w:p>
        </w:tc>
        <w:tc>
          <w:tcPr>
            <w:tcW w:w="340" w:type="dxa"/>
            <w:vAlign w:val="bottom"/>
            <w:tcBorders>
              <w:bottom w:val="single" w:sz="8" w:color="005C7D"/>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20" w:type="dxa"/>
            <w:vAlign w:val="bottom"/>
            <w:tcBorders>
              <w:bottom w:val="single" w:sz="8" w:color="005C7D"/>
            </w:tcBorders>
          </w:tcPr>
          <w:p>
            <w:pPr>
              <w:spacing w:after="0" w:line="20" w:lineRule="exact"/>
              <w:rPr>
                <w:sz w:val="1"/>
                <w:szCs w:val="1"/>
                <w:color w:val="auto"/>
              </w:rPr>
            </w:pPr>
          </w:p>
        </w:tc>
        <w:tc>
          <w:tcPr>
            <w:tcW w:w="300" w:type="dxa"/>
            <w:vAlign w:val="bottom"/>
            <w:tcBorders>
              <w:bottom w:val="single" w:sz="8" w:color="005C7D"/>
            </w:tcBorders>
          </w:tcPr>
          <w:p>
            <w:pPr>
              <w:spacing w:after="0" w:line="20" w:lineRule="exact"/>
              <w:rPr>
                <w:sz w:val="1"/>
                <w:szCs w:val="1"/>
                <w:color w:val="auto"/>
              </w:rPr>
            </w:pPr>
          </w:p>
        </w:tc>
        <w:tc>
          <w:tcPr>
            <w:tcW w:w="420" w:type="dxa"/>
            <w:vAlign w:val="bottom"/>
            <w:tcBorders>
              <w:bottom w:val="single" w:sz="8" w:color="005C7D"/>
            </w:tcBorders>
          </w:tcPr>
          <w:p>
            <w:pPr>
              <w:spacing w:after="0" w:line="20" w:lineRule="exact"/>
              <w:rPr>
                <w:sz w:val="1"/>
                <w:szCs w:val="1"/>
                <w:color w:val="auto"/>
              </w:rPr>
            </w:pPr>
          </w:p>
        </w:tc>
        <w:tc>
          <w:tcPr>
            <w:tcW w:w="20" w:type="dxa"/>
            <w:vAlign w:val="bottom"/>
            <w:tcBorders>
              <w:bottom w:val="single" w:sz="8" w:color="005C7D"/>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Weight</w:t>
            </w:r>
          </w:p>
        </w:tc>
        <w:tc>
          <w:tcPr>
            <w:tcW w:w="120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rPr>
              <w:t>Final Effective</w:t>
            </w:r>
          </w:p>
        </w:tc>
        <w:tc>
          <w:tcPr>
            <w:tcW w:w="0" w:type="dxa"/>
            <w:vAlign w:val="bottom"/>
          </w:tcPr>
          <w:p>
            <w:pPr>
              <w:spacing w:after="0" w:line="20" w:lineRule="exact"/>
              <w:rPr>
                <w:sz w:val="1"/>
                <w:szCs w:val="1"/>
                <w:color w:val="auto"/>
              </w:rPr>
            </w:pPr>
          </w:p>
        </w:tc>
      </w:tr>
      <w:tr>
        <w:trPr>
          <w:trHeight w:val="133"/>
        </w:trPr>
        <w:tc>
          <w:tcPr>
            <w:tcW w:w="1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2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720" w:type="dxa"/>
            <w:vAlign w:val="bottom"/>
            <w:tcBorders>
              <w:bottom w:val="single" w:sz="8" w:color="005C7D"/>
            </w:tcBorders>
          </w:tcPr>
          <w:p>
            <w:pPr>
              <w:ind w:left="20"/>
              <w:spacing w:after="0"/>
              <w:rPr>
                <w:sz w:val="20"/>
                <w:szCs w:val="20"/>
                <w:color w:val="auto"/>
              </w:rPr>
            </w:pPr>
            <w:r>
              <w:rPr>
                <w:rFonts w:ascii="Arial" w:cs="Arial" w:eastAsia="Arial" w:hAnsi="Arial"/>
                <w:sz w:val="14"/>
                <w:szCs w:val="14"/>
                <w:b w:val="1"/>
                <w:bCs w:val="1"/>
                <w:color w:val="auto"/>
              </w:rPr>
              <w:t>Financial Measure</w:t>
            </w:r>
          </w:p>
        </w:tc>
        <w:tc>
          <w:tcPr>
            <w:tcW w:w="820" w:type="dxa"/>
            <w:vAlign w:val="bottom"/>
            <w:tcBorders>
              <w:bottom w:val="single" w:sz="8" w:color="005C7D"/>
            </w:tcBorders>
            <w:gridSpan w:val="4"/>
          </w:tcPr>
          <w:p>
            <w:pPr>
              <w:ind w:left="80"/>
              <w:spacing w:after="0"/>
              <w:rPr>
                <w:sz w:val="20"/>
                <w:szCs w:val="20"/>
                <w:color w:val="auto"/>
              </w:rPr>
            </w:pPr>
            <w:r>
              <w:rPr>
                <w:rFonts w:ascii="Arial" w:cs="Arial" w:eastAsia="Arial" w:hAnsi="Arial"/>
                <w:sz w:val="14"/>
                <w:szCs w:val="14"/>
                <w:b w:val="1"/>
                <w:bCs w:val="1"/>
                <w:color w:val="auto"/>
              </w:rPr>
              <w:t>Weight</w:t>
            </w:r>
          </w:p>
        </w:tc>
        <w:tc>
          <w:tcPr>
            <w:tcW w:w="2160" w:type="dxa"/>
            <w:vAlign w:val="bottom"/>
            <w:tcBorders>
              <w:bottom w:val="single" w:sz="8" w:color="005C7D"/>
            </w:tcBorders>
          </w:tcPr>
          <w:p>
            <w:pPr>
              <w:jc w:val="center"/>
              <w:ind w:left="153"/>
              <w:spacing w:after="0"/>
              <w:rPr>
                <w:sz w:val="20"/>
                <w:szCs w:val="20"/>
                <w:color w:val="auto"/>
              </w:rPr>
            </w:pPr>
            <w:r>
              <w:rPr>
                <w:rFonts w:ascii="Arial" w:cs="Arial" w:eastAsia="Arial" w:hAnsi="Arial"/>
                <w:sz w:val="14"/>
                <w:szCs w:val="14"/>
                <w:b w:val="1"/>
                <w:bCs w:val="1"/>
                <w:color w:val="auto"/>
                <w:w w:val="95"/>
              </w:rPr>
              <w:t>Financial Measure</w:t>
            </w:r>
          </w:p>
        </w:tc>
        <w:tc>
          <w:tcPr>
            <w:tcW w:w="1720" w:type="dxa"/>
            <w:vAlign w:val="bottom"/>
            <w:tcBorders>
              <w:bottom w:val="single" w:sz="8" w:color="005C7D"/>
            </w:tcBorders>
          </w:tcPr>
          <w:p>
            <w:pPr>
              <w:jc w:val="right"/>
              <w:ind w:right="36"/>
              <w:spacing w:after="0"/>
              <w:rPr>
                <w:sz w:val="20"/>
                <w:szCs w:val="20"/>
                <w:color w:val="auto"/>
              </w:rPr>
            </w:pPr>
            <w:r>
              <w:rPr>
                <w:rFonts w:ascii="Arial" w:cs="Arial" w:eastAsia="Arial" w:hAnsi="Arial"/>
                <w:sz w:val="14"/>
                <w:szCs w:val="14"/>
                <w:b w:val="1"/>
                <w:bCs w:val="1"/>
                <w:color w:val="auto"/>
              </w:rPr>
              <w:t>Weight (by measure)</w:t>
            </w:r>
          </w:p>
        </w:tc>
        <w:tc>
          <w:tcPr>
            <w:tcW w:w="200" w:type="dxa"/>
            <w:vAlign w:val="bottom"/>
            <w:tcBorders>
              <w:bottom w:val="single" w:sz="8" w:color="005C7D"/>
            </w:tcBorders>
          </w:tcPr>
          <w:p>
            <w:pPr>
              <w:spacing w:after="0"/>
              <w:rPr>
                <w:sz w:val="16"/>
                <w:szCs w:val="16"/>
                <w:color w:val="auto"/>
              </w:rPr>
            </w:pPr>
          </w:p>
        </w:tc>
        <w:tc>
          <w:tcPr>
            <w:tcW w:w="220" w:type="dxa"/>
            <w:vAlign w:val="bottom"/>
            <w:tcBorders>
              <w:bottom w:val="single" w:sz="8" w:color="005C7D"/>
            </w:tcBorders>
          </w:tcPr>
          <w:p>
            <w:pPr>
              <w:spacing w:after="0"/>
              <w:rPr>
                <w:sz w:val="16"/>
                <w:szCs w:val="16"/>
                <w:color w:val="auto"/>
              </w:rPr>
            </w:pPr>
          </w:p>
        </w:tc>
        <w:tc>
          <w:tcPr>
            <w:tcW w:w="1520" w:type="dxa"/>
            <w:vAlign w:val="bottom"/>
            <w:tcBorders>
              <w:bottom w:val="single" w:sz="8" w:color="005C7D"/>
            </w:tcBorders>
          </w:tcPr>
          <w:p>
            <w:pPr>
              <w:jc w:val="right"/>
              <w:ind w:right="79"/>
              <w:spacing w:after="0"/>
              <w:rPr>
                <w:sz w:val="20"/>
                <w:szCs w:val="20"/>
                <w:color w:val="auto"/>
              </w:rPr>
            </w:pPr>
            <w:r>
              <w:rPr>
                <w:rFonts w:ascii="Arial" w:cs="Arial" w:eastAsia="Arial" w:hAnsi="Arial"/>
                <w:sz w:val="14"/>
                <w:szCs w:val="14"/>
                <w:b w:val="1"/>
                <w:bCs w:val="1"/>
                <w:color w:val="auto"/>
              </w:rPr>
              <w:t>(corporate/group)</w:t>
            </w:r>
          </w:p>
        </w:tc>
        <w:tc>
          <w:tcPr>
            <w:tcW w:w="180" w:type="dxa"/>
            <w:vAlign w:val="bottom"/>
            <w:tcBorders>
              <w:bottom w:val="single" w:sz="8" w:color="005C7D"/>
            </w:tcBorders>
          </w:tcPr>
          <w:p>
            <w:pPr>
              <w:spacing w:after="0"/>
              <w:rPr>
                <w:sz w:val="16"/>
                <w:szCs w:val="16"/>
                <w:color w:val="auto"/>
              </w:rPr>
            </w:pPr>
          </w:p>
        </w:tc>
        <w:tc>
          <w:tcPr>
            <w:tcW w:w="1020" w:type="dxa"/>
            <w:vAlign w:val="bottom"/>
            <w:tcBorders>
              <w:bottom w:val="single" w:sz="8" w:color="005C7D"/>
            </w:tcBorders>
            <w:gridSpan w:val="4"/>
          </w:tcPr>
          <w:p>
            <w:pPr>
              <w:jc w:val="right"/>
              <w:ind w:right="280"/>
              <w:spacing w:after="0"/>
              <w:rPr>
                <w:sz w:val="20"/>
                <w:szCs w:val="20"/>
                <w:color w:val="auto"/>
              </w:rPr>
            </w:pPr>
            <w:r>
              <w:rPr>
                <w:rFonts w:ascii="Arial" w:cs="Arial" w:eastAsia="Arial" w:hAnsi="Arial"/>
                <w:sz w:val="14"/>
                <w:szCs w:val="14"/>
                <w:b w:val="1"/>
                <w:bCs w:val="1"/>
                <w:color w:val="auto"/>
              </w:rPr>
              <w:t>Weighting</w:t>
            </w:r>
          </w:p>
        </w:tc>
        <w:tc>
          <w:tcPr>
            <w:tcW w:w="0" w:type="dxa"/>
            <w:vAlign w:val="bottom"/>
          </w:tcPr>
          <w:p>
            <w:pPr>
              <w:spacing w:after="0"/>
              <w:rPr>
                <w:sz w:val="1"/>
                <w:szCs w:val="1"/>
                <w:color w:val="auto"/>
              </w:rPr>
            </w:pPr>
          </w:p>
        </w:tc>
      </w:tr>
      <w:tr>
        <w:trPr>
          <w:trHeight w:val="250"/>
        </w:trPr>
        <w:tc>
          <w:tcPr>
            <w:tcW w:w="1720" w:type="dxa"/>
            <w:vAlign w:val="bottom"/>
            <w:shd w:val="clear" w:color="auto" w:fill="CDDAE6"/>
          </w:tcPr>
          <w:p>
            <w:pPr>
              <w:ind w:left="20"/>
              <w:spacing w:after="0"/>
              <w:rPr>
                <w:sz w:val="20"/>
                <w:szCs w:val="20"/>
                <w:color w:val="auto"/>
              </w:rPr>
            </w:pPr>
            <w:r>
              <w:rPr>
                <w:rFonts w:ascii="Arial" w:cs="Arial" w:eastAsia="Arial" w:hAnsi="Arial"/>
                <w:sz w:val="18"/>
                <w:szCs w:val="18"/>
                <w:color w:val="auto"/>
              </w:rPr>
              <w:t>Consolidated EPS</w:t>
            </w:r>
          </w:p>
        </w:tc>
        <w:tc>
          <w:tcPr>
            <w:tcW w:w="740" w:type="dxa"/>
            <w:vAlign w:val="bottom"/>
            <w:gridSpan w:val="3"/>
            <w:shd w:val="clear" w:color="auto" w:fill="CDDAE6"/>
          </w:tcPr>
          <w:p>
            <w:pPr>
              <w:jc w:val="right"/>
              <w:ind w:right="2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DDAE6"/>
          </w:tcPr>
          <w:p>
            <w:pPr>
              <w:spacing w:after="0"/>
              <w:rPr>
                <w:sz w:val="21"/>
                <w:szCs w:val="21"/>
                <w:color w:val="auto"/>
              </w:rPr>
            </w:pPr>
          </w:p>
        </w:tc>
        <w:tc>
          <w:tcPr>
            <w:tcW w:w="2160" w:type="dxa"/>
            <w:vAlign w:val="bottom"/>
            <w:shd w:val="clear" w:color="auto" w:fill="CDDAE6"/>
          </w:tcPr>
          <w:p>
            <w:pPr>
              <w:jc w:val="center"/>
              <w:ind w:left="153"/>
              <w:spacing w:after="0"/>
              <w:rPr>
                <w:sz w:val="20"/>
                <w:szCs w:val="20"/>
                <w:color w:val="auto"/>
              </w:rPr>
            </w:pPr>
            <w:r>
              <w:rPr>
                <w:rFonts w:ascii="Arial" w:cs="Arial" w:eastAsia="Arial" w:hAnsi="Arial"/>
                <w:sz w:val="18"/>
                <w:szCs w:val="18"/>
                <w:color w:val="auto"/>
                <w:w w:val="90"/>
              </w:rPr>
              <w:t>Consolidated EPS</w:t>
            </w:r>
          </w:p>
        </w:tc>
        <w:tc>
          <w:tcPr>
            <w:tcW w:w="1720" w:type="dxa"/>
            <w:vAlign w:val="bottom"/>
            <w:shd w:val="clear" w:color="auto" w:fill="CDDAE6"/>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DDAE6"/>
          </w:tcPr>
          <w:p>
            <w:pPr>
              <w:spacing w:after="0"/>
              <w:rPr>
                <w:sz w:val="21"/>
                <w:szCs w:val="21"/>
                <w:color w:val="auto"/>
              </w:rPr>
            </w:pPr>
          </w:p>
        </w:tc>
        <w:tc>
          <w:tcPr>
            <w:tcW w:w="220" w:type="dxa"/>
            <w:vAlign w:val="bottom"/>
            <w:vMerge w:val="restart"/>
            <w:shd w:val="clear" w:color="auto" w:fill="CDDAE6"/>
          </w:tcPr>
          <w:p>
            <w:pPr>
              <w:jc w:val="right"/>
              <w:spacing w:after="0" w:line="494" w:lineRule="exact"/>
              <w:rPr>
                <w:sz w:val="20"/>
                <w:szCs w:val="20"/>
                <w:color w:val="auto"/>
              </w:rPr>
            </w:pPr>
            <w:r>
              <w:rPr>
                <w:rFonts w:ascii="Arial" w:cs="Arial" w:eastAsia="Arial" w:hAnsi="Arial"/>
                <w:sz w:val="47"/>
                <w:szCs w:val="47"/>
                <w:color w:val="auto"/>
              </w:rPr>
              <w:t>}</w:t>
            </w:r>
          </w:p>
        </w:tc>
        <w:tc>
          <w:tcPr>
            <w:tcW w:w="1520" w:type="dxa"/>
            <w:vAlign w:val="bottom"/>
            <w:shd w:val="clear" w:color="auto" w:fill="CDDAE6"/>
          </w:tcPr>
          <w:p>
            <w:pPr>
              <w:spacing w:after="0"/>
              <w:rPr>
                <w:sz w:val="21"/>
                <w:szCs w:val="21"/>
                <w:color w:val="auto"/>
              </w:rPr>
            </w:pPr>
          </w:p>
        </w:tc>
        <w:tc>
          <w:tcPr>
            <w:tcW w:w="180" w:type="dxa"/>
            <w:vAlign w:val="bottom"/>
            <w:shd w:val="clear" w:color="auto" w:fill="CDDAE6"/>
          </w:tcPr>
          <w:p>
            <w:pPr>
              <w:spacing w:after="0"/>
              <w:rPr>
                <w:sz w:val="21"/>
                <w:szCs w:val="21"/>
                <w:color w:val="auto"/>
              </w:rPr>
            </w:pPr>
          </w:p>
        </w:tc>
        <w:tc>
          <w:tcPr>
            <w:tcW w:w="1020" w:type="dxa"/>
            <w:vAlign w:val="bottom"/>
            <w:gridSpan w:val="4"/>
            <w:shd w:val="clear" w:color="auto" w:fill="CDDAE6"/>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1720" w:type="dxa"/>
            <w:vAlign w:val="bottom"/>
            <w:shd w:val="clear" w:color="auto" w:fill="CDDAE6"/>
          </w:tcPr>
          <w:p>
            <w:pPr>
              <w:ind w:left="20"/>
              <w:spacing w:after="0"/>
              <w:rPr>
                <w:sz w:val="20"/>
                <w:szCs w:val="20"/>
                <w:color w:val="auto"/>
              </w:rPr>
            </w:pPr>
            <w:r>
              <w:rPr>
                <w:rFonts w:ascii="Arial" w:cs="Arial" w:eastAsia="Arial" w:hAnsi="Arial"/>
                <w:sz w:val="18"/>
                <w:szCs w:val="18"/>
                <w:color w:val="auto"/>
              </w:rPr>
              <w:t>Consolidated FCF</w:t>
            </w:r>
          </w:p>
        </w:tc>
        <w:tc>
          <w:tcPr>
            <w:tcW w:w="740" w:type="dxa"/>
            <w:vAlign w:val="bottom"/>
            <w:gridSpan w:val="3"/>
            <w:shd w:val="clear" w:color="auto" w:fill="CDDAE6"/>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DDAE6"/>
          </w:tcPr>
          <w:p>
            <w:pPr>
              <w:spacing w:after="0"/>
              <w:rPr>
                <w:sz w:val="21"/>
                <w:szCs w:val="21"/>
                <w:color w:val="auto"/>
              </w:rPr>
            </w:pPr>
          </w:p>
        </w:tc>
        <w:tc>
          <w:tcPr>
            <w:tcW w:w="2160" w:type="dxa"/>
            <w:vAlign w:val="bottom"/>
            <w:shd w:val="clear" w:color="auto" w:fill="CDDAE6"/>
          </w:tcPr>
          <w:p>
            <w:pPr>
              <w:jc w:val="center"/>
              <w:ind w:left="153"/>
              <w:spacing w:after="0"/>
              <w:rPr>
                <w:sz w:val="20"/>
                <w:szCs w:val="20"/>
                <w:color w:val="auto"/>
              </w:rPr>
            </w:pPr>
            <w:r>
              <w:rPr>
                <w:rFonts w:ascii="Arial" w:cs="Arial" w:eastAsia="Arial" w:hAnsi="Arial"/>
                <w:sz w:val="18"/>
                <w:szCs w:val="18"/>
                <w:color w:val="auto"/>
                <w:w w:val="90"/>
              </w:rPr>
              <w:t>Consolidated FCF</w:t>
            </w:r>
          </w:p>
        </w:tc>
        <w:tc>
          <w:tcPr>
            <w:tcW w:w="1720" w:type="dxa"/>
            <w:vAlign w:val="bottom"/>
            <w:shd w:val="clear" w:color="auto" w:fill="CDDAE6"/>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DDAE6"/>
          </w:tcPr>
          <w:p>
            <w:pPr>
              <w:spacing w:after="0"/>
              <w:rPr>
                <w:sz w:val="21"/>
                <w:szCs w:val="21"/>
                <w:color w:val="auto"/>
              </w:rPr>
            </w:pPr>
          </w:p>
        </w:tc>
        <w:tc>
          <w:tcPr>
            <w:tcW w:w="220" w:type="dxa"/>
            <w:vAlign w:val="bottom"/>
            <w:vMerge w:val="continue"/>
            <w:shd w:val="clear" w:color="auto" w:fill="CDDAE6"/>
          </w:tcPr>
          <w:p>
            <w:pPr>
              <w:spacing w:after="0"/>
              <w:rPr>
                <w:sz w:val="21"/>
                <w:szCs w:val="21"/>
                <w:color w:val="auto"/>
              </w:rPr>
            </w:pPr>
          </w:p>
        </w:tc>
        <w:tc>
          <w:tcPr>
            <w:tcW w:w="1520" w:type="dxa"/>
            <w:vAlign w:val="bottom"/>
            <w:shd w:val="clear" w:color="auto" w:fill="CDDAE6"/>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DDAE6"/>
          </w:tcPr>
          <w:p>
            <w:pPr>
              <w:spacing w:after="0"/>
              <w:rPr>
                <w:sz w:val="21"/>
                <w:szCs w:val="21"/>
                <w:color w:val="auto"/>
              </w:rPr>
            </w:pPr>
          </w:p>
        </w:tc>
        <w:tc>
          <w:tcPr>
            <w:tcW w:w="1020" w:type="dxa"/>
            <w:vAlign w:val="bottom"/>
            <w:gridSpan w:val="4"/>
            <w:shd w:val="clear" w:color="auto" w:fill="CDDAE6"/>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720" w:type="dxa"/>
            <w:vAlign w:val="bottom"/>
            <w:tcBorders>
              <w:top w:val="single" w:sz="8" w:color="CDDAE6"/>
            </w:tcBorders>
            <w:shd w:val="clear" w:color="auto" w:fill="CDDAE6"/>
          </w:tcPr>
          <w:p>
            <w:pPr>
              <w:spacing w:after="0"/>
              <w:rPr>
                <w:sz w:val="24"/>
                <w:szCs w:val="24"/>
                <w:color w:val="auto"/>
              </w:rPr>
            </w:pPr>
          </w:p>
        </w:tc>
        <w:tc>
          <w:tcPr>
            <w:tcW w:w="300" w:type="dxa"/>
            <w:vAlign w:val="bottom"/>
            <w:tcBorders>
              <w:top w:val="single" w:sz="8" w:color="CDDAE6"/>
            </w:tcBorders>
            <w:shd w:val="clear" w:color="auto" w:fill="CDDAE6"/>
          </w:tcPr>
          <w:p>
            <w:pPr>
              <w:spacing w:after="0"/>
              <w:rPr>
                <w:sz w:val="24"/>
                <w:szCs w:val="24"/>
                <w:color w:val="auto"/>
              </w:rPr>
            </w:pPr>
          </w:p>
        </w:tc>
        <w:tc>
          <w:tcPr>
            <w:tcW w:w="420" w:type="dxa"/>
            <w:vAlign w:val="bottom"/>
            <w:tcBorders>
              <w:top w:val="single" w:sz="8" w:color="auto"/>
            </w:tcBorders>
            <w:shd w:val="clear" w:color="auto" w:fill="CDDAE6"/>
          </w:tcPr>
          <w:p>
            <w:pPr>
              <w:spacing w:after="0"/>
              <w:rPr>
                <w:sz w:val="24"/>
                <w:szCs w:val="24"/>
                <w:color w:val="auto"/>
              </w:rPr>
            </w:pPr>
          </w:p>
        </w:tc>
        <w:tc>
          <w:tcPr>
            <w:tcW w:w="20" w:type="dxa"/>
            <w:vAlign w:val="bottom"/>
            <w:tcBorders>
              <w:top w:val="single" w:sz="8" w:color="CDDAE6"/>
            </w:tcBorders>
            <w:shd w:val="clear" w:color="auto" w:fill="CDDAE6"/>
          </w:tcPr>
          <w:p>
            <w:pPr>
              <w:spacing w:after="0"/>
              <w:rPr>
                <w:sz w:val="24"/>
                <w:szCs w:val="24"/>
                <w:color w:val="auto"/>
              </w:rPr>
            </w:pPr>
          </w:p>
        </w:tc>
        <w:tc>
          <w:tcPr>
            <w:tcW w:w="80" w:type="dxa"/>
            <w:vAlign w:val="bottom"/>
            <w:tcBorders>
              <w:top w:val="single" w:sz="8" w:color="CDDAE6"/>
            </w:tcBorders>
            <w:shd w:val="clear" w:color="auto" w:fill="CDDAE6"/>
          </w:tcPr>
          <w:p>
            <w:pPr>
              <w:spacing w:after="0"/>
              <w:rPr>
                <w:sz w:val="24"/>
                <w:szCs w:val="24"/>
                <w:color w:val="auto"/>
              </w:rPr>
            </w:pPr>
          </w:p>
        </w:tc>
        <w:tc>
          <w:tcPr>
            <w:tcW w:w="2160" w:type="dxa"/>
            <w:vAlign w:val="bottom"/>
            <w:tcBorders>
              <w:top w:val="single" w:sz="8" w:color="CDDAE6"/>
            </w:tcBorders>
            <w:shd w:val="clear" w:color="auto" w:fill="CDDAE6"/>
          </w:tcPr>
          <w:p>
            <w:pPr>
              <w:jc w:val="center"/>
              <w:ind w:left="153"/>
              <w:spacing w:after="0"/>
              <w:rPr>
                <w:sz w:val="20"/>
                <w:szCs w:val="20"/>
                <w:color w:val="auto"/>
              </w:rPr>
            </w:pPr>
            <w:r>
              <w:rPr>
                <w:rFonts w:ascii="Arial" w:cs="Arial" w:eastAsia="Arial" w:hAnsi="Arial"/>
                <w:sz w:val="18"/>
                <w:szCs w:val="18"/>
                <w:color w:val="auto"/>
                <w:w w:val="91"/>
              </w:rPr>
              <w:t>Group OI</w:t>
            </w:r>
          </w:p>
        </w:tc>
        <w:tc>
          <w:tcPr>
            <w:tcW w:w="1720" w:type="dxa"/>
            <w:vAlign w:val="bottom"/>
            <w:tcBorders>
              <w:top w:val="single" w:sz="8" w:color="CDDAE6"/>
            </w:tcBorders>
            <w:shd w:val="clear" w:color="auto" w:fill="CDDAE6"/>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top w:val="single" w:sz="8" w:color="CDDAE6"/>
            </w:tcBorders>
            <w:shd w:val="clear" w:color="auto" w:fill="CDDAE6"/>
          </w:tcPr>
          <w:p>
            <w:pPr>
              <w:spacing w:after="0"/>
              <w:rPr>
                <w:sz w:val="24"/>
                <w:szCs w:val="24"/>
                <w:color w:val="auto"/>
              </w:rPr>
            </w:pPr>
          </w:p>
        </w:tc>
        <w:tc>
          <w:tcPr>
            <w:tcW w:w="220" w:type="dxa"/>
            <w:vAlign w:val="bottom"/>
            <w:tcBorders>
              <w:top w:val="single" w:sz="8" w:color="CDDAE6"/>
            </w:tcBorders>
            <w:vMerge w:val="restart"/>
            <w:shd w:val="clear" w:color="auto" w:fill="CDDAE6"/>
          </w:tcPr>
          <w:p>
            <w:pPr>
              <w:jc w:val="right"/>
              <w:spacing w:after="0" w:line="534" w:lineRule="exact"/>
              <w:rPr>
                <w:sz w:val="20"/>
                <w:szCs w:val="20"/>
                <w:color w:val="auto"/>
              </w:rPr>
            </w:pPr>
            <w:r>
              <w:rPr>
                <w:rFonts w:ascii="Arial" w:cs="Arial" w:eastAsia="Arial" w:hAnsi="Arial"/>
                <w:sz w:val="47"/>
                <w:szCs w:val="47"/>
                <w:color w:val="auto"/>
              </w:rPr>
              <w:t>}</w:t>
            </w:r>
          </w:p>
        </w:tc>
        <w:tc>
          <w:tcPr>
            <w:tcW w:w="1520" w:type="dxa"/>
            <w:vAlign w:val="bottom"/>
            <w:tcBorders>
              <w:top w:val="single" w:sz="8" w:color="CDDAE6"/>
            </w:tcBorders>
            <w:shd w:val="clear" w:color="auto" w:fill="CDDAE6"/>
          </w:tcPr>
          <w:p>
            <w:pPr>
              <w:spacing w:after="0"/>
              <w:rPr>
                <w:sz w:val="24"/>
                <w:szCs w:val="24"/>
                <w:color w:val="auto"/>
              </w:rPr>
            </w:pPr>
          </w:p>
        </w:tc>
        <w:tc>
          <w:tcPr>
            <w:tcW w:w="180" w:type="dxa"/>
            <w:vAlign w:val="bottom"/>
            <w:tcBorders>
              <w:top w:val="single" w:sz="8" w:color="CDDAE6"/>
            </w:tcBorders>
            <w:shd w:val="clear" w:color="auto" w:fill="CDDAE6"/>
          </w:tcPr>
          <w:p>
            <w:pPr>
              <w:spacing w:after="0"/>
              <w:rPr>
                <w:sz w:val="24"/>
                <w:szCs w:val="24"/>
                <w:color w:val="auto"/>
              </w:rPr>
            </w:pPr>
          </w:p>
        </w:tc>
        <w:tc>
          <w:tcPr>
            <w:tcW w:w="1020" w:type="dxa"/>
            <w:vAlign w:val="bottom"/>
            <w:tcBorders>
              <w:top w:val="single" w:sz="8" w:color="CDDAE6"/>
            </w:tcBorders>
            <w:gridSpan w:val="4"/>
            <w:shd w:val="clear" w:color="auto" w:fill="CDDAE6"/>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Pr>
          <w:p>
            <w:pPr>
              <w:jc w:val="center"/>
              <w:ind w:left="153"/>
              <w:spacing w:after="0"/>
              <w:rPr>
                <w:sz w:val="20"/>
                <w:szCs w:val="20"/>
                <w:color w:val="auto"/>
              </w:rPr>
            </w:pPr>
            <w:r>
              <w:rPr>
                <w:rFonts w:ascii="Arial" w:cs="Arial" w:eastAsia="Arial" w:hAnsi="Arial"/>
                <w:sz w:val="18"/>
                <w:szCs w:val="18"/>
                <w:color w:val="auto"/>
                <w:w w:val="93"/>
              </w:rPr>
              <w:t>Group FCF</w:t>
            </w:r>
          </w:p>
        </w:tc>
        <w:tc>
          <w:tcPr>
            <w:tcW w:w="172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DDAE6"/>
          </w:tcPr>
          <w:p>
            <w:pPr>
              <w:spacing w:after="0"/>
              <w:rPr>
                <w:sz w:val="19"/>
                <w:szCs w:val="19"/>
                <w:color w:val="auto"/>
              </w:rPr>
            </w:pPr>
          </w:p>
        </w:tc>
        <w:tc>
          <w:tcPr>
            <w:tcW w:w="220" w:type="dxa"/>
            <w:vAlign w:val="bottom"/>
            <w:vMerge w:val="continue"/>
            <w:shd w:val="clear" w:color="auto" w:fill="CDDAE6"/>
          </w:tcPr>
          <w:p>
            <w:pPr>
              <w:spacing w:after="0"/>
              <w:rPr>
                <w:sz w:val="19"/>
                <w:szCs w:val="19"/>
                <w:color w:val="auto"/>
              </w:rPr>
            </w:pPr>
          </w:p>
        </w:tc>
        <w:tc>
          <w:tcPr>
            <w:tcW w:w="1520" w:type="dxa"/>
            <w:vAlign w:val="bottom"/>
            <w:shd w:val="clear" w:color="auto" w:fill="CDDAE6"/>
          </w:tcPr>
          <w:p>
            <w:pPr>
              <w:jc w:val="right"/>
              <w:spacing w:after="0"/>
              <w:rPr>
                <w:sz w:val="20"/>
                <w:szCs w:val="20"/>
                <w:color w:val="auto"/>
              </w:rPr>
            </w:pPr>
            <w:r>
              <w:rPr>
                <w:rFonts w:ascii="Arial" w:cs="Arial" w:eastAsia="Arial" w:hAnsi="Arial"/>
                <w:sz w:val="18"/>
                <w:szCs w:val="18"/>
                <w:color w:val="auto"/>
              </w:rPr>
              <w:t>75%</w:t>
            </w: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4"/>
        </w:trPr>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Borders>
              <w:top w:val="single" w:sz="8" w:color="CDDAE6"/>
            </w:tcBorders>
            <w:shd w:val="clear" w:color="auto" w:fill="CDDAE6"/>
          </w:tcPr>
          <w:p>
            <w:pPr>
              <w:spacing w:after="0"/>
              <w:rPr>
                <w:sz w:val="2"/>
                <w:szCs w:val="2"/>
                <w:color w:val="auto"/>
              </w:rPr>
            </w:pPr>
          </w:p>
        </w:tc>
        <w:tc>
          <w:tcPr>
            <w:tcW w:w="220" w:type="dxa"/>
            <w:vAlign w:val="bottom"/>
            <w:tcBorders>
              <w:top w:val="single" w:sz="8" w:color="CDDAE6"/>
            </w:tcBorders>
            <w:shd w:val="clear" w:color="auto" w:fill="CDDAE6"/>
          </w:tcPr>
          <w:p>
            <w:pPr>
              <w:spacing w:after="0"/>
              <w:rPr>
                <w:sz w:val="2"/>
                <w:szCs w:val="2"/>
                <w:color w:val="auto"/>
              </w:rPr>
            </w:pPr>
          </w:p>
        </w:tc>
        <w:tc>
          <w:tcPr>
            <w:tcW w:w="1520" w:type="dxa"/>
            <w:vAlign w:val="bottom"/>
            <w:tcBorders>
              <w:top w:val="single" w:sz="8" w:color="CDDAE6"/>
            </w:tcBorders>
            <w:shd w:val="clear" w:color="auto" w:fill="CDDAE6"/>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720" w:type="dxa"/>
            <w:vAlign w:val="bottom"/>
            <w:tcBorders>
              <w:bottom w:val="single" w:sz="8" w:color="005C7D"/>
            </w:tcBorders>
            <w:shd w:val="clear" w:color="auto" w:fill="CDDAE6"/>
          </w:tcPr>
          <w:p>
            <w:pPr>
              <w:ind w:left="2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005C7D"/>
            </w:tcBorders>
            <w:gridSpan w:val="3"/>
            <w:shd w:val="clear" w:color="auto" w:fill="CDDAE6"/>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005C7D"/>
            </w:tcBorders>
            <w:shd w:val="clear" w:color="auto" w:fill="CDDAE6"/>
          </w:tcPr>
          <w:p>
            <w:pPr>
              <w:spacing w:after="0"/>
              <w:rPr>
                <w:sz w:val="20"/>
                <w:szCs w:val="20"/>
                <w:color w:val="auto"/>
              </w:rPr>
            </w:pPr>
          </w:p>
        </w:tc>
        <w:tc>
          <w:tcPr>
            <w:tcW w:w="2160" w:type="dxa"/>
            <w:vAlign w:val="bottom"/>
            <w:tcBorders>
              <w:bottom w:val="single" w:sz="8" w:color="005C7D"/>
            </w:tcBorders>
            <w:shd w:val="clear" w:color="auto" w:fill="CDDAE6"/>
          </w:tcPr>
          <w:p>
            <w:pPr>
              <w:jc w:val="center"/>
              <w:ind w:left="153"/>
              <w:spacing w:after="0"/>
              <w:rPr>
                <w:sz w:val="20"/>
                <w:szCs w:val="20"/>
                <w:color w:val="auto"/>
              </w:rPr>
            </w:pPr>
            <w:r>
              <w:rPr>
                <w:rFonts w:ascii="Arial" w:cs="Arial" w:eastAsia="Arial" w:hAnsi="Arial"/>
                <w:sz w:val="18"/>
                <w:szCs w:val="18"/>
                <w:color w:val="auto"/>
                <w:w w:val="89"/>
              </w:rPr>
              <w:t>Total</w:t>
            </w:r>
          </w:p>
        </w:tc>
        <w:tc>
          <w:tcPr>
            <w:tcW w:w="1720" w:type="dxa"/>
            <w:vAlign w:val="bottom"/>
            <w:tcBorders>
              <w:bottom w:val="single" w:sz="8" w:color="005C7D"/>
            </w:tcBorders>
            <w:shd w:val="clear" w:color="auto" w:fill="CDDAE6"/>
          </w:tcPr>
          <w:p>
            <w:pPr>
              <w:spacing w:after="0"/>
              <w:rPr>
                <w:sz w:val="20"/>
                <w:szCs w:val="20"/>
                <w:color w:val="auto"/>
              </w:rPr>
            </w:pPr>
          </w:p>
        </w:tc>
        <w:tc>
          <w:tcPr>
            <w:tcW w:w="200" w:type="dxa"/>
            <w:vAlign w:val="bottom"/>
            <w:tcBorders>
              <w:bottom w:val="single" w:sz="8" w:color="005C7D"/>
            </w:tcBorders>
            <w:shd w:val="clear" w:color="auto" w:fill="CDDAE6"/>
          </w:tcPr>
          <w:p>
            <w:pPr>
              <w:spacing w:after="0"/>
              <w:rPr>
                <w:sz w:val="20"/>
                <w:szCs w:val="20"/>
                <w:color w:val="auto"/>
              </w:rPr>
            </w:pPr>
          </w:p>
        </w:tc>
        <w:tc>
          <w:tcPr>
            <w:tcW w:w="220" w:type="dxa"/>
            <w:vAlign w:val="bottom"/>
            <w:tcBorders>
              <w:bottom w:val="single" w:sz="8" w:color="005C7D"/>
            </w:tcBorders>
            <w:shd w:val="clear" w:color="auto" w:fill="CDDAE6"/>
          </w:tcPr>
          <w:p>
            <w:pPr>
              <w:spacing w:after="0"/>
              <w:rPr>
                <w:sz w:val="20"/>
                <w:szCs w:val="20"/>
                <w:color w:val="auto"/>
              </w:rPr>
            </w:pPr>
          </w:p>
        </w:tc>
        <w:tc>
          <w:tcPr>
            <w:tcW w:w="1520" w:type="dxa"/>
            <w:vAlign w:val="bottom"/>
            <w:tcBorders>
              <w:bottom w:val="single" w:sz="8" w:color="005C7D"/>
            </w:tcBorders>
            <w:shd w:val="clear" w:color="auto" w:fill="CDDAE6"/>
          </w:tcPr>
          <w:p>
            <w:pPr>
              <w:spacing w:after="0"/>
              <w:rPr>
                <w:sz w:val="20"/>
                <w:szCs w:val="20"/>
                <w:color w:val="auto"/>
              </w:rPr>
            </w:pPr>
          </w:p>
        </w:tc>
        <w:tc>
          <w:tcPr>
            <w:tcW w:w="1200" w:type="dxa"/>
            <w:vAlign w:val="bottom"/>
            <w:tcBorders>
              <w:bottom w:val="single" w:sz="8" w:color="005C7D"/>
            </w:tcBorders>
            <w:gridSpan w:val="5"/>
            <w:shd w:val="clear" w:color="auto" w:fill="CDDAE6"/>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-513715</wp:posOffset>
            </wp:positionV>
            <wp:extent cx="6071870" cy="3517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71870" cy="351790"/>
                    </a:xfrm>
                    <a:prstGeom prst="rect">
                      <a:avLst/>
                    </a:prstGeom>
                    <a:noFill/>
                  </pic:spPr>
                </pic:pic>
              </a:graphicData>
            </a:graphic>
          </wp:anchor>
        </w:drawing>
      </w:r>
    </w:p>
    <w:p>
      <w:pPr>
        <w:spacing w:after="0" w:line="12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Pay-for-Performance: </w:t>
      </w:r>
      <w:r>
        <w:rPr>
          <w:rFonts w:ascii="Arial" w:cs="Arial" w:eastAsia="Arial" w:hAnsi="Arial"/>
          <w:sz w:val="18"/>
          <w:szCs w:val="18"/>
          <w:color w:val="auto"/>
        </w:rPr>
        <w:t>A financial rating of 100% indicates weighted-average performance at target levels (that is, at plan).</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that exceeds plan by 15% (or by 25% for group presidents) results in a maximum financial rating of 200%. If performance is below plan by 15% (or by 25% for group presidents), this results in a threshold financial rating of 50%. If performance is below threshold, this results in a financial rating of zero. Performance is interpolated between these points. Based on the increased range of volatility for group-level financial results as compared to L3’s consolidated financial results, we believe it is appropriate to consider a wider range of performance at the group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28575</wp:posOffset>
            </wp:positionV>
            <wp:extent cx="491363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Performance Level</w:t>
            </w:r>
          </w:p>
        </w:tc>
        <w:tc>
          <w:tcPr>
            <w:tcW w:w="2540" w:type="dxa"/>
            <w:vAlign w:val="bottom"/>
          </w:tcPr>
          <w:p>
            <w:pPr>
              <w:jc w:val="right"/>
              <w:ind w:right="156"/>
              <w:spacing w:after="0"/>
              <w:rPr>
                <w:sz w:val="20"/>
                <w:szCs w:val="20"/>
                <w:color w:val="auto"/>
              </w:rPr>
            </w:pPr>
            <w:r>
              <w:rPr>
                <w:rFonts w:ascii="Arial" w:cs="Arial" w:eastAsia="Arial" w:hAnsi="Arial"/>
                <w:sz w:val="14"/>
                <w:szCs w:val="14"/>
                <w:b w:val="1"/>
                <w:bCs w:val="1"/>
                <w:color w:val="auto"/>
              </w:rPr>
              <w:t>Corporate Executives</w:t>
            </w:r>
          </w:p>
        </w:tc>
        <w:tc>
          <w:tcPr>
            <w:tcW w:w="1840" w:type="dxa"/>
            <w:vAlign w:val="bottom"/>
          </w:tcPr>
          <w:p>
            <w:pPr>
              <w:jc w:val="right"/>
              <w:ind w:right="376"/>
              <w:spacing w:after="0"/>
              <w:rPr>
                <w:sz w:val="20"/>
                <w:szCs w:val="20"/>
                <w:color w:val="auto"/>
              </w:rPr>
            </w:pPr>
            <w:r>
              <w:rPr>
                <w:rFonts w:ascii="Arial" w:cs="Arial" w:eastAsia="Arial" w:hAnsi="Arial"/>
                <w:sz w:val="14"/>
                <w:szCs w:val="14"/>
                <w:b w:val="1"/>
                <w:bCs w:val="1"/>
                <w:color w:val="auto"/>
              </w:rPr>
              <w:t>Group Presidents</w:t>
            </w:r>
          </w:p>
        </w:tc>
        <w:tc>
          <w:tcPr>
            <w:tcW w:w="980" w:type="dxa"/>
            <w:vAlign w:val="bottom"/>
          </w:tcPr>
          <w:p>
            <w:pPr>
              <w:jc w:val="right"/>
              <w:ind w:right="176"/>
              <w:spacing w:after="0"/>
              <w:rPr>
                <w:sz w:val="20"/>
                <w:szCs w:val="20"/>
                <w:color w:val="auto"/>
              </w:rPr>
            </w:pPr>
            <w:r>
              <w:rPr>
                <w:rFonts w:ascii="Arial" w:cs="Arial" w:eastAsia="Arial" w:hAnsi="Arial"/>
                <w:sz w:val="14"/>
                <w:szCs w:val="14"/>
                <w:b w:val="1"/>
                <w:bCs w:val="1"/>
                <w:color w:val="auto"/>
              </w:rPr>
              <w:t>Financial</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80" w:type="dxa"/>
            <w:vAlign w:val="bottom"/>
            <w:tcBorders>
              <w:bottom w:val="single" w:sz="8" w:color="005C7D"/>
            </w:tcBorders>
            <w:vMerge w:val="continue"/>
          </w:tcPr>
          <w:p>
            <w:pPr>
              <w:spacing w:after="0"/>
              <w:rPr>
                <w:sz w:val="16"/>
                <w:szCs w:val="16"/>
                <w:color w:val="auto"/>
              </w:rPr>
            </w:pPr>
          </w:p>
        </w:tc>
        <w:tc>
          <w:tcPr>
            <w:tcW w:w="2540" w:type="dxa"/>
            <w:vAlign w:val="bottom"/>
            <w:tcBorders>
              <w:bottom w:val="single" w:sz="8" w:color="005C7D"/>
            </w:tcBorders>
          </w:tcPr>
          <w:p>
            <w:pPr>
              <w:jc w:val="right"/>
              <w:ind w:right="36"/>
              <w:spacing w:after="0"/>
              <w:rPr>
                <w:sz w:val="20"/>
                <w:szCs w:val="20"/>
                <w:color w:val="auto"/>
              </w:rPr>
            </w:pPr>
            <w:r>
              <w:rPr>
                <w:rFonts w:ascii="Arial" w:cs="Arial" w:eastAsia="Arial" w:hAnsi="Arial"/>
                <w:sz w:val="14"/>
                <w:szCs w:val="14"/>
                <w:b w:val="1"/>
                <w:bCs w:val="1"/>
                <w:color w:val="auto"/>
              </w:rPr>
              <w:t>(% of Plan Performance)</w:t>
            </w:r>
          </w:p>
        </w:tc>
        <w:tc>
          <w:tcPr>
            <w:tcW w:w="1840" w:type="dxa"/>
            <w:vAlign w:val="bottom"/>
            <w:tcBorders>
              <w:bottom w:val="single" w:sz="8" w:color="005C7D"/>
            </w:tcBorders>
          </w:tcPr>
          <w:p>
            <w:pPr>
              <w:jc w:val="right"/>
              <w:ind w:right="136"/>
              <w:spacing w:after="0"/>
              <w:rPr>
                <w:sz w:val="20"/>
                <w:szCs w:val="20"/>
                <w:color w:val="auto"/>
              </w:rPr>
            </w:pPr>
            <w:r>
              <w:rPr>
                <w:rFonts w:ascii="Arial" w:cs="Arial" w:eastAsia="Arial" w:hAnsi="Arial"/>
                <w:sz w:val="14"/>
                <w:szCs w:val="14"/>
                <w:b w:val="1"/>
                <w:bCs w:val="1"/>
                <w:color w:val="auto"/>
                <w:w w:val="98"/>
              </w:rPr>
              <w:t>(% of Plan Performance)</w:t>
            </w:r>
          </w:p>
        </w:tc>
        <w:tc>
          <w:tcPr>
            <w:tcW w:w="980" w:type="dxa"/>
            <w:vAlign w:val="bottom"/>
            <w:tcBorders>
              <w:bottom w:val="single" w:sz="8" w:color="005C7D"/>
            </w:tcBorders>
          </w:tcPr>
          <w:p>
            <w:pPr>
              <w:jc w:val="right"/>
              <w:ind w:right="256"/>
              <w:spacing w:after="0"/>
              <w:rPr>
                <w:sz w:val="20"/>
                <w:szCs w:val="20"/>
                <w:color w:val="auto"/>
              </w:rPr>
            </w:pPr>
            <w:r>
              <w:rPr>
                <w:rFonts w:ascii="Arial" w:cs="Arial" w:eastAsia="Arial" w:hAnsi="Arial"/>
                <w:sz w:val="14"/>
                <w:szCs w:val="14"/>
                <w:b w:val="1"/>
                <w:bCs w:val="1"/>
                <w:color w:val="auto"/>
              </w:rPr>
              <w:t>Rating</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80" w:type="dxa"/>
            <w:vAlign w:val="bottom"/>
            <w:shd w:val="clear" w:color="auto" w:fill="CDDAE6"/>
          </w:tcPr>
          <w:p>
            <w:pPr>
              <w:ind w:left="40"/>
              <w:spacing w:after="0"/>
              <w:rPr>
                <w:sz w:val="20"/>
                <w:szCs w:val="20"/>
                <w:color w:val="auto"/>
              </w:rPr>
            </w:pPr>
            <w:r>
              <w:rPr>
                <w:rFonts w:ascii="Arial" w:cs="Arial" w:eastAsia="Arial" w:hAnsi="Arial"/>
                <w:sz w:val="18"/>
                <w:szCs w:val="18"/>
                <w:color w:val="auto"/>
              </w:rPr>
              <w:t>Maximum</w:t>
            </w:r>
          </w:p>
        </w:tc>
        <w:tc>
          <w:tcPr>
            <w:tcW w:w="2540" w:type="dxa"/>
            <w:vAlign w:val="bottom"/>
            <w:shd w:val="clear" w:color="auto" w:fill="CDDAE6"/>
          </w:tcPr>
          <w:p>
            <w:pPr>
              <w:jc w:val="right"/>
              <w:spacing w:after="0"/>
              <w:rPr>
                <w:sz w:val="20"/>
                <w:szCs w:val="20"/>
                <w:color w:val="auto"/>
              </w:rPr>
            </w:pPr>
            <w:r>
              <w:rPr>
                <w:rFonts w:ascii="Arial" w:cs="Arial" w:eastAsia="Arial" w:hAnsi="Arial"/>
                <w:sz w:val="18"/>
                <w:szCs w:val="18"/>
                <w:color w:val="auto"/>
              </w:rPr>
              <w:t>≥ 115%</w:t>
            </w:r>
          </w:p>
        </w:tc>
        <w:tc>
          <w:tcPr>
            <w:tcW w:w="1840" w:type="dxa"/>
            <w:vAlign w:val="bottom"/>
            <w:shd w:val="clear" w:color="auto" w:fill="CDDAE6"/>
          </w:tcPr>
          <w:p>
            <w:pPr>
              <w:jc w:val="right"/>
              <w:ind w:right="56"/>
              <w:spacing w:after="0"/>
              <w:rPr>
                <w:sz w:val="20"/>
                <w:szCs w:val="20"/>
                <w:color w:val="auto"/>
              </w:rPr>
            </w:pPr>
            <w:r>
              <w:rPr>
                <w:rFonts w:ascii="Arial" w:cs="Arial" w:eastAsia="Arial" w:hAnsi="Arial"/>
                <w:sz w:val="18"/>
                <w:szCs w:val="18"/>
                <w:color w:val="auto"/>
              </w:rPr>
              <w:t>≥ 125%</w:t>
            </w:r>
          </w:p>
        </w:tc>
        <w:tc>
          <w:tcPr>
            <w:tcW w:w="980" w:type="dxa"/>
            <w:vAlign w:val="bottom"/>
            <w:shd w:val="clear" w:color="auto" w:fill="CDDAE6"/>
          </w:tcPr>
          <w:p>
            <w:pPr>
              <w:jc w:val="right"/>
              <w:spacing w:after="0"/>
              <w:rPr>
                <w:sz w:val="20"/>
                <w:szCs w:val="20"/>
                <w:color w:val="auto"/>
              </w:rPr>
            </w:pPr>
            <w:r>
              <w:rPr>
                <w:rFonts w:ascii="Arial" w:cs="Arial" w:eastAsia="Arial" w:hAnsi="Arial"/>
                <w:sz w:val="18"/>
                <w:szCs w:val="18"/>
                <w:color w:val="auto"/>
              </w:rPr>
              <w:t>200%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Target</w:t>
            </w:r>
          </w:p>
        </w:tc>
        <w:tc>
          <w:tcPr>
            <w:tcW w:w="2540" w:type="dxa"/>
            <w:vAlign w:val="bottom"/>
          </w:tcPr>
          <w:p>
            <w:pPr>
              <w:jc w:val="right"/>
              <w:spacing w:after="0"/>
              <w:rPr>
                <w:sz w:val="20"/>
                <w:szCs w:val="20"/>
                <w:color w:val="auto"/>
              </w:rPr>
            </w:pPr>
            <w:r>
              <w:rPr>
                <w:rFonts w:ascii="Arial" w:cs="Arial" w:eastAsia="Arial" w:hAnsi="Arial"/>
                <w:sz w:val="18"/>
                <w:szCs w:val="18"/>
                <w:color w:val="auto"/>
              </w:rPr>
              <w:t>100%</w:t>
            </w:r>
          </w:p>
        </w:tc>
        <w:tc>
          <w:tcPr>
            <w:tcW w:w="1840" w:type="dxa"/>
            <w:vAlign w:val="bottom"/>
          </w:tcPr>
          <w:p>
            <w:pPr>
              <w:jc w:val="right"/>
              <w:ind w:right="56"/>
              <w:spacing w:after="0"/>
              <w:rPr>
                <w:sz w:val="20"/>
                <w:szCs w:val="20"/>
                <w:color w:val="auto"/>
              </w:rPr>
            </w:pPr>
            <w:r>
              <w:rPr>
                <w:rFonts w:ascii="Arial" w:cs="Arial" w:eastAsia="Arial" w:hAnsi="Arial"/>
                <w:sz w:val="18"/>
                <w:szCs w:val="18"/>
                <w:color w:val="auto"/>
              </w:rPr>
              <w:t>100%</w:t>
            </w: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380" w:type="dxa"/>
            <w:vAlign w:val="bottom"/>
            <w:shd w:val="clear" w:color="auto" w:fill="CDDAE6"/>
          </w:tcPr>
          <w:p>
            <w:pPr>
              <w:ind w:left="40"/>
              <w:spacing w:after="0"/>
              <w:rPr>
                <w:sz w:val="20"/>
                <w:szCs w:val="20"/>
                <w:color w:val="auto"/>
              </w:rPr>
            </w:pPr>
            <w:r>
              <w:rPr>
                <w:rFonts w:ascii="Arial" w:cs="Arial" w:eastAsia="Arial" w:hAnsi="Arial"/>
                <w:sz w:val="18"/>
                <w:szCs w:val="18"/>
                <w:color w:val="auto"/>
              </w:rPr>
              <w:t>Threshold</w:t>
            </w:r>
          </w:p>
        </w:tc>
        <w:tc>
          <w:tcPr>
            <w:tcW w:w="2540" w:type="dxa"/>
            <w:vAlign w:val="bottom"/>
            <w:shd w:val="clear" w:color="auto" w:fill="CDDAE6"/>
          </w:tcPr>
          <w:p>
            <w:pPr>
              <w:jc w:val="right"/>
              <w:spacing w:after="0"/>
              <w:rPr>
                <w:sz w:val="20"/>
                <w:szCs w:val="20"/>
                <w:color w:val="auto"/>
              </w:rPr>
            </w:pPr>
            <w:r>
              <w:rPr>
                <w:rFonts w:ascii="Arial" w:cs="Arial" w:eastAsia="Arial" w:hAnsi="Arial"/>
                <w:sz w:val="18"/>
                <w:szCs w:val="18"/>
                <w:color w:val="auto"/>
              </w:rPr>
              <w:t>85%</w:t>
            </w:r>
          </w:p>
        </w:tc>
        <w:tc>
          <w:tcPr>
            <w:tcW w:w="1840" w:type="dxa"/>
            <w:vAlign w:val="bottom"/>
            <w:shd w:val="clear" w:color="auto" w:fill="CDDAE6"/>
          </w:tcPr>
          <w:p>
            <w:pPr>
              <w:jc w:val="right"/>
              <w:ind w:right="56"/>
              <w:spacing w:after="0"/>
              <w:rPr>
                <w:sz w:val="20"/>
                <w:szCs w:val="20"/>
                <w:color w:val="auto"/>
              </w:rPr>
            </w:pPr>
            <w:r>
              <w:rPr>
                <w:rFonts w:ascii="Arial" w:cs="Arial" w:eastAsia="Arial" w:hAnsi="Arial"/>
                <w:sz w:val="18"/>
                <w:szCs w:val="18"/>
                <w:color w:val="auto"/>
              </w:rPr>
              <w:t>75%</w:t>
            </w:r>
          </w:p>
        </w:tc>
        <w:tc>
          <w:tcPr>
            <w:tcW w:w="980" w:type="dxa"/>
            <w:vAlign w:val="bottom"/>
            <w:shd w:val="clear" w:color="auto" w:fill="CDDAE6"/>
          </w:tcPr>
          <w:p>
            <w:pPr>
              <w:jc w:val="right"/>
              <w:spacing w:after="0"/>
              <w:rPr>
                <w:sz w:val="20"/>
                <w:szCs w:val="20"/>
                <w:color w:val="auto"/>
              </w:rPr>
            </w:pPr>
            <w:r>
              <w:rPr>
                <w:rFonts w:ascii="Arial" w:cs="Arial" w:eastAsia="Arial" w:hAnsi="Arial"/>
                <w:sz w:val="18"/>
                <w:szCs w:val="18"/>
                <w:color w:val="auto"/>
              </w:rPr>
              <w:t>50%</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80" w:type="dxa"/>
            <w:vAlign w:val="bottom"/>
            <w:tcBorders>
              <w:bottom w:val="single" w:sz="8" w:color="005C7D"/>
            </w:tcBorders>
          </w:tcPr>
          <w:p>
            <w:pPr>
              <w:ind w:left="40"/>
              <w:spacing w:after="0"/>
              <w:rPr>
                <w:sz w:val="20"/>
                <w:szCs w:val="20"/>
                <w:color w:val="auto"/>
              </w:rPr>
            </w:pPr>
            <w:r>
              <w:rPr>
                <w:rFonts w:ascii="Arial" w:cs="Arial" w:eastAsia="Arial" w:hAnsi="Arial"/>
                <w:sz w:val="18"/>
                <w:szCs w:val="18"/>
                <w:color w:val="auto"/>
              </w:rPr>
              <w:t>Below Threshold</w:t>
            </w:r>
          </w:p>
        </w:tc>
        <w:tc>
          <w:tcPr>
            <w:tcW w:w="2540" w:type="dxa"/>
            <w:vAlign w:val="bottom"/>
            <w:tcBorders>
              <w:bottom w:val="single" w:sz="8" w:color="005C7D"/>
            </w:tcBorders>
          </w:tcPr>
          <w:p>
            <w:pPr>
              <w:jc w:val="right"/>
              <w:spacing w:after="0"/>
              <w:rPr>
                <w:sz w:val="20"/>
                <w:szCs w:val="20"/>
                <w:color w:val="auto"/>
              </w:rPr>
            </w:pPr>
            <w:r>
              <w:rPr>
                <w:rFonts w:ascii="Arial" w:cs="Arial" w:eastAsia="Arial" w:hAnsi="Arial"/>
                <w:sz w:val="18"/>
                <w:szCs w:val="18"/>
                <w:color w:val="auto"/>
              </w:rPr>
              <w:t>&lt; 85%</w:t>
            </w:r>
          </w:p>
        </w:tc>
        <w:tc>
          <w:tcPr>
            <w:tcW w:w="1840" w:type="dxa"/>
            <w:vAlign w:val="bottom"/>
            <w:tcBorders>
              <w:bottom w:val="single" w:sz="8" w:color="005C7D"/>
            </w:tcBorders>
          </w:tcPr>
          <w:p>
            <w:pPr>
              <w:jc w:val="right"/>
              <w:ind w:right="56"/>
              <w:spacing w:after="0"/>
              <w:rPr>
                <w:sz w:val="20"/>
                <w:szCs w:val="20"/>
                <w:color w:val="auto"/>
              </w:rPr>
            </w:pPr>
            <w:r>
              <w:rPr>
                <w:rFonts w:ascii="Arial" w:cs="Arial" w:eastAsia="Arial" w:hAnsi="Arial"/>
                <w:sz w:val="18"/>
                <w:szCs w:val="18"/>
                <w:color w:val="auto"/>
              </w:rPr>
              <w:t>&lt; 75%</w:t>
            </w:r>
          </w:p>
        </w:tc>
        <w:tc>
          <w:tcPr>
            <w:tcW w:w="980" w:type="dxa"/>
            <w:vAlign w:val="bottom"/>
            <w:tcBorders>
              <w:bottom w:val="single" w:sz="8" w:color="005C7D"/>
            </w:tcBorders>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440" w:type="dxa"/>
            <w:vAlign w:val="bottom"/>
          </w:tcPr>
          <w:p>
            <w:pPr>
              <w:jc w:val="right"/>
              <w:ind w:right="130"/>
              <w:spacing w:after="0"/>
              <w:rPr>
                <w:sz w:val="20"/>
                <w:szCs w:val="20"/>
                <w:color w:val="auto"/>
              </w:rPr>
            </w:pPr>
            <w:r>
              <w:rPr>
                <w:rFonts w:ascii="Arial" w:cs="Arial" w:eastAsia="Arial" w:hAnsi="Arial"/>
                <w:sz w:val="18"/>
                <w:szCs w:val="18"/>
                <w:color w:val="005C7D"/>
                <w:w w:val="99"/>
              </w:rPr>
              <w:t>48</w:t>
            </w:r>
          </w:p>
        </w:tc>
        <w:tc>
          <w:tcPr>
            <w:tcW w:w="2840" w:type="dxa"/>
            <w:vAlign w:val="bottom"/>
            <w:gridSpan w:val="2"/>
          </w:tcPr>
          <w:p>
            <w:pPr>
              <w:ind w:left="240"/>
              <w:spacing w:after="0"/>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tc>
        <w:tc>
          <w:tcPr>
            <w:tcW w:w="2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4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2380" w:type="dxa"/>
            <w:vAlign w:val="bottom"/>
            <w:shd w:val="clear" w:color="auto" w:fill="000000"/>
          </w:tcPr>
          <w:p>
            <w:pPr>
              <w:spacing w:after="0"/>
              <w:rPr>
                <w:sz w:val="5"/>
                <w:szCs w:val="5"/>
                <w:color w:val="auto"/>
              </w:rPr>
            </w:pPr>
          </w:p>
        </w:tc>
        <w:tc>
          <w:tcPr>
            <w:tcW w:w="2540" w:type="dxa"/>
            <w:vAlign w:val="bottom"/>
            <w:shd w:val="clear" w:color="auto" w:fill="000000"/>
          </w:tcPr>
          <w:p>
            <w:pPr>
              <w:spacing w:after="0"/>
              <w:rPr>
                <w:sz w:val="5"/>
                <w:szCs w:val="5"/>
                <w:color w:val="auto"/>
              </w:rPr>
            </w:pPr>
          </w:p>
        </w:tc>
        <w:tc>
          <w:tcPr>
            <w:tcW w:w="184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-530860</wp:posOffset>
            </wp:positionV>
            <wp:extent cx="154305"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purposes of calculating actual financial results under the annual incentive plan, the Committee excludes the effects of pre-established categories of items that it believes are not reflective of operating performance. These categories have not been modified since 2012; however, they are reviewed annually to ensure they remain appropriate. Accordingly, in February 2016, the Committee determined to exclude the following pre-established categories of adjustments in calculating L3’s consolidated EPS and FCF under the plan for 2016,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0718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9" w:lineRule="exact"/>
        <w:rPr>
          <w:sz w:val="20"/>
          <w:szCs w:val="20"/>
          <w:color w:val="auto"/>
        </w:rPr>
      </w:pPr>
    </w:p>
    <w:p>
      <w:pPr>
        <w:ind w:left="980"/>
        <w:spacing w:after="0"/>
        <w:tabs>
          <w:tab w:leader="none" w:pos="5780" w:val="left"/>
        </w:tabs>
        <w:rPr>
          <w:sz w:val="20"/>
          <w:szCs w:val="20"/>
          <w:color w:val="auto"/>
        </w:rPr>
      </w:pPr>
      <w:r>
        <w:rPr>
          <w:rFonts w:ascii="Arial" w:cs="Arial" w:eastAsia="Arial" w:hAnsi="Arial"/>
          <w:sz w:val="18"/>
          <w:szCs w:val="18"/>
          <w:b w:val="1"/>
          <w:bCs w:val="1"/>
          <w:color w:val="auto"/>
        </w:rPr>
        <w:t>L3 Consolidated EPS Adjustments</w:t>
      </w:r>
      <w:r>
        <w:rPr>
          <w:sz w:val="20"/>
          <w:szCs w:val="20"/>
          <w:color w:val="auto"/>
        </w:rPr>
        <w:tab/>
      </w:r>
      <w:r>
        <w:rPr>
          <w:rFonts w:ascii="Arial" w:cs="Arial" w:eastAsia="Arial" w:hAnsi="Arial"/>
          <w:sz w:val="16"/>
          <w:szCs w:val="16"/>
          <w:b w:val="1"/>
          <w:bCs w:val="1"/>
          <w:color w:val="auto"/>
        </w:rPr>
        <w:t>L3 Consolidated FCF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071870" cy="21266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71870" cy="212661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p>
      <w:pPr>
        <w:spacing w:after="0" w:line="94" w:lineRule="exact"/>
        <w:rPr>
          <w:sz w:val="20"/>
          <w:szCs w:val="20"/>
          <w:color w:val="auto"/>
        </w:rPr>
      </w:pPr>
    </w:p>
    <w:p>
      <w:pPr>
        <w:ind w:left="240" w:hanging="179"/>
        <w:spacing w:after="0" w:line="274" w:lineRule="auto"/>
        <w:tabs>
          <w:tab w:leader="none" w:pos="249"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Impairment losses on goodwill and other intangible assets, or on debt or equity investments</w:t>
      </w:r>
    </w:p>
    <w:p>
      <w:pPr>
        <w:ind w:left="240" w:right="720" w:hanging="179"/>
        <w:spacing w:after="0" w:line="274" w:lineRule="auto"/>
        <w:tabs>
          <w:tab w:leader="none" w:pos="249" w:val="left"/>
        </w:tabs>
        <w:numPr>
          <w:ilvl w:val="0"/>
          <w:numId w:val="57"/>
        </w:numPr>
        <w:rPr>
          <w:rFonts w:ascii="Arial" w:cs="Arial" w:eastAsia="Arial" w:hAnsi="Arial"/>
          <w:sz w:val="18"/>
          <w:szCs w:val="18"/>
          <w:color w:val="auto"/>
        </w:rPr>
      </w:pPr>
      <w:r>
        <w:rPr>
          <w:rFonts w:ascii="Arial" w:cs="Arial" w:eastAsia="Arial" w:hAnsi="Arial"/>
          <w:sz w:val="18"/>
          <w:szCs w:val="18"/>
          <w:color w:val="auto"/>
        </w:rPr>
        <w:t>Gains or losses on retirement of debt, or on asset dispositions</w:t>
      </w:r>
    </w:p>
    <w:p>
      <w:pPr>
        <w:ind w:left="240" w:right="480" w:hanging="179"/>
        <w:spacing w:after="0" w:line="308" w:lineRule="auto"/>
        <w:tabs>
          <w:tab w:leader="none" w:pos="2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Extraordinary gains and losses under U.S. generally accepted accounting principles (“GAAP”)</w:t>
      </w:r>
    </w:p>
    <w:p>
      <w:pPr>
        <w:ind w:left="260" w:hanging="199"/>
        <w:spacing w:after="0"/>
        <w:tabs>
          <w:tab w:leader="none" w:pos="2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Non-cash gains or losses on discontinued operations</w:t>
      </w:r>
    </w:p>
    <w:p>
      <w:pPr>
        <w:spacing w:after="0" w:line="61" w:lineRule="exact"/>
        <w:rPr>
          <w:rFonts w:ascii="Arial" w:cs="Arial" w:eastAsia="Arial" w:hAnsi="Arial"/>
          <w:sz w:val="17"/>
          <w:szCs w:val="17"/>
          <w:color w:val="auto"/>
        </w:rPr>
      </w:pPr>
    </w:p>
    <w:p>
      <w:pPr>
        <w:ind w:left="240" w:right="200" w:hanging="179"/>
        <w:spacing w:after="0" w:line="274" w:lineRule="auto"/>
        <w:tabs>
          <w:tab w:leader="none" w:pos="249"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New accounting standards required to be adopted under GAAP or SEC rules</w:t>
      </w:r>
    </w:p>
    <w:p>
      <w:pPr>
        <w:ind w:left="240" w:right="260" w:hanging="179"/>
        <w:spacing w:after="0" w:line="290" w:lineRule="auto"/>
        <w:tabs>
          <w:tab w:leader="none" w:pos="249" w:val="left"/>
        </w:tabs>
        <w:numPr>
          <w:ilvl w:val="0"/>
          <w:numId w:val="57"/>
        </w:numPr>
        <w:rPr>
          <w:rFonts w:ascii="Arial" w:cs="Arial" w:eastAsia="Arial" w:hAnsi="Arial"/>
          <w:sz w:val="17"/>
          <w:szCs w:val="17"/>
          <w:color w:val="auto"/>
        </w:rPr>
      </w:pPr>
      <w:r>
        <w:rPr>
          <w:rFonts w:ascii="Arial" w:cs="Arial" w:eastAsia="Arial" w:hAnsi="Arial"/>
          <w:sz w:val="17"/>
          <w:szCs w:val="17"/>
          <w:color w:val="auto"/>
        </w:rPr>
        <w:t>Gains or losses on litigation matters at or exceeding $5 million individually or $25 million in the aggregate</w:t>
      </w:r>
    </w:p>
    <w:p>
      <w:pPr>
        <w:ind w:left="240" w:right="120" w:hanging="179"/>
        <w:spacing w:after="0" w:line="264" w:lineRule="auto"/>
        <w:tabs>
          <w:tab w:leader="none" w:pos="249" w:val="left"/>
        </w:tabs>
        <w:numPr>
          <w:ilvl w:val="0"/>
          <w:numId w:val="57"/>
        </w:numPr>
        <w:rPr>
          <w:rFonts w:ascii="Arial" w:cs="Arial" w:eastAsia="Arial" w:hAnsi="Arial"/>
          <w:sz w:val="18"/>
          <w:szCs w:val="18"/>
          <w:color w:val="auto"/>
        </w:rPr>
      </w:pPr>
      <w:r>
        <w:rPr>
          <w:rFonts w:ascii="Arial" w:cs="Arial" w:eastAsia="Arial" w:hAnsi="Arial"/>
          <w:sz w:val="18"/>
          <w:szCs w:val="18"/>
          <w:color w:val="auto"/>
        </w:rPr>
        <w:t>Gains or losses related to the resolution of income tax contingencies for business acquisitions that existed at the date of acquisition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193" w:right="220" w:hanging="193"/>
        <w:spacing w:after="0" w:line="264" w:lineRule="auto"/>
        <w:tabs>
          <w:tab w:leader="none" w:pos="202"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Discretionary contributions to pension plans that exceed the amount forecasted in L3’s plan established in February of the fiscal year</w:t>
      </w:r>
    </w:p>
    <w:p>
      <w:pPr>
        <w:spacing w:after="0" w:line="5" w:lineRule="exact"/>
        <w:rPr>
          <w:rFonts w:ascii="Arial" w:cs="Arial" w:eastAsia="Arial" w:hAnsi="Arial"/>
          <w:sz w:val="18"/>
          <w:szCs w:val="18"/>
          <w:color w:val="auto"/>
        </w:rPr>
      </w:pPr>
    </w:p>
    <w:p>
      <w:pPr>
        <w:ind w:left="193" w:right="240" w:hanging="193"/>
        <w:spacing w:after="0" w:line="299" w:lineRule="auto"/>
        <w:tabs>
          <w:tab w:leader="none" w:pos="202" w:val="left"/>
        </w:tabs>
        <w:numPr>
          <w:ilvl w:val="0"/>
          <w:numId w:val="58"/>
        </w:numPr>
        <w:rPr>
          <w:rFonts w:ascii="Arial" w:cs="Arial" w:eastAsia="Arial" w:hAnsi="Arial"/>
          <w:sz w:val="16"/>
          <w:szCs w:val="16"/>
          <w:color w:val="auto"/>
        </w:rPr>
      </w:pPr>
      <w:r>
        <w:rPr>
          <w:rFonts w:ascii="Arial" w:cs="Arial" w:eastAsia="Arial" w:hAnsi="Arial"/>
          <w:sz w:val="16"/>
          <w:szCs w:val="16"/>
          <w:color w:val="auto"/>
        </w:rPr>
        <w:t>Premiums and other payments in excess of principal and interest associated with the retirement of debt, including income taxes incurred in connection with the debt retirement</w:t>
      </w:r>
    </w:p>
    <w:p>
      <w:pPr>
        <w:spacing w:after="0" w:line="1" w:lineRule="exact"/>
        <w:rPr>
          <w:rFonts w:ascii="Arial" w:cs="Arial" w:eastAsia="Arial" w:hAnsi="Arial"/>
          <w:sz w:val="16"/>
          <w:szCs w:val="16"/>
          <w:color w:val="auto"/>
        </w:rPr>
      </w:pPr>
    </w:p>
    <w:p>
      <w:pPr>
        <w:jc w:val="both"/>
        <w:ind w:left="193" w:right="280" w:hanging="193"/>
        <w:spacing w:after="0" w:line="264" w:lineRule="auto"/>
        <w:tabs>
          <w:tab w:leader="none" w:pos="19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Tax payments or benefits associated with gains or losses on business divestitures in determining net cash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784860</wp:posOffset>
            </wp:positionV>
            <wp:extent cx="60718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396" w:lineRule="exact"/>
        <w:rPr>
          <w:sz w:val="20"/>
          <w:szCs w:val="20"/>
          <w:color w:val="auto"/>
        </w:rPr>
      </w:pPr>
    </w:p>
    <w:p>
      <w:pPr>
        <w:sectPr>
          <w:pgSz w:w="11900" w:h="16838" w:orient="portrait"/>
          <w:cols w:equalWidth="0" w:num="2">
            <w:col w:w="4480" w:space="267"/>
            <w:col w:w="4813"/>
          </w:cols>
          <w:pgMar w:left="1180" w:top="279" w:right="1159" w:bottom="1440" w:gutter="0" w:footer="0" w:header="0"/>
          <w:type w:val="continuous"/>
        </w:sectPr>
      </w:pPr>
    </w:p>
    <w:p>
      <w:pPr>
        <w:jc w:val="both"/>
        <w:ind w:right="320"/>
        <w:spacing w:after="0" w:line="279" w:lineRule="auto"/>
        <w:rPr>
          <w:sz w:val="20"/>
          <w:szCs w:val="20"/>
          <w:color w:val="auto"/>
        </w:rPr>
      </w:pPr>
      <w:r>
        <w:rPr>
          <w:rFonts w:ascii="Arial" w:cs="Arial" w:eastAsia="Arial" w:hAnsi="Arial"/>
          <w:sz w:val="17"/>
          <w:szCs w:val="17"/>
          <w:color w:val="auto"/>
        </w:rPr>
        <w:t>The group OI and FCF performance targets are subject to adjustment based on acquisitions or dispositions that occur during the fiscal year, or to account for internal realignments that result in business units being transferred from one group to another group during the fiscal year. In addition, the group OI and FCF results reflect adjustments to account for the impact of non-operational items that were not anticipated at the time the group performance targets were established.</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connection with its evaluation of L3’s performance under the annual incentive plan, the Committee also reviewed the impact of the Company’s share repurchase program on its actual consolidated EPS results for 2016, and concluded that no further adjustment to the Company’s actual EPS results for 2016 was warranted because the Company’s actual weighted average diluted shares outstanding for 2016 was materially consistent with the 2016 Plan assumptions.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Each named executive officer’s 2016 financial rating, based on actual performance relative to their performance targets, is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60718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Financial Performance Achieved Relative to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60718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005C7D"/>
            </w:tcBorders>
          </w:tcPr>
          <w:p>
            <w:pPr>
              <w:spacing w:after="0"/>
              <w:rPr>
                <w:sz w:val="14"/>
                <w:szCs w:val="14"/>
                <w:color w:val="auto"/>
              </w:rPr>
            </w:pPr>
          </w:p>
        </w:tc>
        <w:tc>
          <w:tcPr>
            <w:tcW w:w="380" w:type="dxa"/>
            <w:vAlign w:val="bottom"/>
            <w:tcBorders>
              <w:bottom w:val="single" w:sz="8" w:color="005C7D"/>
            </w:tcBorders>
          </w:tcPr>
          <w:p>
            <w:pPr>
              <w:spacing w:after="0"/>
              <w:rPr>
                <w:sz w:val="14"/>
                <w:szCs w:val="14"/>
                <w:color w:val="auto"/>
              </w:rPr>
            </w:pPr>
          </w:p>
        </w:tc>
        <w:tc>
          <w:tcPr>
            <w:tcW w:w="2560" w:type="dxa"/>
            <w:vAlign w:val="bottom"/>
            <w:tcBorders>
              <w:bottom w:val="single" w:sz="8" w:color="005C7D"/>
            </w:tcBorders>
            <w:gridSpan w:val="8"/>
          </w:tcPr>
          <w:p>
            <w:pPr>
              <w:ind w:left="20"/>
              <w:spacing w:after="0"/>
              <w:rPr>
                <w:sz w:val="20"/>
                <w:szCs w:val="20"/>
                <w:color w:val="auto"/>
              </w:rPr>
            </w:pPr>
            <w:r>
              <w:rPr>
                <w:rFonts w:ascii="Arial" w:cs="Arial" w:eastAsia="Arial" w:hAnsi="Arial"/>
                <w:sz w:val="14"/>
                <w:szCs w:val="14"/>
                <w:b w:val="1"/>
                <w:bCs w:val="1"/>
                <w:color w:val="auto"/>
                <w:w w:val="96"/>
              </w:rPr>
              <w:t>Corporate Level Financial Performance</w:t>
            </w:r>
          </w:p>
        </w:tc>
        <w:tc>
          <w:tcPr>
            <w:tcW w:w="460" w:type="dxa"/>
            <w:vAlign w:val="bottom"/>
            <w:tcBorders>
              <w:bottom w:val="single" w:sz="8" w:color="005C7D"/>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005C7D"/>
            </w:tcBorders>
          </w:tcPr>
          <w:p>
            <w:pPr>
              <w:spacing w:after="0"/>
              <w:rPr>
                <w:sz w:val="14"/>
                <w:szCs w:val="14"/>
                <w:color w:val="auto"/>
              </w:rPr>
            </w:pPr>
          </w:p>
        </w:tc>
        <w:tc>
          <w:tcPr>
            <w:tcW w:w="440" w:type="dxa"/>
            <w:vAlign w:val="bottom"/>
            <w:tcBorders>
              <w:bottom w:val="single" w:sz="8" w:color="005C7D"/>
            </w:tcBorders>
          </w:tcPr>
          <w:p>
            <w:pPr>
              <w:spacing w:after="0"/>
              <w:rPr>
                <w:sz w:val="14"/>
                <w:szCs w:val="14"/>
                <w:color w:val="auto"/>
              </w:rPr>
            </w:pPr>
          </w:p>
        </w:tc>
        <w:tc>
          <w:tcPr>
            <w:tcW w:w="2520" w:type="dxa"/>
            <w:vAlign w:val="bottom"/>
            <w:tcBorders>
              <w:bottom w:val="single" w:sz="8" w:color="005C7D"/>
            </w:tcBorders>
            <w:gridSpan w:val="6"/>
          </w:tcPr>
          <w:p>
            <w:pPr>
              <w:jc w:val="right"/>
              <w:ind w:right="148"/>
              <w:spacing w:after="0"/>
              <w:rPr>
                <w:sz w:val="20"/>
                <w:szCs w:val="20"/>
                <w:color w:val="auto"/>
              </w:rPr>
            </w:pPr>
            <w:r>
              <w:rPr>
                <w:rFonts w:ascii="Arial" w:cs="Arial" w:eastAsia="Arial" w:hAnsi="Arial"/>
                <w:sz w:val="14"/>
                <w:szCs w:val="14"/>
                <w:b w:val="1"/>
                <w:bCs w:val="1"/>
                <w:color w:val="auto"/>
                <w:w w:val="96"/>
              </w:rPr>
              <w:t>Group Level Financial Performance</w:t>
            </w:r>
          </w:p>
        </w:tc>
        <w:tc>
          <w:tcPr>
            <w:tcW w:w="500" w:type="dxa"/>
            <w:vAlign w:val="bottom"/>
            <w:tcBorders>
              <w:bottom w:val="single" w:sz="8" w:color="005C7D"/>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2"/>
              </w:rPr>
              <w:t>Free Cash Flow</w:t>
            </w:r>
          </w:p>
        </w:tc>
        <w:tc>
          <w:tcPr>
            <w:tcW w:w="200" w:type="dxa"/>
            <w:vAlign w:val="bottom"/>
          </w:tcPr>
          <w:p>
            <w:pPr>
              <w:spacing w:after="0"/>
              <w:rPr>
                <w:sz w:val="15"/>
                <w:szCs w:val="15"/>
                <w:color w:val="auto"/>
              </w:rPr>
            </w:pPr>
          </w:p>
        </w:tc>
        <w:tc>
          <w:tcPr>
            <w:tcW w:w="1700" w:type="dxa"/>
            <w:vAlign w:val="bottom"/>
            <w:gridSpan w:val="4"/>
          </w:tcPr>
          <w:p>
            <w:pPr>
              <w:ind w:left="100"/>
              <w:spacing w:after="0"/>
              <w:rPr>
                <w:sz w:val="20"/>
                <w:szCs w:val="20"/>
                <w:color w:val="auto"/>
              </w:rPr>
            </w:pPr>
            <w:r>
              <w:rPr>
                <w:rFonts w:ascii="Arial" w:cs="Arial" w:eastAsia="Arial" w:hAnsi="Arial"/>
                <w:sz w:val="14"/>
                <w:szCs w:val="14"/>
                <w:b w:val="1"/>
                <w:bCs w:val="1"/>
                <w:color w:val="auto"/>
              </w:rPr>
              <w:t>Operating Income</w:t>
            </w:r>
          </w:p>
        </w:tc>
        <w:tc>
          <w:tcPr>
            <w:tcW w:w="240" w:type="dxa"/>
            <w:vAlign w:val="bottom"/>
          </w:tcPr>
          <w:p>
            <w:pPr>
              <w:spacing w:after="0"/>
              <w:rPr>
                <w:sz w:val="15"/>
                <w:szCs w:val="15"/>
                <w:color w:val="auto"/>
              </w:rPr>
            </w:pPr>
          </w:p>
        </w:tc>
        <w:tc>
          <w:tcPr>
            <w:tcW w:w="1640" w:type="dxa"/>
            <w:vAlign w:val="bottom"/>
            <w:gridSpan w:val="4"/>
          </w:tcPr>
          <w:p>
            <w:pPr>
              <w:ind w:left="160"/>
              <w:spacing w:after="0"/>
              <w:rPr>
                <w:sz w:val="20"/>
                <w:szCs w:val="20"/>
                <w:color w:val="auto"/>
              </w:rPr>
            </w:pPr>
            <w:r>
              <w:rPr>
                <w:rFonts w:ascii="Arial" w:cs="Arial" w:eastAsia="Arial" w:hAnsi="Arial"/>
                <w:sz w:val="14"/>
                <w:szCs w:val="14"/>
                <w:b w:val="1"/>
                <w:bCs w:val="1"/>
                <w:color w:val="auto"/>
              </w:rPr>
              <w:t>Free Cash Flow</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005C7D"/>
            </w:tcBorders>
          </w:tcPr>
          <w:p>
            <w:pPr>
              <w:spacing w:after="0"/>
              <w:rPr>
                <w:sz w:val="14"/>
                <w:szCs w:val="14"/>
                <w:color w:val="auto"/>
              </w:rPr>
            </w:pPr>
          </w:p>
        </w:tc>
        <w:tc>
          <w:tcPr>
            <w:tcW w:w="1540" w:type="dxa"/>
            <w:vAlign w:val="bottom"/>
            <w:tcBorders>
              <w:bottom w:val="single" w:sz="8" w:color="005C7D"/>
            </w:tcBorders>
            <w:gridSpan w:val="4"/>
          </w:tcPr>
          <w:p>
            <w:pPr>
              <w:jc w:val="right"/>
              <w:ind w:right="260"/>
              <w:spacing w:after="0"/>
              <w:rPr>
                <w:sz w:val="20"/>
                <w:szCs w:val="20"/>
                <w:color w:val="auto"/>
              </w:rPr>
            </w:pPr>
            <w:r>
              <w:rPr>
                <w:rFonts w:ascii="Arial" w:cs="Arial" w:eastAsia="Arial" w:hAnsi="Arial"/>
                <w:sz w:val="14"/>
                <w:szCs w:val="14"/>
                <w:b w:val="1"/>
                <w:bCs w:val="1"/>
                <w:color w:val="auto"/>
                <w:w w:val="97"/>
              </w:rPr>
              <w:t>Earnings Per Share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005C7D"/>
            </w:tcBorders>
          </w:tcPr>
          <w:p>
            <w:pPr>
              <w:spacing w:after="0"/>
              <w:rPr>
                <w:sz w:val="14"/>
                <w:szCs w:val="14"/>
                <w:color w:val="auto"/>
              </w:rPr>
            </w:pPr>
          </w:p>
        </w:tc>
        <w:tc>
          <w:tcPr>
            <w:tcW w:w="1020" w:type="dxa"/>
            <w:vAlign w:val="bottom"/>
            <w:tcBorders>
              <w:bottom w:val="single" w:sz="8" w:color="005C7D"/>
            </w:tcBorders>
            <w:gridSpan w:val="2"/>
          </w:tcPr>
          <w:p>
            <w:pPr>
              <w:jc w:val="center"/>
              <w:ind w:left="168"/>
              <w:spacing w:after="0"/>
              <w:rPr>
                <w:sz w:val="20"/>
                <w:szCs w:val="20"/>
                <w:color w:val="auto"/>
              </w:rPr>
            </w:pPr>
            <w:r>
              <w:rPr>
                <w:rFonts w:ascii="Arial" w:cs="Arial" w:eastAsia="Arial" w:hAnsi="Arial"/>
                <w:sz w:val="14"/>
                <w:szCs w:val="14"/>
                <w:b w:val="1"/>
                <w:bCs w:val="1"/>
                <w:color w:val="auto"/>
                <w:w w:val="94"/>
              </w:rPr>
              <w:t>(in millions)</w:t>
            </w:r>
          </w:p>
        </w:tc>
        <w:tc>
          <w:tcPr>
            <w:tcW w:w="460" w:type="dxa"/>
            <w:vAlign w:val="bottom"/>
            <w:tcBorders>
              <w:bottom w:val="single" w:sz="8" w:color="005C7D"/>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005C7D"/>
            </w:tcBorders>
          </w:tcPr>
          <w:p>
            <w:pPr>
              <w:spacing w:after="0"/>
              <w:rPr>
                <w:sz w:val="14"/>
                <w:szCs w:val="14"/>
                <w:color w:val="auto"/>
              </w:rPr>
            </w:pPr>
          </w:p>
        </w:tc>
        <w:tc>
          <w:tcPr>
            <w:tcW w:w="1060" w:type="dxa"/>
            <w:vAlign w:val="bottom"/>
            <w:tcBorders>
              <w:bottom w:val="single" w:sz="8" w:color="005C7D"/>
            </w:tcBorders>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Borders>
              <w:bottom w:val="single" w:sz="8" w:color="005C7D"/>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005C7D"/>
            </w:tcBorders>
          </w:tcPr>
          <w:p>
            <w:pPr>
              <w:spacing w:after="0"/>
              <w:rPr>
                <w:sz w:val="14"/>
                <w:szCs w:val="14"/>
                <w:color w:val="auto"/>
              </w:rPr>
            </w:pPr>
          </w:p>
        </w:tc>
        <w:tc>
          <w:tcPr>
            <w:tcW w:w="1020" w:type="dxa"/>
            <w:vAlign w:val="bottom"/>
            <w:tcBorders>
              <w:bottom w:val="single" w:sz="8" w:color="005C7D"/>
            </w:tcBorders>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Borders>
              <w:bottom w:val="single" w:sz="8" w:color="005C7D"/>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Financial</w:t>
            </w:r>
          </w:p>
        </w:tc>
        <w:tc>
          <w:tcPr>
            <w:tcW w:w="0" w:type="dxa"/>
            <w:vAlign w:val="bottom"/>
          </w:tcPr>
          <w:p>
            <w:pPr>
              <w:spacing w:after="0"/>
              <w:rPr>
                <w:sz w:val="1"/>
                <w:szCs w:val="1"/>
                <w:color w:val="auto"/>
              </w:rPr>
            </w:pPr>
          </w:p>
        </w:tc>
      </w:tr>
      <w:tr>
        <w:trPr>
          <w:trHeight w:val="38"/>
        </w:trPr>
        <w:tc>
          <w:tcPr>
            <w:tcW w:w="1280" w:type="dxa"/>
            <w:vAlign w:val="bottom"/>
          </w:tcPr>
          <w:p>
            <w:pPr>
              <w:spacing w:after="0"/>
              <w:rPr>
                <w:sz w:val="3"/>
                <w:szCs w:val="3"/>
                <w:color w:val="auto"/>
              </w:rPr>
            </w:pPr>
          </w:p>
        </w:tc>
        <w:tc>
          <w:tcPr>
            <w:tcW w:w="620" w:type="dxa"/>
            <w:vAlign w:val="bottom"/>
            <w:gridSpan w:val="3"/>
            <w:vMerge w:val="restart"/>
          </w:tcPr>
          <w:p>
            <w:pPr>
              <w:ind w:left="60"/>
              <w:spacing w:after="0" w:line="224" w:lineRule="exact"/>
              <w:rPr>
                <w:sz w:val="20"/>
                <w:szCs w:val="20"/>
                <w:color w:val="auto"/>
              </w:rPr>
            </w:pPr>
            <w:r>
              <w:rPr>
                <w:rFonts w:ascii="Arial" w:cs="Arial" w:eastAsia="Arial" w:hAnsi="Arial"/>
                <w:sz w:val="14"/>
                <w:szCs w:val="14"/>
                <w:b w:val="1"/>
                <w:bCs w:val="1"/>
                <w:color w:val="auto"/>
                <w:w w:val="86"/>
              </w:rPr>
              <w:t>Actual</w:t>
            </w:r>
            <w:r>
              <w:rPr>
                <w:rFonts w:ascii="Arial" w:cs="Arial" w:eastAsia="Arial" w:hAnsi="Arial"/>
                <w:sz w:val="24"/>
                <w:szCs w:val="24"/>
                <w:b w:val="1"/>
                <w:bCs w:val="1"/>
                <w:color w:val="auto"/>
                <w:w w:val="86"/>
                <w:vertAlign w:val="superscript"/>
              </w:rPr>
              <w:t>(1)</w:t>
            </w: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gridSpan w:val="3"/>
            <w:vMerge w:val="restart"/>
          </w:tcPr>
          <w:p>
            <w:pPr>
              <w:ind w:left="40"/>
              <w:spacing w:after="0" w:line="224" w:lineRule="exact"/>
              <w:rPr>
                <w:sz w:val="20"/>
                <w:szCs w:val="20"/>
                <w:color w:val="auto"/>
              </w:rPr>
            </w:pPr>
            <w:r>
              <w:rPr>
                <w:rFonts w:ascii="Arial" w:cs="Arial" w:eastAsia="Arial" w:hAnsi="Arial"/>
                <w:sz w:val="14"/>
                <w:szCs w:val="14"/>
                <w:b w:val="1"/>
                <w:bCs w:val="1"/>
                <w:color w:val="auto"/>
                <w:w w:val="99"/>
              </w:rPr>
              <w:t>Actual</w:t>
            </w:r>
            <w:r>
              <w:rPr>
                <w:rFonts w:ascii="Arial" w:cs="Arial" w:eastAsia="Arial" w:hAnsi="Arial"/>
                <w:sz w:val="24"/>
                <w:szCs w:val="24"/>
                <w:b w:val="1"/>
                <w:bCs w:val="1"/>
                <w:color w:val="auto"/>
                <w:w w:val="99"/>
                <w:vertAlign w:val="superscript"/>
              </w:rPr>
              <w:t>(1)</w:t>
            </w: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gridSpan w:val="2"/>
            <w:vMerge w:val="restart"/>
          </w:tcPr>
          <w:p>
            <w:pPr>
              <w:ind w:left="20"/>
              <w:spacing w:after="0" w:line="224" w:lineRule="exact"/>
              <w:rPr>
                <w:sz w:val="20"/>
                <w:szCs w:val="20"/>
                <w:color w:val="auto"/>
              </w:rPr>
            </w:pPr>
            <w:r>
              <w:rPr>
                <w:rFonts w:ascii="Arial" w:cs="Arial" w:eastAsia="Arial" w:hAnsi="Arial"/>
                <w:sz w:val="14"/>
                <w:szCs w:val="14"/>
                <w:b w:val="1"/>
                <w:bCs w:val="1"/>
                <w:color w:val="auto"/>
                <w:w w:val="96"/>
              </w:rPr>
              <w:t>Actual</w:t>
            </w:r>
            <w:r>
              <w:rPr>
                <w:rFonts w:ascii="Arial" w:cs="Arial" w:eastAsia="Arial" w:hAnsi="Arial"/>
                <w:sz w:val="24"/>
                <w:szCs w:val="24"/>
                <w:b w:val="1"/>
                <w:bCs w:val="1"/>
                <w:color w:val="auto"/>
                <w:w w:val="96"/>
                <w:vertAlign w:val="superscript"/>
              </w:rPr>
              <w:t>(1)</w:t>
            </w: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gridSpan w:val="2"/>
            <w:vMerge w:val="restart"/>
          </w:tcPr>
          <w:p>
            <w:pPr>
              <w:ind w:left="20"/>
              <w:spacing w:after="0" w:line="224" w:lineRule="exact"/>
              <w:rPr>
                <w:sz w:val="20"/>
                <w:szCs w:val="20"/>
                <w:color w:val="auto"/>
              </w:rPr>
            </w:pPr>
            <w:r>
              <w:rPr>
                <w:rFonts w:ascii="Arial" w:cs="Arial" w:eastAsia="Arial" w:hAnsi="Arial"/>
                <w:sz w:val="14"/>
                <w:szCs w:val="14"/>
                <w:b w:val="1"/>
                <w:bCs w:val="1"/>
                <w:color w:val="auto"/>
              </w:rPr>
              <w:t>Actual</w:t>
            </w:r>
            <w:r>
              <w:rPr>
                <w:rFonts w:ascii="Arial" w:cs="Arial" w:eastAsia="Arial" w:hAnsi="Arial"/>
                <w:sz w:val="24"/>
                <w:szCs w:val="24"/>
                <w:b w:val="1"/>
                <w:bCs w:val="1"/>
                <w:color w:val="auto"/>
                <w:vertAlign w:val="superscript"/>
              </w:rPr>
              <w:t>(1)</w:t>
            </w: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280" w:type="dxa"/>
            <w:vAlign w:val="bottom"/>
            <w:tcBorders>
              <w:bottom w:val="single" w:sz="8" w:color="005C7D"/>
            </w:tcBorders>
          </w:tcPr>
          <w:p>
            <w:pPr>
              <w:spacing w:after="0"/>
              <w:rPr>
                <w:sz w:val="16"/>
                <w:szCs w:val="16"/>
                <w:color w:val="auto"/>
              </w:rPr>
            </w:pPr>
          </w:p>
        </w:tc>
        <w:tc>
          <w:tcPr>
            <w:tcW w:w="620" w:type="dxa"/>
            <w:vAlign w:val="bottom"/>
            <w:tcBorders>
              <w:bottom w:val="single" w:sz="8" w:color="005C7D"/>
            </w:tcBorders>
            <w:gridSpan w:val="3"/>
            <w:vMerge w:val="continue"/>
          </w:tcPr>
          <w:p>
            <w:pPr>
              <w:spacing w:after="0"/>
              <w:rPr>
                <w:sz w:val="16"/>
                <w:szCs w:val="16"/>
                <w:color w:val="auto"/>
              </w:rPr>
            </w:pPr>
          </w:p>
        </w:tc>
        <w:tc>
          <w:tcPr>
            <w:tcW w:w="600" w:type="dxa"/>
            <w:vAlign w:val="bottom"/>
            <w:tcBorders>
              <w:bottom w:val="single" w:sz="8" w:color="005C7D"/>
            </w:tcBorders>
          </w:tcPr>
          <w:p>
            <w:pPr>
              <w:ind w:left="200"/>
              <w:spacing w:after="0"/>
              <w:rPr>
                <w:sz w:val="20"/>
                <w:szCs w:val="20"/>
                <w:color w:val="auto"/>
              </w:rPr>
            </w:pPr>
            <w:r>
              <w:rPr>
                <w:rFonts w:ascii="Arial" w:cs="Arial" w:eastAsia="Arial" w:hAnsi="Arial"/>
                <w:sz w:val="14"/>
                <w:szCs w:val="14"/>
                <w:b w:val="1"/>
                <w:bCs w:val="1"/>
                <w:color w:val="auto"/>
              </w:rPr>
              <w:t>Plan</w:t>
            </w:r>
          </w:p>
        </w:tc>
        <w:tc>
          <w:tcPr>
            <w:tcW w:w="680" w:type="dxa"/>
            <w:vAlign w:val="bottom"/>
            <w:tcBorders>
              <w:bottom w:val="single" w:sz="8" w:color="005C7D"/>
            </w:tcBorders>
            <w:gridSpan w:val="3"/>
          </w:tcPr>
          <w:p>
            <w:pPr>
              <w:jc w:val="right"/>
              <w:ind w:right="140"/>
              <w:spacing w:after="0"/>
              <w:rPr>
                <w:sz w:val="20"/>
                <w:szCs w:val="20"/>
                <w:color w:val="auto"/>
              </w:rPr>
            </w:pPr>
            <w:r>
              <w:rPr>
                <w:rFonts w:ascii="Arial" w:cs="Arial" w:eastAsia="Arial" w:hAnsi="Arial"/>
                <w:sz w:val="14"/>
                <w:szCs w:val="14"/>
                <w:b w:val="1"/>
                <w:bCs w:val="1"/>
                <w:color w:val="auto"/>
              </w:rPr>
              <w:t>Weight</w:t>
            </w:r>
          </w:p>
        </w:tc>
        <w:tc>
          <w:tcPr>
            <w:tcW w:w="680" w:type="dxa"/>
            <w:vAlign w:val="bottom"/>
            <w:tcBorders>
              <w:bottom w:val="single" w:sz="8" w:color="005C7D"/>
            </w:tcBorders>
            <w:gridSpan w:val="3"/>
            <w:vMerge w:val="continue"/>
          </w:tcPr>
          <w:p>
            <w:pPr>
              <w:spacing w:after="0"/>
              <w:rPr>
                <w:sz w:val="16"/>
                <w:szCs w:val="16"/>
                <w:color w:val="auto"/>
              </w:rPr>
            </w:pPr>
          </w:p>
        </w:tc>
        <w:tc>
          <w:tcPr>
            <w:tcW w:w="600" w:type="dxa"/>
            <w:vAlign w:val="bottom"/>
            <w:tcBorders>
              <w:bottom w:val="single" w:sz="8" w:color="005C7D"/>
            </w:tcBorders>
          </w:tcPr>
          <w:p>
            <w:pPr>
              <w:ind w:left="100"/>
              <w:spacing w:after="0"/>
              <w:rPr>
                <w:sz w:val="20"/>
                <w:szCs w:val="20"/>
                <w:color w:val="auto"/>
              </w:rPr>
            </w:pPr>
            <w:r>
              <w:rPr>
                <w:rFonts w:ascii="Arial" w:cs="Arial" w:eastAsia="Arial" w:hAnsi="Arial"/>
                <w:sz w:val="14"/>
                <w:szCs w:val="14"/>
                <w:b w:val="1"/>
                <w:bCs w:val="1"/>
                <w:color w:val="auto"/>
              </w:rPr>
              <w:t>Plan</w:t>
            </w:r>
          </w:p>
        </w:tc>
        <w:tc>
          <w:tcPr>
            <w:tcW w:w="640" w:type="dxa"/>
            <w:vAlign w:val="bottom"/>
            <w:tcBorders>
              <w:bottom w:val="single" w:sz="8" w:color="005C7D"/>
            </w:tcBorders>
            <w:gridSpan w:val="2"/>
          </w:tcPr>
          <w:p>
            <w:pPr>
              <w:jc w:val="right"/>
              <w:ind w:right="200"/>
              <w:spacing w:after="0"/>
              <w:rPr>
                <w:sz w:val="20"/>
                <w:szCs w:val="20"/>
                <w:color w:val="auto"/>
              </w:rPr>
            </w:pPr>
            <w:r>
              <w:rPr>
                <w:rFonts w:ascii="Arial" w:cs="Arial" w:eastAsia="Arial" w:hAnsi="Arial"/>
                <w:sz w:val="14"/>
                <w:szCs w:val="14"/>
                <w:b w:val="1"/>
                <w:bCs w:val="1"/>
                <w:color w:val="auto"/>
                <w:w w:val="89"/>
              </w:rPr>
              <w:t>Weight</w:t>
            </w:r>
          </w:p>
        </w:tc>
        <w:tc>
          <w:tcPr>
            <w:tcW w:w="640" w:type="dxa"/>
            <w:vAlign w:val="bottom"/>
            <w:tcBorders>
              <w:bottom w:val="single" w:sz="8" w:color="005C7D"/>
            </w:tcBorders>
            <w:gridSpan w:val="2"/>
            <w:vMerge w:val="continue"/>
          </w:tcPr>
          <w:p>
            <w:pPr>
              <w:spacing w:after="0"/>
              <w:rPr>
                <w:sz w:val="16"/>
                <w:szCs w:val="16"/>
                <w:color w:val="auto"/>
              </w:rPr>
            </w:pPr>
          </w:p>
        </w:tc>
        <w:tc>
          <w:tcPr>
            <w:tcW w:w="620" w:type="dxa"/>
            <w:vAlign w:val="bottom"/>
            <w:tcBorders>
              <w:bottom w:val="single" w:sz="8" w:color="005C7D"/>
            </w:tcBorders>
          </w:tcPr>
          <w:p>
            <w:pPr>
              <w:jc w:val="right"/>
              <w:ind w:right="148"/>
              <w:spacing w:after="0"/>
              <w:rPr>
                <w:sz w:val="20"/>
                <w:szCs w:val="20"/>
                <w:color w:val="auto"/>
              </w:rPr>
            </w:pPr>
            <w:r>
              <w:rPr>
                <w:rFonts w:ascii="Arial" w:cs="Arial" w:eastAsia="Arial" w:hAnsi="Arial"/>
                <w:sz w:val="14"/>
                <w:szCs w:val="14"/>
                <w:b w:val="1"/>
                <w:bCs w:val="1"/>
                <w:color w:val="auto"/>
              </w:rPr>
              <w:t>Plan</w:t>
            </w:r>
          </w:p>
        </w:tc>
        <w:tc>
          <w:tcPr>
            <w:tcW w:w="640" w:type="dxa"/>
            <w:vAlign w:val="bottom"/>
            <w:tcBorders>
              <w:bottom w:val="single" w:sz="8" w:color="005C7D"/>
            </w:tcBorders>
            <w:gridSpan w:val="2"/>
          </w:tcPr>
          <w:p>
            <w:pPr>
              <w:spacing w:after="0"/>
              <w:rPr>
                <w:sz w:val="20"/>
                <w:szCs w:val="20"/>
                <w:color w:val="auto"/>
              </w:rPr>
            </w:pPr>
            <w:r>
              <w:rPr>
                <w:rFonts w:ascii="Arial" w:cs="Arial" w:eastAsia="Arial" w:hAnsi="Arial"/>
                <w:sz w:val="14"/>
                <w:szCs w:val="14"/>
                <w:b w:val="1"/>
                <w:bCs w:val="1"/>
                <w:color w:val="auto"/>
              </w:rPr>
              <w:t>Weight</w:t>
            </w:r>
          </w:p>
        </w:tc>
        <w:tc>
          <w:tcPr>
            <w:tcW w:w="680" w:type="dxa"/>
            <w:vAlign w:val="bottom"/>
            <w:tcBorders>
              <w:bottom w:val="single" w:sz="8" w:color="005C7D"/>
            </w:tcBorders>
            <w:gridSpan w:val="2"/>
            <w:vMerge w:val="continue"/>
          </w:tcPr>
          <w:p>
            <w:pPr>
              <w:spacing w:after="0"/>
              <w:rPr>
                <w:sz w:val="16"/>
                <w:szCs w:val="16"/>
                <w:color w:val="auto"/>
              </w:rPr>
            </w:pPr>
          </w:p>
        </w:tc>
        <w:tc>
          <w:tcPr>
            <w:tcW w:w="580" w:type="dxa"/>
            <w:vAlign w:val="bottom"/>
            <w:tcBorders>
              <w:bottom w:val="single" w:sz="8" w:color="005C7D"/>
            </w:tcBorders>
          </w:tcPr>
          <w:p>
            <w:pPr>
              <w:jc w:val="right"/>
              <w:ind w:right="128"/>
              <w:spacing w:after="0"/>
              <w:rPr>
                <w:sz w:val="20"/>
                <w:szCs w:val="20"/>
                <w:color w:val="auto"/>
              </w:rPr>
            </w:pPr>
            <w:r>
              <w:rPr>
                <w:rFonts w:ascii="Arial" w:cs="Arial" w:eastAsia="Arial" w:hAnsi="Arial"/>
                <w:sz w:val="14"/>
                <w:szCs w:val="14"/>
                <w:b w:val="1"/>
                <w:bCs w:val="1"/>
                <w:color w:val="auto"/>
              </w:rPr>
              <w:t>Plan</w:t>
            </w:r>
          </w:p>
        </w:tc>
        <w:tc>
          <w:tcPr>
            <w:tcW w:w="620" w:type="dxa"/>
            <w:vAlign w:val="bottom"/>
            <w:tcBorders>
              <w:bottom w:val="single" w:sz="8" w:color="005C7D"/>
            </w:tcBorders>
            <w:gridSpan w:val="2"/>
          </w:tcPr>
          <w:p>
            <w:pPr>
              <w:ind w:left="20"/>
              <w:spacing w:after="0"/>
              <w:rPr>
                <w:sz w:val="20"/>
                <w:szCs w:val="20"/>
                <w:color w:val="auto"/>
              </w:rPr>
            </w:pPr>
            <w:r>
              <w:rPr>
                <w:rFonts w:ascii="Arial" w:cs="Arial" w:eastAsia="Arial" w:hAnsi="Arial"/>
                <w:sz w:val="14"/>
                <w:szCs w:val="14"/>
                <w:b w:val="1"/>
                <w:bCs w:val="1"/>
                <w:color w:val="auto"/>
              </w:rPr>
              <w:t>Weight</w:t>
            </w:r>
          </w:p>
        </w:tc>
        <w:tc>
          <w:tcPr>
            <w:tcW w:w="680" w:type="dxa"/>
            <w:vAlign w:val="bottom"/>
            <w:tcBorders>
              <w:bottom w:val="single" w:sz="8" w:color="005C7D"/>
            </w:tcBorders>
          </w:tcPr>
          <w:p>
            <w:pPr>
              <w:jc w:val="right"/>
              <w:ind w:right="68"/>
              <w:spacing w:after="0"/>
              <w:rPr>
                <w:sz w:val="20"/>
                <w:szCs w:val="20"/>
                <w:color w:val="auto"/>
              </w:rPr>
            </w:pPr>
            <w:r>
              <w:rPr>
                <w:rFonts w:ascii="Arial" w:cs="Arial" w:eastAsia="Arial" w:hAnsi="Arial"/>
                <w:sz w:val="14"/>
                <w:szCs w:val="14"/>
                <w:b w:val="1"/>
                <w:bCs w:val="1"/>
                <w:color w:val="auto"/>
              </w:rPr>
              <w:t>Rating</w:t>
            </w:r>
          </w:p>
        </w:tc>
        <w:tc>
          <w:tcPr>
            <w:tcW w:w="0" w:type="dxa"/>
            <w:vAlign w:val="bottom"/>
          </w:tcPr>
          <w:p>
            <w:pPr>
              <w:spacing w:after="0"/>
              <w:rPr>
                <w:sz w:val="1"/>
                <w:szCs w:val="1"/>
                <w:color w:val="auto"/>
              </w:rPr>
            </w:pPr>
          </w:p>
        </w:tc>
      </w:tr>
      <w:tr>
        <w:trPr>
          <w:trHeight w:val="183"/>
        </w:trPr>
        <w:tc>
          <w:tcPr>
            <w:tcW w:w="1280" w:type="dxa"/>
            <w:vAlign w:val="bottom"/>
            <w:shd w:val="clear" w:color="auto" w:fill="CDDAE6"/>
          </w:tcPr>
          <w:p>
            <w:pPr>
              <w:ind w:left="20"/>
              <w:spacing w:after="0"/>
              <w:rPr>
                <w:sz w:val="20"/>
                <w:szCs w:val="20"/>
                <w:color w:val="auto"/>
              </w:rPr>
            </w:pPr>
            <w:r>
              <w:rPr>
                <w:rFonts w:ascii="Arial" w:cs="Arial" w:eastAsia="Arial" w:hAnsi="Arial"/>
                <w:sz w:val="14"/>
                <w:szCs w:val="14"/>
                <w:color w:val="auto"/>
                <w:w w:val="97"/>
              </w:rPr>
              <w:t>Michael T. Strianese</w:t>
            </w:r>
          </w:p>
        </w:tc>
        <w:tc>
          <w:tcPr>
            <w:tcW w:w="240" w:type="dxa"/>
            <w:vAlign w:val="bottom"/>
            <w:gridSpan w:val="2"/>
            <w:shd w:val="clear" w:color="auto" w:fill="CDDAE6"/>
          </w:tcPr>
          <w:p>
            <w:pPr>
              <w:ind w:left="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DDAE6"/>
          </w:tcPr>
          <w:p>
            <w:pPr>
              <w:jc w:val="right"/>
              <w:spacing w:after="0"/>
              <w:rPr>
                <w:sz w:val="20"/>
                <w:szCs w:val="20"/>
                <w:color w:val="auto"/>
              </w:rPr>
            </w:pPr>
            <w:r>
              <w:rPr>
                <w:rFonts w:ascii="Arial" w:cs="Arial" w:eastAsia="Arial" w:hAnsi="Arial"/>
                <w:sz w:val="14"/>
                <w:szCs w:val="14"/>
                <w:color w:val="auto"/>
              </w:rPr>
              <w:t>8.05</w:t>
            </w:r>
          </w:p>
        </w:tc>
        <w:tc>
          <w:tcPr>
            <w:tcW w:w="600" w:type="dxa"/>
            <w:vAlign w:val="bottom"/>
            <w:shd w:val="clear" w:color="auto" w:fill="CDDAE6"/>
          </w:tcPr>
          <w:p>
            <w:pPr>
              <w:ind w:left="180"/>
              <w:spacing w:after="0"/>
              <w:rPr>
                <w:sz w:val="20"/>
                <w:szCs w:val="20"/>
                <w:color w:val="auto"/>
              </w:rPr>
            </w:pPr>
            <w:r>
              <w:rPr>
                <w:rFonts w:ascii="Arial" w:cs="Arial" w:eastAsia="Arial" w:hAnsi="Arial"/>
                <w:sz w:val="14"/>
                <w:szCs w:val="14"/>
                <w:color w:val="auto"/>
              </w:rPr>
              <w:t>$7.50</w:t>
            </w:r>
          </w:p>
        </w:tc>
        <w:tc>
          <w:tcPr>
            <w:tcW w:w="680" w:type="dxa"/>
            <w:vAlign w:val="bottom"/>
            <w:gridSpan w:val="3"/>
            <w:shd w:val="clear" w:color="auto" w:fill="CDDAE6"/>
          </w:tcPr>
          <w:p>
            <w:pPr>
              <w:jc w:val="right"/>
              <w:ind w:right="40"/>
              <w:spacing w:after="0"/>
              <w:rPr>
                <w:sz w:val="20"/>
                <w:szCs w:val="20"/>
                <w:color w:val="auto"/>
              </w:rPr>
            </w:pPr>
            <w:r>
              <w:rPr>
                <w:rFonts w:ascii="Arial" w:cs="Arial" w:eastAsia="Arial" w:hAnsi="Arial"/>
                <w:sz w:val="14"/>
                <w:szCs w:val="14"/>
                <w:color w:val="auto"/>
              </w:rPr>
              <w:t>80%</w:t>
            </w:r>
          </w:p>
        </w:tc>
        <w:tc>
          <w:tcPr>
            <w:tcW w:w="260" w:type="dxa"/>
            <w:vAlign w:val="bottom"/>
            <w:gridSpan w:val="2"/>
            <w:shd w:val="clear" w:color="auto" w:fill="CDDAE6"/>
          </w:tcPr>
          <w:p>
            <w:pPr>
              <w:ind w:left="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DDAE6"/>
          </w:tcPr>
          <w:p>
            <w:pPr>
              <w:jc w:val="right"/>
              <w:ind w:right="28"/>
              <w:spacing w:after="0"/>
              <w:rPr>
                <w:sz w:val="20"/>
                <w:szCs w:val="20"/>
                <w:color w:val="auto"/>
              </w:rPr>
            </w:pPr>
            <w:r>
              <w:rPr>
                <w:rFonts w:ascii="Arial" w:cs="Arial" w:eastAsia="Arial" w:hAnsi="Arial"/>
                <w:sz w:val="14"/>
                <w:szCs w:val="14"/>
                <w:color w:val="auto"/>
              </w:rPr>
              <w:t>880</w:t>
            </w:r>
          </w:p>
        </w:tc>
        <w:tc>
          <w:tcPr>
            <w:tcW w:w="600" w:type="dxa"/>
            <w:vAlign w:val="bottom"/>
            <w:shd w:val="clear" w:color="auto" w:fill="CDDAE6"/>
          </w:tcPr>
          <w:p>
            <w:pPr>
              <w:ind w:left="120"/>
              <w:spacing w:after="0"/>
              <w:rPr>
                <w:sz w:val="20"/>
                <w:szCs w:val="20"/>
                <w:color w:val="auto"/>
              </w:rPr>
            </w:pPr>
            <w:r>
              <w:rPr>
                <w:rFonts w:ascii="Arial" w:cs="Arial" w:eastAsia="Arial" w:hAnsi="Arial"/>
                <w:sz w:val="14"/>
                <w:szCs w:val="14"/>
                <w:color w:val="auto"/>
              </w:rPr>
              <w:t>$825</w:t>
            </w:r>
          </w:p>
        </w:tc>
        <w:tc>
          <w:tcPr>
            <w:tcW w:w="640" w:type="dxa"/>
            <w:vAlign w:val="bottom"/>
            <w:gridSpan w:val="2"/>
            <w:shd w:val="clear" w:color="auto" w:fill="CDDAE6"/>
          </w:tcPr>
          <w:p>
            <w:pPr>
              <w:jc w:val="right"/>
              <w:ind w:right="80"/>
              <w:spacing w:after="0"/>
              <w:rPr>
                <w:sz w:val="20"/>
                <w:szCs w:val="20"/>
                <w:color w:val="auto"/>
              </w:rPr>
            </w:pPr>
            <w:r>
              <w:rPr>
                <w:rFonts w:ascii="Arial" w:cs="Arial" w:eastAsia="Arial" w:hAnsi="Arial"/>
                <w:sz w:val="14"/>
                <w:szCs w:val="14"/>
                <w:color w:val="auto"/>
              </w:rPr>
              <w:t>20%</w:t>
            </w:r>
          </w:p>
        </w:tc>
        <w:tc>
          <w:tcPr>
            <w:tcW w:w="200" w:type="dxa"/>
            <w:vAlign w:val="bottom"/>
            <w:shd w:val="clear" w:color="auto" w:fill="CDDAE6"/>
          </w:tcPr>
          <w:p>
            <w:pPr>
              <w:spacing w:after="0"/>
              <w:rPr>
                <w:sz w:val="15"/>
                <w:szCs w:val="15"/>
                <w:color w:val="auto"/>
              </w:rPr>
            </w:pPr>
          </w:p>
        </w:tc>
        <w:tc>
          <w:tcPr>
            <w:tcW w:w="440" w:type="dxa"/>
            <w:vAlign w:val="bottom"/>
            <w:shd w:val="clear" w:color="auto" w:fill="CDDAE6"/>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DDAE6"/>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DDAE6"/>
          </w:tcPr>
          <w:p>
            <w:pPr>
              <w:ind w:lef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DDAE6"/>
          </w:tcPr>
          <w:p>
            <w:pPr>
              <w:spacing w:after="0"/>
              <w:rPr>
                <w:sz w:val="15"/>
                <w:szCs w:val="15"/>
                <w:color w:val="auto"/>
              </w:rPr>
            </w:pPr>
          </w:p>
        </w:tc>
        <w:tc>
          <w:tcPr>
            <w:tcW w:w="440" w:type="dxa"/>
            <w:vAlign w:val="bottom"/>
            <w:shd w:val="clear" w:color="auto" w:fill="CDDAE6"/>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DDAE6"/>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DDAE6"/>
          </w:tcPr>
          <w:p>
            <w:pPr>
              <w:ind w:left="3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DDAE6"/>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70"/>
        </w:trPr>
        <w:tc>
          <w:tcPr>
            <w:tcW w:w="1280" w:type="dxa"/>
            <w:vAlign w:val="bottom"/>
          </w:tcPr>
          <w:p>
            <w:pPr>
              <w:ind w:left="20"/>
              <w:spacing w:after="0"/>
              <w:rPr>
                <w:sz w:val="20"/>
                <w:szCs w:val="20"/>
                <w:color w:val="auto"/>
              </w:rPr>
            </w:pPr>
            <w:r>
              <w:rPr>
                <w:rFonts w:ascii="Arial" w:cs="Arial" w:eastAsia="Arial" w:hAnsi="Arial"/>
                <w:sz w:val="14"/>
                <w:szCs w:val="14"/>
                <w:color w:val="auto"/>
              </w:rPr>
              <w:t>Christopher 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80" w:type="dxa"/>
            <w:vAlign w:val="bottom"/>
          </w:tcPr>
          <w:p>
            <w:pPr>
              <w:ind w:left="20"/>
              <w:spacing w:after="0"/>
              <w:rPr>
                <w:sz w:val="20"/>
                <w:szCs w:val="20"/>
                <w:color w:val="auto"/>
              </w:rPr>
            </w:pPr>
            <w:r>
              <w:rPr>
                <w:rFonts w:ascii="Arial" w:cs="Arial" w:eastAsia="Arial" w:hAnsi="Arial"/>
                <w:sz w:val="14"/>
                <w:szCs w:val="14"/>
                <w:color w:val="auto"/>
              </w:rPr>
              <w:t>Kubasik</w:t>
            </w:r>
          </w:p>
        </w:tc>
        <w:tc>
          <w:tcPr>
            <w:tcW w:w="2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8.05</w:t>
            </w:r>
          </w:p>
        </w:tc>
        <w:tc>
          <w:tcPr>
            <w:tcW w:w="600" w:type="dxa"/>
            <w:vAlign w:val="bottom"/>
          </w:tcPr>
          <w:p>
            <w:pPr>
              <w:ind w:left="180"/>
              <w:spacing w:after="0"/>
              <w:rPr>
                <w:sz w:val="20"/>
                <w:szCs w:val="20"/>
                <w:color w:val="auto"/>
              </w:rPr>
            </w:pPr>
            <w:r>
              <w:rPr>
                <w:rFonts w:ascii="Arial" w:cs="Arial" w:eastAsia="Arial" w:hAnsi="Arial"/>
                <w:sz w:val="14"/>
                <w:szCs w:val="14"/>
                <w:color w:val="auto"/>
              </w:rPr>
              <w:t>$7.50</w:t>
            </w: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rPr>
              <w:t>80%</w:t>
            </w:r>
          </w:p>
        </w:tc>
        <w:tc>
          <w:tcPr>
            <w:tcW w:w="2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880</w:t>
            </w:r>
          </w:p>
        </w:tc>
        <w:tc>
          <w:tcPr>
            <w:tcW w:w="600" w:type="dxa"/>
            <w:vAlign w:val="bottom"/>
          </w:tcPr>
          <w:p>
            <w:pPr>
              <w:ind w:left="120"/>
              <w:spacing w:after="0"/>
              <w:rPr>
                <w:sz w:val="20"/>
                <w:szCs w:val="20"/>
                <w:color w:val="auto"/>
              </w:rPr>
            </w:pPr>
            <w:r>
              <w:rPr>
                <w:rFonts w:ascii="Arial" w:cs="Arial" w:eastAsia="Arial" w:hAnsi="Arial"/>
                <w:sz w:val="14"/>
                <w:szCs w:val="14"/>
                <w:color w:val="auto"/>
              </w:rPr>
              <w:t>$825</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20%</w:t>
            </w:r>
          </w:p>
        </w:tc>
        <w:tc>
          <w:tcPr>
            <w:tcW w:w="200" w:type="dxa"/>
            <w:vAlign w:val="bottom"/>
          </w:tcPr>
          <w:p>
            <w:pPr>
              <w:spacing w:after="0"/>
              <w:rPr>
                <w:sz w:val="15"/>
                <w:szCs w:val="15"/>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70"/>
        </w:trPr>
        <w:tc>
          <w:tcPr>
            <w:tcW w:w="1280" w:type="dxa"/>
            <w:vAlign w:val="bottom"/>
            <w:shd w:val="clear" w:color="auto" w:fill="CDDAE6"/>
          </w:tcPr>
          <w:p>
            <w:pPr>
              <w:ind w:left="20"/>
              <w:spacing w:after="0"/>
              <w:rPr>
                <w:sz w:val="20"/>
                <w:szCs w:val="20"/>
                <w:color w:val="auto"/>
              </w:rPr>
            </w:pPr>
            <w:r>
              <w:rPr>
                <w:rFonts w:ascii="Arial" w:cs="Arial" w:eastAsia="Arial" w:hAnsi="Arial"/>
                <w:sz w:val="14"/>
                <w:szCs w:val="14"/>
                <w:color w:val="auto"/>
              </w:rPr>
              <w:t>Ralph G.</w:t>
            </w:r>
          </w:p>
        </w:tc>
        <w:tc>
          <w:tcPr>
            <w:tcW w:w="80" w:type="dxa"/>
            <w:vAlign w:val="bottom"/>
            <w:shd w:val="clear" w:color="auto" w:fill="CDDAE6"/>
          </w:tcPr>
          <w:p>
            <w:pPr>
              <w:spacing w:after="0"/>
              <w:rPr>
                <w:sz w:val="14"/>
                <w:szCs w:val="14"/>
                <w:color w:val="auto"/>
              </w:rPr>
            </w:pPr>
          </w:p>
        </w:tc>
        <w:tc>
          <w:tcPr>
            <w:tcW w:w="160" w:type="dxa"/>
            <w:vAlign w:val="bottom"/>
            <w:shd w:val="clear" w:color="auto" w:fill="CDDAE6"/>
          </w:tcPr>
          <w:p>
            <w:pPr>
              <w:spacing w:after="0"/>
              <w:rPr>
                <w:sz w:val="14"/>
                <w:szCs w:val="14"/>
                <w:color w:val="auto"/>
              </w:rPr>
            </w:pPr>
          </w:p>
        </w:tc>
        <w:tc>
          <w:tcPr>
            <w:tcW w:w="380" w:type="dxa"/>
            <w:vAlign w:val="bottom"/>
            <w:shd w:val="clear" w:color="auto" w:fill="CDDAE6"/>
          </w:tcPr>
          <w:p>
            <w:pPr>
              <w:spacing w:after="0"/>
              <w:rPr>
                <w:sz w:val="14"/>
                <w:szCs w:val="14"/>
                <w:color w:val="auto"/>
              </w:rPr>
            </w:pPr>
          </w:p>
        </w:tc>
        <w:tc>
          <w:tcPr>
            <w:tcW w:w="600" w:type="dxa"/>
            <w:vAlign w:val="bottom"/>
            <w:shd w:val="clear" w:color="auto" w:fill="CDDAE6"/>
          </w:tcPr>
          <w:p>
            <w:pPr>
              <w:spacing w:after="0"/>
              <w:rPr>
                <w:sz w:val="14"/>
                <w:szCs w:val="14"/>
                <w:color w:val="auto"/>
              </w:rPr>
            </w:pPr>
          </w:p>
        </w:tc>
        <w:tc>
          <w:tcPr>
            <w:tcW w:w="180" w:type="dxa"/>
            <w:vAlign w:val="bottom"/>
            <w:shd w:val="clear" w:color="auto" w:fill="CDDAE6"/>
          </w:tcPr>
          <w:p>
            <w:pPr>
              <w:spacing w:after="0"/>
              <w:rPr>
                <w:sz w:val="14"/>
                <w:szCs w:val="14"/>
                <w:color w:val="auto"/>
              </w:rPr>
            </w:pPr>
          </w:p>
        </w:tc>
        <w:tc>
          <w:tcPr>
            <w:tcW w:w="380" w:type="dxa"/>
            <w:vAlign w:val="bottom"/>
            <w:shd w:val="clear" w:color="auto" w:fill="CDDAE6"/>
          </w:tcPr>
          <w:p>
            <w:pPr>
              <w:spacing w:after="0"/>
              <w:rPr>
                <w:sz w:val="14"/>
                <w:szCs w:val="14"/>
                <w:color w:val="auto"/>
              </w:rPr>
            </w:pPr>
          </w:p>
        </w:tc>
        <w:tc>
          <w:tcPr>
            <w:tcW w:w="120" w:type="dxa"/>
            <w:vAlign w:val="bottom"/>
            <w:shd w:val="clear" w:color="auto" w:fill="CDDAE6"/>
          </w:tcPr>
          <w:p>
            <w:pPr>
              <w:spacing w:after="0"/>
              <w:rPr>
                <w:sz w:val="14"/>
                <w:szCs w:val="14"/>
                <w:color w:val="auto"/>
              </w:rPr>
            </w:pPr>
          </w:p>
        </w:tc>
        <w:tc>
          <w:tcPr>
            <w:tcW w:w="40" w:type="dxa"/>
            <w:vAlign w:val="bottom"/>
            <w:shd w:val="clear" w:color="auto" w:fill="CDDAE6"/>
          </w:tcPr>
          <w:p>
            <w:pPr>
              <w:spacing w:after="0"/>
              <w:rPr>
                <w:sz w:val="14"/>
                <w:szCs w:val="14"/>
                <w:color w:val="auto"/>
              </w:rPr>
            </w:pPr>
          </w:p>
        </w:tc>
        <w:tc>
          <w:tcPr>
            <w:tcW w:w="220" w:type="dxa"/>
            <w:vAlign w:val="bottom"/>
            <w:shd w:val="clear" w:color="auto" w:fill="CDDAE6"/>
          </w:tcPr>
          <w:p>
            <w:pPr>
              <w:spacing w:after="0"/>
              <w:rPr>
                <w:sz w:val="14"/>
                <w:szCs w:val="14"/>
                <w:color w:val="auto"/>
              </w:rPr>
            </w:pPr>
          </w:p>
        </w:tc>
        <w:tc>
          <w:tcPr>
            <w:tcW w:w="420" w:type="dxa"/>
            <w:vAlign w:val="bottom"/>
            <w:shd w:val="clear" w:color="auto" w:fill="CDDAE6"/>
          </w:tcPr>
          <w:p>
            <w:pPr>
              <w:spacing w:after="0"/>
              <w:rPr>
                <w:sz w:val="14"/>
                <w:szCs w:val="14"/>
                <w:color w:val="auto"/>
              </w:rPr>
            </w:pPr>
          </w:p>
        </w:tc>
        <w:tc>
          <w:tcPr>
            <w:tcW w:w="600" w:type="dxa"/>
            <w:vAlign w:val="bottom"/>
            <w:shd w:val="clear" w:color="auto" w:fill="CDDAE6"/>
          </w:tcPr>
          <w:p>
            <w:pPr>
              <w:spacing w:after="0"/>
              <w:rPr>
                <w:sz w:val="14"/>
                <w:szCs w:val="14"/>
                <w:color w:val="auto"/>
              </w:rPr>
            </w:pPr>
          </w:p>
        </w:tc>
        <w:tc>
          <w:tcPr>
            <w:tcW w:w="460" w:type="dxa"/>
            <w:vAlign w:val="bottom"/>
            <w:shd w:val="clear" w:color="auto" w:fill="CDDAE6"/>
          </w:tcPr>
          <w:p>
            <w:pPr>
              <w:spacing w:after="0"/>
              <w:rPr>
                <w:sz w:val="14"/>
                <w:szCs w:val="14"/>
                <w:color w:val="auto"/>
              </w:rPr>
            </w:pPr>
          </w:p>
        </w:tc>
        <w:tc>
          <w:tcPr>
            <w:tcW w:w="180" w:type="dxa"/>
            <w:vAlign w:val="bottom"/>
            <w:shd w:val="clear" w:color="auto" w:fill="CDDAE6"/>
          </w:tcPr>
          <w:p>
            <w:pPr>
              <w:spacing w:after="0"/>
              <w:rPr>
                <w:sz w:val="14"/>
                <w:szCs w:val="14"/>
                <w:color w:val="auto"/>
              </w:rPr>
            </w:pPr>
          </w:p>
        </w:tc>
        <w:tc>
          <w:tcPr>
            <w:tcW w:w="200" w:type="dxa"/>
            <w:vAlign w:val="bottom"/>
            <w:shd w:val="clear" w:color="auto" w:fill="CDDAE6"/>
          </w:tcPr>
          <w:p>
            <w:pPr>
              <w:spacing w:after="0"/>
              <w:rPr>
                <w:sz w:val="14"/>
                <w:szCs w:val="14"/>
                <w:color w:val="auto"/>
              </w:rPr>
            </w:pPr>
          </w:p>
        </w:tc>
        <w:tc>
          <w:tcPr>
            <w:tcW w:w="440" w:type="dxa"/>
            <w:vAlign w:val="bottom"/>
            <w:shd w:val="clear" w:color="auto" w:fill="CDDAE6"/>
          </w:tcPr>
          <w:p>
            <w:pPr>
              <w:spacing w:after="0"/>
              <w:rPr>
                <w:sz w:val="14"/>
                <w:szCs w:val="14"/>
                <w:color w:val="auto"/>
              </w:rPr>
            </w:pPr>
          </w:p>
        </w:tc>
        <w:tc>
          <w:tcPr>
            <w:tcW w:w="620" w:type="dxa"/>
            <w:vAlign w:val="bottom"/>
            <w:shd w:val="clear" w:color="auto" w:fill="CDDAE6"/>
          </w:tcPr>
          <w:p>
            <w:pPr>
              <w:spacing w:after="0"/>
              <w:rPr>
                <w:sz w:val="14"/>
                <w:szCs w:val="14"/>
                <w:color w:val="auto"/>
              </w:rPr>
            </w:pPr>
          </w:p>
        </w:tc>
        <w:tc>
          <w:tcPr>
            <w:tcW w:w="480" w:type="dxa"/>
            <w:vAlign w:val="bottom"/>
            <w:shd w:val="clear" w:color="auto" w:fill="CDDAE6"/>
          </w:tcPr>
          <w:p>
            <w:pPr>
              <w:spacing w:after="0"/>
              <w:rPr>
                <w:sz w:val="14"/>
                <w:szCs w:val="14"/>
                <w:color w:val="auto"/>
              </w:rPr>
            </w:pPr>
          </w:p>
        </w:tc>
        <w:tc>
          <w:tcPr>
            <w:tcW w:w="160" w:type="dxa"/>
            <w:vAlign w:val="bottom"/>
            <w:shd w:val="clear" w:color="auto" w:fill="CDDAE6"/>
          </w:tcPr>
          <w:p>
            <w:pPr>
              <w:spacing w:after="0"/>
              <w:rPr>
                <w:sz w:val="14"/>
                <w:szCs w:val="14"/>
                <w:color w:val="auto"/>
              </w:rPr>
            </w:pPr>
          </w:p>
        </w:tc>
        <w:tc>
          <w:tcPr>
            <w:tcW w:w="240" w:type="dxa"/>
            <w:vAlign w:val="bottom"/>
            <w:shd w:val="clear" w:color="auto" w:fill="CDDAE6"/>
          </w:tcPr>
          <w:p>
            <w:pPr>
              <w:spacing w:after="0"/>
              <w:rPr>
                <w:sz w:val="14"/>
                <w:szCs w:val="14"/>
                <w:color w:val="auto"/>
              </w:rPr>
            </w:pPr>
          </w:p>
        </w:tc>
        <w:tc>
          <w:tcPr>
            <w:tcW w:w="440" w:type="dxa"/>
            <w:vAlign w:val="bottom"/>
            <w:shd w:val="clear" w:color="auto" w:fill="CDDAE6"/>
          </w:tcPr>
          <w:p>
            <w:pPr>
              <w:spacing w:after="0"/>
              <w:rPr>
                <w:sz w:val="14"/>
                <w:szCs w:val="14"/>
                <w:color w:val="auto"/>
              </w:rPr>
            </w:pPr>
          </w:p>
        </w:tc>
        <w:tc>
          <w:tcPr>
            <w:tcW w:w="580" w:type="dxa"/>
            <w:vAlign w:val="bottom"/>
            <w:shd w:val="clear" w:color="auto" w:fill="CDDAE6"/>
          </w:tcPr>
          <w:p>
            <w:pPr>
              <w:spacing w:after="0"/>
              <w:rPr>
                <w:sz w:val="14"/>
                <w:szCs w:val="14"/>
                <w:color w:val="auto"/>
              </w:rPr>
            </w:pPr>
          </w:p>
        </w:tc>
        <w:tc>
          <w:tcPr>
            <w:tcW w:w="500" w:type="dxa"/>
            <w:vAlign w:val="bottom"/>
            <w:shd w:val="clear" w:color="auto" w:fill="CDDAE6"/>
          </w:tcPr>
          <w:p>
            <w:pPr>
              <w:spacing w:after="0"/>
              <w:rPr>
                <w:sz w:val="14"/>
                <w:szCs w:val="14"/>
                <w:color w:val="auto"/>
              </w:rPr>
            </w:pPr>
          </w:p>
        </w:tc>
        <w:tc>
          <w:tcPr>
            <w:tcW w:w="120" w:type="dxa"/>
            <w:vAlign w:val="bottom"/>
            <w:shd w:val="clear" w:color="auto" w:fill="CDDAE6"/>
          </w:tcPr>
          <w:p>
            <w:pPr>
              <w:spacing w:after="0"/>
              <w:rPr>
                <w:sz w:val="14"/>
                <w:szCs w:val="14"/>
                <w:color w:val="auto"/>
              </w:rPr>
            </w:pPr>
          </w:p>
        </w:tc>
        <w:tc>
          <w:tcPr>
            <w:tcW w:w="680" w:type="dxa"/>
            <w:vAlign w:val="bottom"/>
            <w:shd w:val="clear" w:color="auto" w:fill="CDDAE6"/>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80" w:type="dxa"/>
            <w:vAlign w:val="bottom"/>
            <w:shd w:val="clear" w:color="auto" w:fill="CDDAE6"/>
          </w:tcPr>
          <w:p>
            <w:pPr>
              <w:ind w:left="20"/>
              <w:spacing w:after="0"/>
              <w:rPr>
                <w:sz w:val="20"/>
                <w:szCs w:val="20"/>
                <w:color w:val="auto"/>
              </w:rPr>
            </w:pPr>
            <w:r>
              <w:rPr>
                <w:rFonts w:ascii="Arial" w:cs="Arial" w:eastAsia="Arial" w:hAnsi="Arial"/>
                <w:sz w:val="14"/>
                <w:szCs w:val="14"/>
                <w:color w:val="auto"/>
              </w:rPr>
              <w:t>D’Ambrosio</w:t>
            </w:r>
          </w:p>
        </w:tc>
        <w:tc>
          <w:tcPr>
            <w:tcW w:w="240" w:type="dxa"/>
            <w:vAlign w:val="bottom"/>
            <w:gridSpan w:val="2"/>
            <w:shd w:val="clear" w:color="auto" w:fill="CDDAE6"/>
          </w:tcPr>
          <w:p>
            <w:pPr>
              <w:ind w:left="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DDAE6"/>
          </w:tcPr>
          <w:p>
            <w:pPr>
              <w:jc w:val="right"/>
              <w:spacing w:after="0"/>
              <w:rPr>
                <w:sz w:val="20"/>
                <w:szCs w:val="20"/>
                <w:color w:val="auto"/>
              </w:rPr>
            </w:pPr>
            <w:r>
              <w:rPr>
                <w:rFonts w:ascii="Arial" w:cs="Arial" w:eastAsia="Arial" w:hAnsi="Arial"/>
                <w:sz w:val="14"/>
                <w:szCs w:val="14"/>
                <w:color w:val="auto"/>
              </w:rPr>
              <w:t>8.05</w:t>
            </w:r>
          </w:p>
        </w:tc>
        <w:tc>
          <w:tcPr>
            <w:tcW w:w="600" w:type="dxa"/>
            <w:vAlign w:val="bottom"/>
            <w:shd w:val="clear" w:color="auto" w:fill="CDDAE6"/>
          </w:tcPr>
          <w:p>
            <w:pPr>
              <w:ind w:left="180"/>
              <w:spacing w:after="0"/>
              <w:rPr>
                <w:sz w:val="20"/>
                <w:szCs w:val="20"/>
                <w:color w:val="auto"/>
              </w:rPr>
            </w:pPr>
            <w:r>
              <w:rPr>
                <w:rFonts w:ascii="Arial" w:cs="Arial" w:eastAsia="Arial" w:hAnsi="Arial"/>
                <w:sz w:val="14"/>
                <w:szCs w:val="14"/>
                <w:color w:val="auto"/>
              </w:rPr>
              <w:t>$7.50</w:t>
            </w:r>
          </w:p>
        </w:tc>
        <w:tc>
          <w:tcPr>
            <w:tcW w:w="680" w:type="dxa"/>
            <w:vAlign w:val="bottom"/>
            <w:gridSpan w:val="3"/>
            <w:shd w:val="clear" w:color="auto" w:fill="CDDAE6"/>
          </w:tcPr>
          <w:p>
            <w:pPr>
              <w:jc w:val="right"/>
              <w:ind w:right="40"/>
              <w:spacing w:after="0"/>
              <w:rPr>
                <w:sz w:val="20"/>
                <w:szCs w:val="20"/>
                <w:color w:val="auto"/>
              </w:rPr>
            </w:pPr>
            <w:r>
              <w:rPr>
                <w:rFonts w:ascii="Arial" w:cs="Arial" w:eastAsia="Arial" w:hAnsi="Arial"/>
                <w:sz w:val="14"/>
                <w:szCs w:val="14"/>
                <w:color w:val="auto"/>
              </w:rPr>
              <w:t>80%</w:t>
            </w:r>
          </w:p>
        </w:tc>
        <w:tc>
          <w:tcPr>
            <w:tcW w:w="260" w:type="dxa"/>
            <w:vAlign w:val="bottom"/>
            <w:gridSpan w:val="2"/>
            <w:shd w:val="clear" w:color="auto" w:fill="CDDAE6"/>
          </w:tcPr>
          <w:p>
            <w:pPr>
              <w:ind w:left="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DDAE6"/>
          </w:tcPr>
          <w:p>
            <w:pPr>
              <w:jc w:val="right"/>
              <w:ind w:right="28"/>
              <w:spacing w:after="0"/>
              <w:rPr>
                <w:sz w:val="20"/>
                <w:szCs w:val="20"/>
                <w:color w:val="auto"/>
              </w:rPr>
            </w:pPr>
            <w:r>
              <w:rPr>
                <w:rFonts w:ascii="Arial" w:cs="Arial" w:eastAsia="Arial" w:hAnsi="Arial"/>
                <w:sz w:val="14"/>
                <w:szCs w:val="14"/>
                <w:color w:val="auto"/>
              </w:rPr>
              <w:t>880</w:t>
            </w:r>
          </w:p>
        </w:tc>
        <w:tc>
          <w:tcPr>
            <w:tcW w:w="600" w:type="dxa"/>
            <w:vAlign w:val="bottom"/>
            <w:shd w:val="clear" w:color="auto" w:fill="CDDAE6"/>
          </w:tcPr>
          <w:p>
            <w:pPr>
              <w:ind w:left="120"/>
              <w:spacing w:after="0"/>
              <w:rPr>
                <w:sz w:val="20"/>
                <w:szCs w:val="20"/>
                <w:color w:val="auto"/>
              </w:rPr>
            </w:pPr>
            <w:r>
              <w:rPr>
                <w:rFonts w:ascii="Arial" w:cs="Arial" w:eastAsia="Arial" w:hAnsi="Arial"/>
                <w:sz w:val="14"/>
                <w:szCs w:val="14"/>
                <w:color w:val="auto"/>
              </w:rPr>
              <w:t>$825</w:t>
            </w:r>
          </w:p>
        </w:tc>
        <w:tc>
          <w:tcPr>
            <w:tcW w:w="640" w:type="dxa"/>
            <w:vAlign w:val="bottom"/>
            <w:gridSpan w:val="2"/>
            <w:shd w:val="clear" w:color="auto" w:fill="CDDAE6"/>
          </w:tcPr>
          <w:p>
            <w:pPr>
              <w:jc w:val="right"/>
              <w:ind w:right="80"/>
              <w:spacing w:after="0"/>
              <w:rPr>
                <w:sz w:val="20"/>
                <w:szCs w:val="20"/>
                <w:color w:val="auto"/>
              </w:rPr>
            </w:pPr>
            <w:r>
              <w:rPr>
                <w:rFonts w:ascii="Arial" w:cs="Arial" w:eastAsia="Arial" w:hAnsi="Arial"/>
                <w:sz w:val="14"/>
                <w:szCs w:val="14"/>
                <w:color w:val="auto"/>
              </w:rPr>
              <w:t>20%</w:t>
            </w:r>
          </w:p>
        </w:tc>
        <w:tc>
          <w:tcPr>
            <w:tcW w:w="200" w:type="dxa"/>
            <w:vAlign w:val="bottom"/>
            <w:shd w:val="clear" w:color="auto" w:fill="CDDAE6"/>
          </w:tcPr>
          <w:p>
            <w:pPr>
              <w:spacing w:after="0"/>
              <w:rPr>
                <w:sz w:val="15"/>
                <w:szCs w:val="15"/>
                <w:color w:val="auto"/>
              </w:rPr>
            </w:pPr>
          </w:p>
        </w:tc>
        <w:tc>
          <w:tcPr>
            <w:tcW w:w="440" w:type="dxa"/>
            <w:vAlign w:val="bottom"/>
            <w:shd w:val="clear" w:color="auto" w:fill="CDDAE6"/>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DDAE6"/>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DDAE6"/>
          </w:tcPr>
          <w:p>
            <w:pPr>
              <w:ind w:lef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DDAE6"/>
          </w:tcPr>
          <w:p>
            <w:pPr>
              <w:spacing w:after="0"/>
              <w:rPr>
                <w:sz w:val="15"/>
                <w:szCs w:val="15"/>
                <w:color w:val="auto"/>
              </w:rPr>
            </w:pPr>
          </w:p>
        </w:tc>
        <w:tc>
          <w:tcPr>
            <w:tcW w:w="440" w:type="dxa"/>
            <w:vAlign w:val="bottom"/>
            <w:shd w:val="clear" w:color="auto" w:fill="CDDAE6"/>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DDAE6"/>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DDAE6"/>
          </w:tcPr>
          <w:p>
            <w:pPr>
              <w:ind w:left="3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DDAE6"/>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89"/>
        </w:trPr>
        <w:tc>
          <w:tcPr>
            <w:tcW w:w="1280" w:type="dxa"/>
            <w:vAlign w:val="bottom"/>
          </w:tcPr>
          <w:p>
            <w:pPr>
              <w:ind w:left="20"/>
              <w:spacing w:after="0"/>
              <w:rPr>
                <w:sz w:val="20"/>
                <w:szCs w:val="20"/>
                <w:color w:val="auto"/>
              </w:rPr>
            </w:pPr>
            <w:r>
              <w:rPr>
                <w:rFonts w:ascii="Arial" w:cs="Arial" w:eastAsia="Arial" w:hAnsi="Arial"/>
                <w:sz w:val="14"/>
                <w:szCs w:val="14"/>
                <w:color w:val="auto"/>
              </w:rPr>
              <w:t>Curtis Brunson</w:t>
            </w:r>
          </w:p>
        </w:tc>
        <w:tc>
          <w:tcPr>
            <w:tcW w:w="2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8.05</w:t>
            </w:r>
          </w:p>
        </w:tc>
        <w:tc>
          <w:tcPr>
            <w:tcW w:w="600" w:type="dxa"/>
            <w:vAlign w:val="bottom"/>
          </w:tcPr>
          <w:p>
            <w:pPr>
              <w:ind w:left="180"/>
              <w:spacing w:after="0"/>
              <w:rPr>
                <w:sz w:val="20"/>
                <w:szCs w:val="20"/>
                <w:color w:val="auto"/>
              </w:rPr>
            </w:pPr>
            <w:r>
              <w:rPr>
                <w:rFonts w:ascii="Arial" w:cs="Arial" w:eastAsia="Arial" w:hAnsi="Arial"/>
                <w:sz w:val="14"/>
                <w:szCs w:val="14"/>
                <w:color w:val="auto"/>
              </w:rPr>
              <w:t>$7.50</w:t>
            </w: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rPr>
              <w:t>80%</w:t>
            </w:r>
          </w:p>
        </w:tc>
        <w:tc>
          <w:tcPr>
            <w:tcW w:w="2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880</w:t>
            </w:r>
          </w:p>
        </w:tc>
        <w:tc>
          <w:tcPr>
            <w:tcW w:w="600" w:type="dxa"/>
            <w:vAlign w:val="bottom"/>
          </w:tcPr>
          <w:p>
            <w:pPr>
              <w:ind w:left="120"/>
              <w:spacing w:after="0"/>
              <w:rPr>
                <w:sz w:val="20"/>
                <w:szCs w:val="20"/>
                <w:color w:val="auto"/>
              </w:rPr>
            </w:pPr>
            <w:r>
              <w:rPr>
                <w:rFonts w:ascii="Arial" w:cs="Arial" w:eastAsia="Arial" w:hAnsi="Arial"/>
                <w:sz w:val="14"/>
                <w:szCs w:val="14"/>
                <w:color w:val="auto"/>
              </w:rPr>
              <w:t>$825</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20%</w:t>
            </w:r>
          </w:p>
        </w:tc>
        <w:tc>
          <w:tcPr>
            <w:tcW w:w="20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89"/>
        </w:trPr>
        <w:tc>
          <w:tcPr>
            <w:tcW w:w="1280" w:type="dxa"/>
            <w:vAlign w:val="bottom"/>
            <w:tcBorders>
              <w:bottom w:val="single" w:sz="8" w:color="005C7D"/>
            </w:tcBorders>
            <w:shd w:val="clear" w:color="auto" w:fill="CDDAE6"/>
          </w:tcPr>
          <w:p>
            <w:pPr>
              <w:ind w:left="20"/>
              <w:spacing w:after="0"/>
              <w:rPr>
                <w:sz w:val="20"/>
                <w:szCs w:val="20"/>
                <w:color w:val="auto"/>
              </w:rPr>
            </w:pPr>
            <w:r>
              <w:rPr>
                <w:rFonts w:ascii="Arial" w:cs="Arial" w:eastAsia="Arial" w:hAnsi="Arial"/>
                <w:sz w:val="14"/>
                <w:szCs w:val="14"/>
                <w:color w:val="auto"/>
              </w:rPr>
              <w:t>Steve Kantor</w:t>
            </w:r>
          </w:p>
        </w:tc>
        <w:tc>
          <w:tcPr>
            <w:tcW w:w="240" w:type="dxa"/>
            <w:vAlign w:val="bottom"/>
            <w:tcBorders>
              <w:bottom w:val="single" w:sz="8" w:color="005C7D"/>
            </w:tcBorders>
            <w:gridSpan w:val="2"/>
            <w:shd w:val="clear" w:color="auto" w:fill="CDDAE6"/>
          </w:tcPr>
          <w:p>
            <w:pPr>
              <w:ind w:left="8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005C7D"/>
            </w:tcBorders>
            <w:shd w:val="clear" w:color="auto" w:fill="CDDAE6"/>
          </w:tcPr>
          <w:p>
            <w:pPr>
              <w:jc w:val="right"/>
              <w:spacing w:after="0"/>
              <w:rPr>
                <w:sz w:val="20"/>
                <w:szCs w:val="20"/>
                <w:color w:val="auto"/>
              </w:rPr>
            </w:pPr>
            <w:r>
              <w:rPr>
                <w:rFonts w:ascii="Arial" w:cs="Arial" w:eastAsia="Arial" w:hAnsi="Arial"/>
                <w:sz w:val="14"/>
                <w:szCs w:val="14"/>
                <w:color w:val="auto"/>
              </w:rPr>
              <w:t>8.05</w:t>
            </w:r>
          </w:p>
        </w:tc>
        <w:tc>
          <w:tcPr>
            <w:tcW w:w="600" w:type="dxa"/>
            <w:vAlign w:val="bottom"/>
            <w:tcBorders>
              <w:bottom w:val="single" w:sz="8" w:color="005C7D"/>
            </w:tcBorders>
            <w:shd w:val="clear" w:color="auto" w:fill="CDDAE6"/>
          </w:tcPr>
          <w:p>
            <w:pPr>
              <w:ind w:left="180"/>
              <w:spacing w:after="0"/>
              <w:rPr>
                <w:sz w:val="20"/>
                <w:szCs w:val="20"/>
                <w:color w:val="auto"/>
              </w:rPr>
            </w:pPr>
            <w:r>
              <w:rPr>
                <w:rFonts w:ascii="Arial" w:cs="Arial" w:eastAsia="Arial" w:hAnsi="Arial"/>
                <w:sz w:val="14"/>
                <w:szCs w:val="14"/>
                <w:color w:val="auto"/>
              </w:rPr>
              <w:t>$7.50</w:t>
            </w:r>
          </w:p>
        </w:tc>
        <w:tc>
          <w:tcPr>
            <w:tcW w:w="680" w:type="dxa"/>
            <w:vAlign w:val="bottom"/>
            <w:tcBorders>
              <w:bottom w:val="single" w:sz="8" w:color="005C7D"/>
            </w:tcBorders>
            <w:gridSpan w:val="3"/>
            <w:shd w:val="clear" w:color="auto" w:fill="CDDAE6"/>
          </w:tcPr>
          <w:p>
            <w:pPr>
              <w:jc w:val="right"/>
              <w:ind w:right="40"/>
              <w:spacing w:after="0"/>
              <w:rPr>
                <w:sz w:val="20"/>
                <w:szCs w:val="20"/>
                <w:color w:val="auto"/>
              </w:rPr>
            </w:pPr>
            <w:r>
              <w:rPr>
                <w:rFonts w:ascii="Arial" w:cs="Arial" w:eastAsia="Arial" w:hAnsi="Arial"/>
                <w:sz w:val="14"/>
                <w:szCs w:val="14"/>
                <w:color w:val="auto"/>
              </w:rPr>
              <w:t>20%</w:t>
            </w:r>
          </w:p>
        </w:tc>
        <w:tc>
          <w:tcPr>
            <w:tcW w:w="260" w:type="dxa"/>
            <w:vAlign w:val="bottom"/>
            <w:tcBorders>
              <w:bottom w:val="single" w:sz="8" w:color="005C7D"/>
            </w:tcBorders>
            <w:gridSpan w:val="2"/>
            <w:shd w:val="clear" w:color="auto" w:fill="CDDAE6"/>
          </w:tcPr>
          <w:p>
            <w:pPr>
              <w:ind w:left="6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005C7D"/>
            </w:tcBorders>
            <w:shd w:val="clear" w:color="auto" w:fill="CDDAE6"/>
          </w:tcPr>
          <w:p>
            <w:pPr>
              <w:jc w:val="right"/>
              <w:ind w:right="28"/>
              <w:spacing w:after="0"/>
              <w:rPr>
                <w:sz w:val="20"/>
                <w:szCs w:val="20"/>
                <w:color w:val="auto"/>
              </w:rPr>
            </w:pPr>
            <w:r>
              <w:rPr>
                <w:rFonts w:ascii="Arial" w:cs="Arial" w:eastAsia="Arial" w:hAnsi="Arial"/>
                <w:sz w:val="14"/>
                <w:szCs w:val="14"/>
                <w:color w:val="auto"/>
              </w:rPr>
              <w:t>880</w:t>
            </w:r>
          </w:p>
        </w:tc>
        <w:tc>
          <w:tcPr>
            <w:tcW w:w="600" w:type="dxa"/>
            <w:vAlign w:val="bottom"/>
            <w:tcBorders>
              <w:bottom w:val="single" w:sz="8" w:color="005C7D"/>
            </w:tcBorders>
            <w:shd w:val="clear" w:color="auto" w:fill="CDDAE6"/>
          </w:tcPr>
          <w:p>
            <w:pPr>
              <w:ind w:left="120"/>
              <w:spacing w:after="0"/>
              <w:rPr>
                <w:sz w:val="20"/>
                <w:szCs w:val="20"/>
                <w:color w:val="auto"/>
              </w:rPr>
            </w:pPr>
            <w:r>
              <w:rPr>
                <w:rFonts w:ascii="Arial" w:cs="Arial" w:eastAsia="Arial" w:hAnsi="Arial"/>
                <w:sz w:val="14"/>
                <w:szCs w:val="14"/>
                <w:color w:val="auto"/>
              </w:rPr>
              <w:t>$825</w:t>
            </w:r>
          </w:p>
        </w:tc>
        <w:tc>
          <w:tcPr>
            <w:tcW w:w="640" w:type="dxa"/>
            <w:vAlign w:val="bottom"/>
            <w:tcBorders>
              <w:bottom w:val="single" w:sz="8" w:color="005C7D"/>
            </w:tcBorders>
            <w:gridSpan w:val="2"/>
            <w:shd w:val="clear" w:color="auto" w:fill="CDDAE6"/>
          </w:tcPr>
          <w:p>
            <w:pPr>
              <w:jc w:val="right"/>
              <w:ind w:right="80"/>
              <w:spacing w:after="0"/>
              <w:rPr>
                <w:sz w:val="20"/>
                <w:szCs w:val="20"/>
                <w:color w:val="auto"/>
              </w:rPr>
            </w:pPr>
            <w:r>
              <w:rPr>
                <w:rFonts w:ascii="Arial" w:cs="Arial" w:eastAsia="Arial" w:hAnsi="Arial"/>
                <w:sz w:val="14"/>
                <w:szCs w:val="14"/>
                <w:color w:val="auto"/>
              </w:rPr>
              <w:t>5%</w:t>
            </w:r>
          </w:p>
        </w:tc>
        <w:tc>
          <w:tcPr>
            <w:tcW w:w="200" w:type="dxa"/>
            <w:vAlign w:val="bottom"/>
            <w:tcBorders>
              <w:bottom w:val="single" w:sz="8" w:color="005C7D"/>
            </w:tcBorders>
            <w:shd w:val="clear" w:color="auto" w:fill="CDDAE6"/>
          </w:tcPr>
          <w:p>
            <w:pPr>
              <w:ind w:left="4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5C7D"/>
            </w:tcBorders>
            <w:shd w:val="clear" w:color="auto" w:fill="CDDAE6"/>
          </w:tcPr>
          <w:p>
            <w:pPr>
              <w:jc w:val="right"/>
              <w:ind w:right="8"/>
              <w:spacing w:after="0"/>
              <w:rPr>
                <w:sz w:val="20"/>
                <w:szCs w:val="20"/>
                <w:color w:val="auto"/>
              </w:rPr>
            </w:pPr>
            <w:r>
              <w:rPr>
                <w:rFonts w:ascii="Arial" w:cs="Arial" w:eastAsia="Arial" w:hAnsi="Arial"/>
                <w:sz w:val="14"/>
                <w:szCs w:val="14"/>
                <w:color w:val="auto"/>
              </w:rPr>
              <w:t>582</w:t>
            </w:r>
          </w:p>
        </w:tc>
        <w:tc>
          <w:tcPr>
            <w:tcW w:w="620" w:type="dxa"/>
            <w:vAlign w:val="bottom"/>
            <w:tcBorders>
              <w:bottom w:val="single" w:sz="8" w:color="005C7D"/>
            </w:tcBorders>
            <w:shd w:val="clear" w:color="auto" w:fill="CDDAE6"/>
          </w:tcPr>
          <w:p>
            <w:pPr>
              <w:jc w:val="right"/>
              <w:ind w:right="128"/>
              <w:spacing w:after="0"/>
              <w:rPr>
                <w:sz w:val="20"/>
                <w:szCs w:val="20"/>
                <w:color w:val="auto"/>
              </w:rPr>
            </w:pPr>
            <w:r>
              <w:rPr>
                <w:rFonts w:ascii="Arial" w:cs="Arial" w:eastAsia="Arial" w:hAnsi="Arial"/>
                <w:sz w:val="14"/>
                <w:szCs w:val="14"/>
                <w:color w:val="auto"/>
              </w:rPr>
              <w:t>$540</w:t>
            </w:r>
          </w:p>
        </w:tc>
        <w:tc>
          <w:tcPr>
            <w:tcW w:w="640" w:type="dxa"/>
            <w:vAlign w:val="bottom"/>
            <w:tcBorders>
              <w:bottom w:val="single" w:sz="8" w:color="005C7D"/>
            </w:tcBorders>
            <w:gridSpan w:val="2"/>
            <w:shd w:val="clear" w:color="auto" w:fill="CDDAE6"/>
          </w:tcPr>
          <w:p>
            <w:pPr>
              <w:ind w:left="300"/>
              <w:spacing w:after="0"/>
              <w:rPr>
                <w:sz w:val="20"/>
                <w:szCs w:val="20"/>
                <w:color w:val="auto"/>
              </w:rPr>
            </w:pPr>
            <w:r>
              <w:rPr>
                <w:rFonts w:ascii="Arial" w:cs="Arial" w:eastAsia="Arial" w:hAnsi="Arial"/>
                <w:sz w:val="14"/>
                <w:szCs w:val="14"/>
                <w:color w:val="auto"/>
              </w:rPr>
              <w:t>60%</w:t>
            </w:r>
          </w:p>
        </w:tc>
        <w:tc>
          <w:tcPr>
            <w:tcW w:w="240" w:type="dxa"/>
            <w:vAlign w:val="bottom"/>
            <w:tcBorders>
              <w:bottom w:val="single" w:sz="8" w:color="005C7D"/>
            </w:tcBorders>
            <w:shd w:val="clear" w:color="auto" w:fill="CDDAE6"/>
          </w:tcPr>
          <w:p>
            <w:pPr>
              <w:ind w:left="4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5C7D"/>
            </w:tcBorders>
            <w:shd w:val="clear" w:color="auto" w:fill="CDDAE6"/>
          </w:tcPr>
          <w:p>
            <w:pPr>
              <w:jc w:val="right"/>
              <w:ind w:right="48"/>
              <w:spacing w:after="0"/>
              <w:rPr>
                <w:sz w:val="20"/>
                <w:szCs w:val="20"/>
                <w:color w:val="auto"/>
              </w:rPr>
            </w:pPr>
            <w:r>
              <w:rPr>
                <w:rFonts w:ascii="Arial" w:cs="Arial" w:eastAsia="Arial" w:hAnsi="Arial"/>
                <w:sz w:val="14"/>
                <w:szCs w:val="14"/>
                <w:color w:val="auto"/>
              </w:rPr>
              <w:t>537</w:t>
            </w:r>
          </w:p>
        </w:tc>
        <w:tc>
          <w:tcPr>
            <w:tcW w:w="580" w:type="dxa"/>
            <w:vAlign w:val="bottom"/>
            <w:tcBorders>
              <w:bottom w:val="single" w:sz="8" w:color="005C7D"/>
            </w:tcBorders>
            <w:shd w:val="clear" w:color="auto" w:fill="CDDAE6"/>
          </w:tcPr>
          <w:p>
            <w:pPr>
              <w:jc w:val="right"/>
              <w:ind w:right="128"/>
              <w:spacing w:after="0"/>
              <w:rPr>
                <w:sz w:val="20"/>
                <w:szCs w:val="20"/>
                <w:color w:val="auto"/>
              </w:rPr>
            </w:pPr>
            <w:r>
              <w:rPr>
                <w:rFonts w:ascii="Arial" w:cs="Arial" w:eastAsia="Arial" w:hAnsi="Arial"/>
                <w:sz w:val="14"/>
                <w:szCs w:val="14"/>
                <w:color w:val="auto"/>
              </w:rPr>
              <w:t>$463</w:t>
            </w:r>
          </w:p>
        </w:tc>
        <w:tc>
          <w:tcPr>
            <w:tcW w:w="620" w:type="dxa"/>
            <w:vAlign w:val="bottom"/>
            <w:tcBorders>
              <w:bottom w:val="single" w:sz="8" w:color="005C7D"/>
            </w:tcBorders>
            <w:gridSpan w:val="2"/>
            <w:shd w:val="clear" w:color="auto" w:fill="CDDAE6"/>
          </w:tcPr>
          <w:p>
            <w:pPr>
              <w:ind w:left="320"/>
              <w:spacing w:after="0"/>
              <w:rPr>
                <w:sz w:val="20"/>
                <w:szCs w:val="20"/>
                <w:color w:val="auto"/>
              </w:rPr>
            </w:pPr>
            <w:r>
              <w:rPr>
                <w:rFonts w:ascii="Arial" w:cs="Arial" w:eastAsia="Arial" w:hAnsi="Arial"/>
                <w:sz w:val="14"/>
                <w:szCs w:val="14"/>
                <w:color w:val="auto"/>
                <w:w w:val="99"/>
              </w:rPr>
              <w:t>15%</w:t>
            </w:r>
          </w:p>
        </w:tc>
        <w:tc>
          <w:tcPr>
            <w:tcW w:w="680" w:type="dxa"/>
            <w:vAlign w:val="bottom"/>
            <w:tcBorders>
              <w:bottom w:val="single" w:sz="8" w:color="005C7D"/>
            </w:tcBorders>
            <w:shd w:val="clear" w:color="auto" w:fill="CDDAE6"/>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69"/>
        </w:trPr>
        <w:tc>
          <w:tcPr>
            <w:tcW w:w="1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Actual results reflect the effects of the pre-established categories of adjustments described above.</w:t>
      </w:r>
    </w:p>
    <w:p>
      <w:pPr>
        <w:spacing w:after="0" w:line="271" w:lineRule="exact"/>
        <w:rPr>
          <w:sz w:val="20"/>
          <w:szCs w:val="20"/>
          <w:color w:val="auto"/>
        </w:rPr>
      </w:pPr>
    </w:p>
    <w:p>
      <w:pPr>
        <w:ind w:left="7820"/>
        <w:spacing w:after="0"/>
        <w:tabs>
          <w:tab w:leader="none" w:pos="932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6071870" cy="431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-107315</wp:posOffset>
            </wp:positionV>
            <wp:extent cx="163195"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55" w:name="page56"/>
    <w:bookmarkEnd w:id="5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005C7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3. Determine personal rating based on individual performance</w:t>
      </w:r>
    </w:p>
    <w:p>
      <w:pPr>
        <w:spacing w:after="0" w:line="17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Personal ratings are based on the assessment of an executive’s performance relative to pre-determined individual goals. The personal rating can range from 0% to 200% of target. For 2016, the Chief Executive Officer provided individual performance assessments and recommended personal ratings for the Committee’s consideration for the other named executive officers based on the factors in the table below (and, in the case of Mr. Kantor, the recommendation of the Chief Operating Officer). The Chief Executive Officer also submitted a self-assessment addressing factors listed for him, but made no recommendation as to his own personal rating. The Committee determined the Chief Executive Officer’s performance rating based on the factors indicated below and following input from the other independent members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1157605" cy="28987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57605" cy="2898775"/>
                    </a:xfrm>
                    <a:prstGeom prst="rect">
                      <a:avLst/>
                    </a:prstGeom>
                    <a:noFill/>
                  </pic:spPr>
                </pic:pic>
              </a:graphicData>
            </a:graphic>
          </wp:anchor>
        </w:drawing>
        <w:drawing>
          <wp:anchor simplePos="0" relativeHeight="251657728" behindDoc="1" locked="0" layoutInCell="0" allowOverlap="1">
            <wp:simplePos x="0" y="0"/>
            <wp:positionH relativeFrom="column">
              <wp:posOffset>2383790</wp:posOffset>
            </wp:positionH>
            <wp:positionV relativeFrom="paragraph">
              <wp:posOffset>12065</wp:posOffset>
            </wp:positionV>
            <wp:extent cx="1226185" cy="28987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26185" cy="2898775"/>
                    </a:xfrm>
                    <a:prstGeom prst="rect">
                      <a:avLst/>
                    </a:prstGeom>
                    <a:noFill/>
                  </pic:spPr>
                </pic:pic>
              </a:graphicData>
            </a:graphic>
          </wp:anchor>
        </w:drawing>
        <w:drawing>
          <wp:anchor simplePos="0" relativeHeight="251657728" behindDoc="1" locked="0" layoutInCell="0" allowOverlap="1">
            <wp:simplePos x="0" y="0"/>
            <wp:positionH relativeFrom="column">
              <wp:posOffset>4836795</wp:posOffset>
            </wp:positionH>
            <wp:positionV relativeFrom="paragraph">
              <wp:posOffset>12065</wp:posOffset>
            </wp:positionV>
            <wp:extent cx="1235075" cy="28987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35075" cy="28987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4"/>
        </w:trPr>
        <w:tc>
          <w:tcPr>
            <w:tcW w:w="1920" w:type="dxa"/>
            <w:vAlign w:val="bottom"/>
            <w:tcBorders>
              <w:top w:val="single" w:sz="8" w:color="005C7D"/>
            </w:tcBorders>
          </w:tcPr>
          <w:p>
            <w:pPr>
              <w:jc w:val="center"/>
              <w:ind w:right="22"/>
              <w:spacing w:after="0"/>
              <w:rPr>
                <w:sz w:val="20"/>
                <w:szCs w:val="20"/>
                <w:color w:val="auto"/>
              </w:rPr>
            </w:pPr>
            <w:r>
              <w:rPr>
                <w:rFonts w:ascii="Arial" w:cs="Arial" w:eastAsia="Arial" w:hAnsi="Arial"/>
                <w:sz w:val="18"/>
                <w:szCs w:val="18"/>
                <w:b w:val="1"/>
                <w:bCs w:val="1"/>
                <w:color w:val="auto"/>
                <w:w w:val="91"/>
              </w:rPr>
              <w:t>Michael T. Strianese</w:t>
            </w:r>
          </w:p>
        </w:tc>
        <w:tc>
          <w:tcPr>
            <w:tcW w:w="1720" w:type="dxa"/>
            <w:vAlign w:val="bottom"/>
            <w:tcBorders>
              <w:top w:val="single" w:sz="8" w:color="005C7D"/>
            </w:tcBorders>
          </w:tcPr>
          <w:p>
            <w:pPr>
              <w:jc w:val="center"/>
              <w:spacing w:after="0"/>
              <w:rPr>
                <w:sz w:val="20"/>
                <w:szCs w:val="20"/>
                <w:color w:val="auto"/>
              </w:rPr>
            </w:pPr>
            <w:r>
              <w:rPr>
                <w:rFonts w:ascii="Arial" w:cs="Arial" w:eastAsia="Arial" w:hAnsi="Arial"/>
                <w:sz w:val="18"/>
                <w:szCs w:val="18"/>
                <w:b w:val="1"/>
                <w:bCs w:val="1"/>
                <w:color w:val="auto"/>
                <w:w w:val="93"/>
              </w:rPr>
              <w:t>Christopher E.</w:t>
            </w:r>
          </w:p>
        </w:tc>
        <w:tc>
          <w:tcPr>
            <w:tcW w:w="2040" w:type="dxa"/>
            <w:vAlign w:val="bottom"/>
            <w:tcBorders>
              <w:top w:val="single" w:sz="8" w:color="005C7D"/>
            </w:tcBorders>
          </w:tcPr>
          <w:p>
            <w:pPr>
              <w:jc w:val="center"/>
              <w:ind w:left="22"/>
              <w:spacing w:after="0"/>
              <w:rPr>
                <w:sz w:val="20"/>
                <w:szCs w:val="20"/>
                <w:color w:val="auto"/>
              </w:rPr>
            </w:pPr>
            <w:r>
              <w:rPr>
                <w:rFonts w:ascii="Arial" w:cs="Arial" w:eastAsia="Arial" w:hAnsi="Arial"/>
                <w:sz w:val="18"/>
                <w:szCs w:val="18"/>
                <w:b w:val="1"/>
                <w:bCs w:val="1"/>
                <w:color w:val="auto"/>
                <w:w w:val="93"/>
              </w:rPr>
              <w:t>Ralph G. D’Ambrosio</w:t>
            </w:r>
          </w:p>
        </w:tc>
        <w:tc>
          <w:tcPr>
            <w:tcW w:w="1940" w:type="dxa"/>
            <w:vAlign w:val="bottom"/>
            <w:tcBorders>
              <w:top w:val="single" w:sz="8" w:color="005C7D"/>
            </w:tcBorders>
          </w:tcPr>
          <w:p>
            <w:pPr>
              <w:jc w:val="center"/>
              <w:spacing w:after="0"/>
              <w:rPr>
                <w:sz w:val="20"/>
                <w:szCs w:val="20"/>
                <w:color w:val="auto"/>
              </w:rPr>
            </w:pPr>
            <w:r>
              <w:rPr>
                <w:rFonts w:ascii="Arial" w:cs="Arial" w:eastAsia="Arial" w:hAnsi="Arial"/>
                <w:sz w:val="18"/>
                <w:szCs w:val="18"/>
                <w:b w:val="1"/>
                <w:bCs w:val="1"/>
                <w:color w:val="auto"/>
                <w:w w:val="91"/>
              </w:rPr>
              <w:t>Curtis Brunson</w:t>
            </w:r>
          </w:p>
        </w:tc>
        <w:tc>
          <w:tcPr>
            <w:tcW w:w="1940" w:type="dxa"/>
            <w:vAlign w:val="bottom"/>
            <w:tcBorders>
              <w:top w:val="single" w:sz="8" w:color="005C7D"/>
            </w:tcBorders>
          </w:tcPr>
          <w:p>
            <w:pPr>
              <w:jc w:val="center"/>
              <w:spacing w:after="0"/>
              <w:rPr>
                <w:sz w:val="20"/>
                <w:szCs w:val="20"/>
                <w:color w:val="auto"/>
              </w:rPr>
            </w:pPr>
            <w:r>
              <w:rPr>
                <w:rFonts w:ascii="Arial" w:cs="Arial" w:eastAsia="Arial" w:hAnsi="Arial"/>
                <w:sz w:val="18"/>
                <w:szCs w:val="18"/>
                <w:b w:val="1"/>
                <w:bCs w:val="1"/>
                <w:color w:val="auto"/>
                <w:w w:val="91"/>
              </w:rPr>
              <w:t>Steve Kantor</w:t>
            </w:r>
          </w:p>
        </w:tc>
        <w:tc>
          <w:tcPr>
            <w:tcW w:w="0" w:type="dxa"/>
            <w:vAlign w:val="bottom"/>
          </w:tcPr>
          <w:p>
            <w:pPr>
              <w:spacing w:after="0"/>
              <w:rPr>
                <w:sz w:val="1"/>
                <w:szCs w:val="1"/>
                <w:color w:val="auto"/>
              </w:rPr>
            </w:pPr>
          </w:p>
        </w:tc>
      </w:tr>
      <w:tr>
        <w:trPr>
          <w:trHeight w:val="180"/>
        </w:trPr>
        <w:tc>
          <w:tcPr>
            <w:tcW w:w="1920" w:type="dxa"/>
            <w:vAlign w:val="bottom"/>
          </w:tcPr>
          <w:p>
            <w:pPr>
              <w:jc w:val="center"/>
              <w:ind w:right="22"/>
              <w:spacing w:after="0"/>
              <w:rPr>
                <w:sz w:val="20"/>
                <w:szCs w:val="20"/>
                <w:color w:val="auto"/>
              </w:rPr>
            </w:pPr>
            <w:r>
              <w:rPr>
                <w:rFonts w:ascii="Arial" w:cs="Arial" w:eastAsia="Arial" w:hAnsi="Arial"/>
                <w:sz w:val="14"/>
                <w:szCs w:val="14"/>
                <w:b w:val="1"/>
                <w:bCs w:val="1"/>
                <w:color w:val="auto"/>
                <w:w w:val="95"/>
              </w:rPr>
              <w:t>(Chairman and</w:t>
            </w:r>
          </w:p>
        </w:tc>
        <w:tc>
          <w:tcPr>
            <w:tcW w:w="17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Kubasik</w:t>
            </w:r>
          </w:p>
        </w:tc>
        <w:tc>
          <w:tcPr>
            <w:tcW w:w="2040" w:type="dxa"/>
            <w:vAlign w:val="bottom"/>
          </w:tcPr>
          <w:p>
            <w:pPr>
              <w:jc w:val="center"/>
              <w:ind w:left="42"/>
              <w:spacing w:after="0"/>
              <w:rPr>
                <w:sz w:val="20"/>
                <w:szCs w:val="20"/>
                <w:color w:val="auto"/>
              </w:rPr>
            </w:pPr>
            <w:r>
              <w:rPr>
                <w:rFonts w:ascii="Arial" w:cs="Arial" w:eastAsia="Arial" w:hAnsi="Arial"/>
                <w:sz w:val="14"/>
                <w:szCs w:val="14"/>
                <w:b w:val="1"/>
                <w:bCs w:val="1"/>
                <w:color w:val="auto"/>
                <w:w w:val="92"/>
              </w:rPr>
              <w:t>(Senior Vice President and</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(Former Executive Vice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(Former Senior Vice</w:t>
            </w:r>
          </w:p>
        </w:tc>
        <w:tc>
          <w:tcPr>
            <w:tcW w:w="0" w:type="dxa"/>
            <w:vAlign w:val="bottom"/>
          </w:tcPr>
          <w:p>
            <w:pPr>
              <w:spacing w:after="0"/>
              <w:rPr>
                <w:sz w:val="1"/>
                <w:szCs w:val="1"/>
                <w:color w:val="auto"/>
              </w:rPr>
            </w:pPr>
          </w:p>
        </w:tc>
      </w:tr>
      <w:tr>
        <w:trPr>
          <w:trHeight w:val="153"/>
        </w:trPr>
        <w:tc>
          <w:tcPr>
            <w:tcW w:w="1920" w:type="dxa"/>
            <w:vAlign w:val="bottom"/>
          </w:tcPr>
          <w:p>
            <w:pPr>
              <w:jc w:val="center"/>
              <w:ind w:right="22"/>
              <w:spacing w:after="0" w:line="153" w:lineRule="exact"/>
              <w:rPr>
                <w:sz w:val="20"/>
                <w:szCs w:val="20"/>
                <w:color w:val="auto"/>
              </w:rPr>
            </w:pPr>
            <w:r>
              <w:rPr>
                <w:rFonts w:ascii="Arial" w:cs="Arial" w:eastAsia="Arial" w:hAnsi="Arial"/>
                <w:sz w:val="14"/>
                <w:szCs w:val="14"/>
                <w:b w:val="1"/>
                <w:bCs w:val="1"/>
                <w:color w:val="auto"/>
                <w:w w:val="94"/>
              </w:rPr>
              <w:t>Chief Executive Officer)</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(President and Chief</w:t>
            </w:r>
          </w:p>
        </w:tc>
        <w:tc>
          <w:tcPr>
            <w:tcW w:w="2040" w:type="dxa"/>
            <w:vAlign w:val="bottom"/>
          </w:tcPr>
          <w:p>
            <w:pPr>
              <w:jc w:val="center"/>
              <w:ind w:left="22"/>
              <w:spacing w:after="0" w:line="153" w:lineRule="exact"/>
              <w:rPr>
                <w:sz w:val="20"/>
                <w:szCs w:val="20"/>
                <w:color w:val="auto"/>
              </w:rPr>
            </w:pPr>
            <w:r>
              <w:rPr>
                <w:rFonts w:ascii="Arial" w:cs="Arial" w:eastAsia="Arial" w:hAnsi="Arial"/>
                <w:sz w:val="14"/>
                <w:szCs w:val="14"/>
                <w:b w:val="1"/>
                <w:bCs w:val="1"/>
                <w:color w:val="auto"/>
                <w:w w:val="95"/>
              </w:rPr>
              <w:t>Chief Financial Officer)</w:t>
            </w:r>
          </w:p>
        </w:tc>
        <w:tc>
          <w:tcPr>
            <w:tcW w:w="1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President of Corporate</w:t>
            </w:r>
          </w:p>
        </w:tc>
        <w:tc>
          <w:tcPr>
            <w:tcW w:w="1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President and President of</w:t>
            </w:r>
          </w:p>
        </w:tc>
        <w:tc>
          <w:tcPr>
            <w:tcW w:w="0" w:type="dxa"/>
            <w:vAlign w:val="bottom"/>
          </w:tcPr>
          <w:p>
            <w:pPr>
              <w:spacing w:after="0"/>
              <w:rPr>
                <w:sz w:val="1"/>
                <w:szCs w:val="1"/>
                <w:color w:val="auto"/>
              </w:rPr>
            </w:pPr>
          </w:p>
        </w:tc>
      </w:tr>
      <w:tr>
        <w:trPr>
          <w:trHeight w:val="54"/>
        </w:trPr>
        <w:tc>
          <w:tcPr>
            <w:tcW w:w="192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2040" w:type="dxa"/>
            <w:vAlign w:val="bottom"/>
          </w:tcPr>
          <w:p>
            <w:pPr>
              <w:spacing w:after="0"/>
              <w:rPr>
                <w:sz w:val="4"/>
                <w:szCs w:val="4"/>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Strategy and Development)</w:t>
            </w: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Electronic Systems Group)</w:t>
            </w:r>
          </w:p>
        </w:tc>
        <w:tc>
          <w:tcPr>
            <w:tcW w:w="0" w:type="dxa"/>
            <w:vAlign w:val="bottom"/>
          </w:tcPr>
          <w:p>
            <w:pPr>
              <w:spacing w:after="0"/>
              <w:rPr>
                <w:sz w:val="1"/>
                <w:szCs w:val="1"/>
                <w:color w:val="auto"/>
              </w:rPr>
            </w:pPr>
          </w:p>
        </w:tc>
      </w:tr>
      <w:tr>
        <w:trPr>
          <w:trHeight w:val="132"/>
        </w:trPr>
        <w:tc>
          <w:tcPr>
            <w:tcW w:w="1920" w:type="dxa"/>
            <w:vAlign w:val="bottom"/>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Operating Officer)</w:t>
            </w:r>
          </w:p>
        </w:tc>
        <w:tc>
          <w:tcPr>
            <w:tcW w:w="204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920" w:type="dxa"/>
            <w:vAlign w:val="bottom"/>
            <w:tcBorders>
              <w:bottom w:val="single" w:sz="8" w:color="005C7D"/>
            </w:tcBorders>
          </w:tcPr>
          <w:p>
            <w:pPr>
              <w:spacing w:after="0"/>
              <w:rPr>
                <w:sz w:val="4"/>
                <w:szCs w:val="4"/>
                <w:color w:val="auto"/>
              </w:rPr>
            </w:pPr>
          </w:p>
        </w:tc>
        <w:tc>
          <w:tcPr>
            <w:tcW w:w="1720" w:type="dxa"/>
            <w:vAlign w:val="bottom"/>
            <w:tcBorders>
              <w:bottom w:val="single" w:sz="8" w:color="005C7D"/>
            </w:tcBorders>
            <w:vMerge w:val="continue"/>
          </w:tcPr>
          <w:p>
            <w:pPr>
              <w:spacing w:after="0"/>
              <w:rPr>
                <w:sz w:val="4"/>
                <w:szCs w:val="4"/>
                <w:color w:val="auto"/>
              </w:rPr>
            </w:pPr>
          </w:p>
        </w:tc>
        <w:tc>
          <w:tcPr>
            <w:tcW w:w="2040" w:type="dxa"/>
            <w:vAlign w:val="bottom"/>
            <w:tcBorders>
              <w:bottom w:val="single" w:sz="8" w:color="005C7D"/>
            </w:tcBorders>
          </w:tcPr>
          <w:p>
            <w:pPr>
              <w:spacing w:after="0"/>
              <w:rPr>
                <w:sz w:val="4"/>
                <w:szCs w:val="4"/>
                <w:color w:val="auto"/>
              </w:rPr>
            </w:pPr>
          </w:p>
        </w:tc>
        <w:tc>
          <w:tcPr>
            <w:tcW w:w="1940" w:type="dxa"/>
            <w:vAlign w:val="bottom"/>
            <w:tcBorders>
              <w:bottom w:val="single" w:sz="8" w:color="005C7D"/>
            </w:tcBorders>
          </w:tcPr>
          <w:p>
            <w:pPr>
              <w:spacing w:after="0"/>
              <w:rPr>
                <w:sz w:val="4"/>
                <w:szCs w:val="4"/>
                <w:color w:val="auto"/>
              </w:rPr>
            </w:pPr>
          </w:p>
        </w:tc>
        <w:tc>
          <w:tcPr>
            <w:tcW w:w="1940" w:type="dxa"/>
            <w:vAlign w:val="bottom"/>
            <w:tcBorders>
              <w:bottom w:val="single" w:sz="8" w:color="005C7D"/>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sectPr>
          <w:pgSz w:w="11900" w:h="16838" w:orient="portrait"/>
          <w:cols w:equalWidth="0" w:num="1">
            <w:col w:w="9560"/>
          </w:cols>
          <w:pgMar w:left="1180" w:top="279" w:right="1159" w:bottom="1440" w:gutter="0" w:footer="0" w:header="0"/>
        </w:sectPr>
      </w:pPr>
    </w:p>
    <w:tbl>
      <w:tblPr>
        <w:tblLayout w:type="fixed"/>
        <w:tblInd w:w="120" w:type="dxa"/>
        <w:tblCellMar>
          <w:top w:w="0" w:type="dxa"/>
          <w:left w:w="0" w:type="dxa"/>
          <w:bottom w:w="0" w:type="dxa"/>
          <w:right w:w="0" w:type="dxa"/>
        </w:tblCellMar>
      </w:tblPr>
      <w:tr>
        <w:trPr>
          <w:trHeight w:val="203"/>
        </w:trPr>
        <w:tc>
          <w:tcPr>
            <w:tcW w:w="1660" w:type="dxa"/>
            <w:vAlign w:val="bottom"/>
          </w:tcPr>
          <w:p>
            <w:pPr>
              <w:spacing w:after="0"/>
              <w:rPr>
                <w:sz w:val="20"/>
                <w:szCs w:val="20"/>
                <w:color w:val="auto"/>
              </w:rPr>
            </w:pPr>
            <w:r>
              <w:rPr>
                <w:rFonts w:ascii="Arial" w:cs="Arial" w:eastAsia="Arial" w:hAnsi="Arial"/>
                <w:sz w:val="16"/>
                <w:szCs w:val="16"/>
                <w:color w:val="auto"/>
              </w:rPr>
              <w:t>• Company financial</w:t>
            </w:r>
          </w:p>
        </w:tc>
        <w:tc>
          <w:tcPr>
            <w:tcW w:w="1980" w:type="dxa"/>
            <w:vAlign w:val="bottom"/>
          </w:tcPr>
          <w:p>
            <w:pPr>
              <w:ind w:left="120"/>
              <w:spacing w:after="0"/>
              <w:rPr>
                <w:sz w:val="20"/>
                <w:szCs w:val="20"/>
                <w:color w:val="auto"/>
              </w:rPr>
            </w:pPr>
            <w:r>
              <w:rPr>
                <w:rFonts w:ascii="Arial" w:cs="Arial" w:eastAsia="Arial" w:hAnsi="Arial"/>
                <w:sz w:val="16"/>
                <w:szCs w:val="16"/>
                <w:color w:val="auto"/>
              </w:rPr>
              <w:t>• Company operational</w:t>
            </w:r>
          </w:p>
        </w:tc>
        <w:tc>
          <w:tcPr>
            <w:tcW w:w="1680" w:type="dxa"/>
            <w:vAlign w:val="bottom"/>
          </w:tcPr>
          <w:p>
            <w:pPr>
              <w:ind w:left="100"/>
              <w:spacing w:after="0"/>
              <w:rPr>
                <w:sz w:val="20"/>
                <w:szCs w:val="20"/>
                <w:color w:val="auto"/>
              </w:rPr>
            </w:pPr>
            <w:r>
              <w:rPr>
                <w:rFonts w:ascii="Arial" w:cs="Arial" w:eastAsia="Arial" w:hAnsi="Arial"/>
                <w:sz w:val="16"/>
                <w:szCs w:val="16"/>
                <w:color w:val="auto"/>
              </w:rPr>
              <w:t>• Timely and accurate</w:t>
            </w:r>
          </w:p>
        </w:tc>
        <w:tc>
          <w:tcPr>
            <w:tcW w:w="0" w:type="dxa"/>
            <w:vAlign w:val="bottom"/>
          </w:tcPr>
          <w:p>
            <w:pPr>
              <w:spacing w:after="0"/>
              <w:rPr>
                <w:sz w:val="1"/>
                <w:szCs w:val="1"/>
                <w:color w:val="auto"/>
              </w:rPr>
            </w:pPr>
          </w:p>
        </w:tc>
      </w:tr>
      <w:tr>
        <w:trPr>
          <w:trHeight w:val="203"/>
        </w:trPr>
        <w:tc>
          <w:tcPr>
            <w:tcW w:w="1660" w:type="dxa"/>
            <w:vAlign w:val="bottom"/>
          </w:tcPr>
          <w:p>
            <w:pPr>
              <w:ind w:left="80"/>
              <w:spacing w:after="0"/>
              <w:rPr>
                <w:sz w:val="20"/>
                <w:szCs w:val="20"/>
                <w:color w:val="auto"/>
              </w:rPr>
            </w:pPr>
            <w:r>
              <w:rPr>
                <w:rFonts w:ascii="Arial" w:cs="Arial" w:eastAsia="Arial" w:hAnsi="Arial"/>
                <w:sz w:val="16"/>
                <w:szCs w:val="16"/>
                <w:color w:val="auto"/>
              </w:rPr>
              <w:t>performance</w:t>
            </w:r>
          </w:p>
        </w:tc>
        <w:tc>
          <w:tcPr>
            <w:tcW w:w="1980" w:type="dxa"/>
            <w:vAlign w:val="bottom"/>
          </w:tcPr>
          <w:p>
            <w:pPr>
              <w:ind w:left="220"/>
              <w:spacing w:after="0"/>
              <w:rPr>
                <w:sz w:val="20"/>
                <w:szCs w:val="20"/>
                <w:color w:val="auto"/>
              </w:rPr>
            </w:pPr>
            <w:r>
              <w:rPr>
                <w:rFonts w:ascii="Arial" w:cs="Arial" w:eastAsia="Arial" w:hAnsi="Arial"/>
                <w:sz w:val="16"/>
                <w:szCs w:val="16"/>
                <w:color w:val="auto"/>
              </w:rPr>
              <w:t>performance</w:t>
            </w:r>
          </w:p>
        </w:tc>
        <w:tc>
          <w:tcPr>
            <w:tcW w:w="1680" w:type="dxa"/>
            <w:vAlign w:val="bottom"/>
          </w:tcPr>
          <w:p>
            <w:pPr>
              <w:ind w:left="180"/>
              <w:spacing w:after="0"/>
              <w:rPr>
                <w:sz w:val="20"/>
                <w:szCs w:val="20"/>
                <w:color w:val="auto"/>
              </w:rPr>
            </w:pPr>
            <w:r>
              <w:rPr>
                <w:rFonts w:ascii="Arial" w:cs="Arial" w:eastAsia="Arial" w:hAnsi="Arial"/>
                <w:sz w:val="16"/>
                <w:szCs w:val="16"/>
                <w:color w:val="auto"/>
                <w:w w:val="93"/>
              </w:rPr>
              <w:t>financial reporting and</w:t>
            </w:r>
          </w:p>
        </w:tc>
        <w:tc>
          <w:tcPr>
            <w:tcW w:w="0" w:type="dxa"/>
            <w:vAlign w:val="bottom"/>
          </w:tcPr>
          <w:p>
            <w:pPr>
              <w:spacing w:after="0"/>
              <w:rPr>
                <w:sz w:val="1"/>
                <w:szCs w:val="1"/>
                <w:color w:val="auto"/>
              </w:rPr>
            </w:pPr>
          </w:p>
        </w:tc>
      </w:tr>
      <w:tr>
        <w:trPr>
          <w:trHeight w:val="206"/>
        </w:trPr>
        <w:tc>
          <w:tcPr>
            <w:tcW w:w="1660" w:type="dxa"/>
            <w:vAlign w:val="bottom"/>
            <w:vMerge w:val="restart"/>
          </w:tcPr>
          <w:p>
            <w:pPr>
              <w:spacing w:after="0"/>
              <w:rPr>
                <w:sz w:val="20"/>
                <w:szCs w:val="20"/>
                <w:color w:val="auto"/>
              </w:rPr>
            </w:pPr>
            <w:r>
              <w:rPr>
                <w:rFonts w:ascii="Arial" w:cs="Arial" w:eastAsia="Arial" w:hAnsi="Arial"/>
                <w:sz w:val="16"/>
                <w:szCs w:val="16"/>
                <w:color w:val="auto"/>
              </w:rPr>
              <w:t>• Market positioning</w:t>
            </w:r>
          </w:p>
        </w:tc>
        <w:tc>
          <w:tcPr>
            <w:tcW w:w="1980" w:type="dxa"/>
            <w:vAlign w:val="bottom"/>
            <w:vMerge w:val="restart"/>
          </w:tcPr>
          <w:p>
            <w:pPr>
              <w:ind w:left="120"/>
              <w:spacing w:after="0"/>
              <w:rPr>
                <w:sz w:val="20"/>
                <w:szCs w:val="20"/>
                <w:color w:val="auto"/>
              </w:rPr>
            </w:pPr>
            <w:r>
              <w:rPr>
                <w:rFonts w:ascii="Arial" w:cs="Arial" w:eastAsia="Arial" w:hAnsi="Arial"/>
                <w:sz w:val="16"/>
                <w:szCs w:val="16"/>
                <w:color w:val="auto"/>
                <w:w w:val="95"/>
              </w:rPr>
              <w:t>• Mergers, acquisitions and</w:t>
            </w:r>
          </w:p>
        </w:tc>
        <w:tc>
          <w:tcPr>
            <w:tcW w:w="1680" w:type="dxa"/>
            <w:vAlign w:val="bottom"/>
          </w:tcPr>
          <w:p>
            <w:pPr>
              <w:ind w:left="180"/>
              <w:spacing w:after="0"/>
              <w:rPr>
                <w:sz w:val="20"/>
                <w:szCs w:val="20"/>
                <w:color w:val="auto"/>
              </w:rPr>
            </w:pPr>
            <w:r>
              <w:rPr>
                <w:rFonts w:ascii="Arial" w:cs="Arial" w:eastAsia="Arial" w:hAnsi="Arial"/>
                <w:sz w:val="16"/>
                <w:szCs w:val="16"/>
                <w:color w:val="auto"/>
              </w:rPr>
              <w:t>forecasting</w:t>
            </w:r>
          </w:p>
        </w:tc>
        <w:tc>
          <w:tcPr>
            <w:tcW w:w="0" w:type="dxa"/>
            <w:vAlign w:val="bottom"/>
          </w:tcPr>
          <w:p>
            <w:pPr>
              <w:spacing w:after="0"/>
              <w:rPr>
                <w:sz w:val="1"/>
                <w:szCs w:val="1"/>
                <w:color w:val="auto"/>
              </w:rPr>
            </w:pPr>
          </w:p>
        </w:tc>
      </w:tr>
      <w:tr>
        <w:trPr>
          <w:trHeight w:val="77"/>
        </w:trPr>
        <w:tc>
          <w:tcPr>
            <w:tcW w:w="1660" w:type="dxa"/>
            <w:vAlign w:val="bottom"/>
            <w:vMerge w:val="continue"/>
          </w:tcPr>
          <w:p>
            <w:pPr>
              <w:spacing w:after="0"/>
              <w:rPr>
                <w:sz w:val="6"/>
                <w:szCs w:val="6"/>
                <w:color w:val="auto"/>
              </w:rPr>
            </w:pPr>
          </w:p>
        </w:tc>
        <w:tc>
          <w:tcPr>
            <w:tcW w:w="1980" w:type="dxa"/>
            <w:vAlign w:val="bottom"/>
            <w:vMerge w:val="continue"/>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660" w:type="dxa"/>
            <w:vAlign w:val="bottom"/>
            <w:vMerge w:val="restart"/>
          </w:tcPr>
          <w:p>
            <w:pPr>
              <w:spacing w:after="0"/>
              <w:rPr>
                <w:sz w:val="20"/>
                <w:szCs w:val="20"/>
                <w:color w:val="auto"/>
              </w:rPr>
            </w:pPr>
            <w:r>
              <w:rPr>
                <w:rFonts w:ascii="Arial" w:cs="Arial" w:eastAsia="Arial" w:hAnsi="Arial"/>
                <w:sz w:val="16"/>
                <w:szCs w:val="16"/>
                <w:color w:val="auto"/>
                <w:w w:val="99"/>
              </w:rPr>
              <w:t>• Optimizing operations</w:t>
            </w:r>
          </w:p>
        </w:tc>
        <w:tc>
          <w:tcPr>
            <w:tcW w:w="1980" w:type="dxa"/>
            <w:vAlign w:val="bottom"/>
          </w:tcPr>
          <w:p>
            <w:pPr>
              <w:ind w:left="220"/>
              <w:spacing w:after="0"/>
              <w:rPr>
                <w:sz w:val="20"/>
                <w:szCs w:val="20"/>
                <w:color w:val="auto"/>
              </w:rPr>
            </w:pPr>
            <w:r>
              <w:rPr>
                <w:rFonts w:ascii="Arial" w:cs="Arial" w:eastAsia="Arial" w:hAnsi="Arial"/>
                <w:sz w:val="16"/>
                <w:szCs w:val="16"/>
                <w:color w:val="auto"/>
              </w:rPr>
              <w:t>divestitures</w:t>
            </w:r>
          </w:p>
        </w:tc>
        <w:tc>
          <w:tcPr>
            <w:tcW w:w="1680" w:type="dxa"/>
            <w:vAlign w:val="bottom"/>
          </w:tcPr>
          <w:p>
            <w:pPr>
              <w:ind w:left="100"/>
              <w:spacing w:after="0"/>
              <w:rPr>
                <w:sz w:val="20"/>
                <w:szCs w:val="20"/>
                <w:color w:val="auto"/>
              </w:rPr>
            </w:pPr>
            <w:r>
              <w:rPr>
                <w:rFonts w:ascii="Arial" w:cs="Arial" w:eastAsia="Arial" w:hAnsi="Arial"/>
                <w:sz w:val="16"/>
                <w:szCs w:val="16"/>
                <w:color w:val="auto"/>
                <w:w w:val="90"/>
              </w:rPr>
              <w:t>• Management of capital</w:t>
            </w:r>
          </w:p>
        </w:tc>
        <w:tc>
          <w:tcPr>
            <w:tcW w:w="0" w:type="dxa"/>
            <w:vAlign w:val="bottom"/>
          </w:tcPr>
          <w:p>
            <w:pPr>
              <w:spacing w:after="0"/>
              <w:rPr>
                <w:sz w:val="1"/>
                <w:szCs w:val="1"/>
                <w:color w:val="auto"/>
              </w:rPr>
            </w:pPr>
          </w:p>
        </w:tc>
      </w:tr>
      <w:tr>
        <w:trPr>
          <w:trHeight w:val="85"/>
        </w:trPr>
        <w:tc>
          <w:tcPr>
            <w:tcW w:w="1660" w:type="dxa"/>
            <w:vAlign w:val="bottom"/>
            <w:vMerge w:val="continue"/>
          </w:tcPr>
          <w:p>
            <w:pPr>
              <w:spacing w:after="0"/>
              <w:rPr>
                <w:sz w:val="7"/>
                <w:szCs w:val="7"/>
                <w:color w:val="auto"/>
              </w:rPr>
            </w:pPr>
          </w:p>
        </w:tc>
        <w:tc>
          <w:tcPr>
            <w:tcW w:w="1980" w:type="dxa"/>
            <w:vAlign w:val="bottom"/>
            <w:vMerge w:val="restart"/>
          </w:tcPr>
          <w:p>
            <w:pPr>
              <w:ind w:left="120"/>
              <w:spacing w:after="0"/>
              <w:rPr>
                <w:sz w:val="20"/>
                <w:szCs w:val="20"/>
                <w:color w:val="auto"/>
              </w:rPr>
            </w:pPr>
            <w:r>
              <w:rPr>
                <w:rFonts w:ascii="Arial" w:cs="Arial" w:eastAsia="Arial" w:hAnsi="Arial"/>
                <w:sz w:val="16"/>
                <w:szCs w:val="16"/>
                <w:color w:val="auto"/>
              </w:rPr>
              <w:t>• Strategic industry</w:t>
            </w:r>
          </w:p>
        </w:tc>
        <w:tc>
          <w:tcPr>
            <w:tcW w:w="1680" w:type="dxa"/>
            <w:vAlign w:val="bottom"/>
            <w:vMerge w:val="restart"/>
          </w:tcPr>
          <w:p>
            <w:pPr>
              <w:ind w:left="180"/>
              <w:spacing w:after="0"/>
              <w:rPr>
                <w:sz w:val="20"/>
                <w:szCs w:val="20"/>
                <w:color w:val="auto"/>
              </w:rPr>
            </w:pPr>
            <w:r>
              <w:rPr>
                <w:rFonts w:ascii="Arial" w:cs="Arial" w:eastAsia="Arial" w:hAnsi="Arial"/>
                <w:sz w:val="16"/>
                <w:szCs w:val="16"/>
                <w:color w:val="auto"/>
                <w:w w:val="97"/>
              </w:rPr>
              <w:t>structure and liquidity</w:t>
            </w:r>
          </w:p>
        </w:tc>
        <w:tc>
          <w:tcPr>
            <w:tcW w:w="0" w:type="dxa"/>
            <w:vAlign w:val="bottom"/>
          </w:tcPr>
          <w:p>
            <w:pPr>
              <w:spacing w:after="0"/>
              <w:rPr>
                <w:sz w:val="1"/>
                <w:szCs w:val="1"/>
                <w:color w:val="auto"/>
              </w:rPr>
            </w:pPr>
          </w:p>
        </w:tc>
      </w:tr>
      <w:tr>
        <w:trPr>
          <w:trHeight w:val="122"/>
        </w:trPr>
        <w:tc>
          <w:tcPr>
            <w:tcW w:w="1660" w:type="dxa"/>
            <w:vAlign w:val="bottom"/>
            <w:vMerge w:val="restart"/>
          </w:tcPr>
          <w:p>
            <w:pPr>
              <w:spacing w:after="0"/>
              <w:rPr>
                <w:sz w:val="20"/>
                <w:szCs w:val="20"/>
                <w:color w:val="auto"/>
              </w:rPr>
            </w:pPr>
            <w:r>
              <w:rPr>
                <w:rFonts w:ascii="Arial" w:cs="Arial" w:eastAsia="Arial" w:hAnsi="Arial"/>
                <w:sz w:val="16"/>
                <w:szCs w:val="16"/>
                <w:color w:val="auto"/>
              </w:rPr>
              <w:t>• Internal collaboration</w:t>
            </w:r>
          </w:p>
        </w:tc>
        <w:tc>
          <w:tcPr>
            <w:tcW w:w="19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660" w:type="dxa"/>
            <w:vAlign w:val="bottom"/>
            <w:vMerge w:val="continue"/>
          </w:tcPr>
          <w:p>
            <w:pPr>
              <w:spacing w:after="0"/>
              <w:rPr>
                <w:sz w:val="6"/>
                <w:szCs w:val="6"/>
                <w:color w:val="auto"/>
              </w:rPr>
            </w:pPr>
          </w:p>
        </w:tc>
        <w:tc>
          <w:tcPr>
            <w:tcW w:w="1980" w:type="dxa"/>
            <w:vAlign w:val="bottom"/>
            <w:vMerge w:val="continue"/>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660" w:type="dxa"/>
            <w:vAlign w:val="bottom"/>
            <w:vMerge w:val="continue"/>
          </w:tcPr>
          <w:p>
            <w:pPr>
              <w:spacing w:after="0"/>
              <w:rPr>
                <w:sz w:val="7"/>
                <w:szCs w:val="7"/>
                <w:color w:val="auto"/>
              </w:rPr>
            </w:pPr>
          </w:p>
        </w:tc>
        <w:tc>
          <w:tcPr>
            <w:tcW w:w="1980" w:type="dxa"/>
            <w:vAlign w:val="bottom"/>
            <w:vMerge w:val="restart"/>
          </w:tcPr>
          <w:p>
            <w:pPr>
              <w:ind w:left="220"/>
              <w:spacing w:after="0"/>
              <w:rPr>
                <w:sz w:val="20"/>
                <w:szCs w:val="20"/>
                <w:color w:val="auto"/>
              </w:rPr>
            </w:pPr>
            <w:r>
              <w:rPr>
                <w:rFonts w:ascii="Arial" w:cs="Arial" w:eastAsia="Arial" w:hAnsi="Arial"/>
                <w:sz w:val="16"/>
                <w:szCs w:val="16"/>
                <w:color w:val="auto"/>
              </w:rPr>
              <w:t>teaming agreements</w:t>
            </w:r>
          </w:p>
        </w:tc>
        <w:tc>
          <w:tcPr>
            <w:tcW w:w="1680" w:type="dxa"/>
            <w:vAlign w:val="bottom"/>
            <w:vMerge w:val="restart"/>
          </w:tcPr>
          <w:p>
            <w:pPr>
              <w:ind w:left="100"/>
              <w:spacing w:after="0"/>
              <w:rPr>
                <w:sz w:val="20"/>
                <w:szCs w:val="20"/>
                <w:color w:val="auto"/>
              </w:rPr>
            </w:pPr>
            <w:r>
              <w:rPr>
                <w:rFonts w:ascii="Arial" w:cs="Arial" w:eastAsia="Arial" w:hAnsi="Arial"/>
                <w:sz w:val="16"/>
                <w:szCs w:val="16"/>
                <w:color w:val="auto"/>
                <w:w w:val="96"/>
              </w:rPr>
              <w:t>• Internal management</w:t>
            </w:r>
          </w:p>
        </w:tc>
        <w:tc>
          <w:tcPr>
            <w:tcW w:w="0" w:type="dxa"/>
            <w:vAlign w:val="bottom"/>
          </w:tcPr>
          <w:p>
            <w:pPr>
              <w:spacing w:after="0"/>
              <w:rPr>
                <w:sz w:val="1"/>
                <w:szCs w:val="1"/>
                <w:color w:val="auto"/>
              </w:rPr>
            </w:pPr>
          </w:p>
        </w:tc>
      </w:tr>
      <w:tr>
        <w:trPr>
          <w:trHeight w:val="118"/>
        </w:trPr>
        <w:tc>
          <w:tcPr>
            <w:tcW w:w="1660" w:type="dxa"/>
            <w:vAlign w:val="bottom"/>
            <w:vMerge w:val="restart"/>
          </w:tcPr>
          <w:p>
            <w:pPr>
              <w:spacing w:after="0"/>
              <w:rPr>
                <w:sz w:val="20"/>
                <w:szCs w:val="20"/>
                <w:color w:val="auto"/>
              </w:rPr>
            </w:pPr>
            <w:r>
              <w:rPr>
                <w:rFonts w:ascii="Arial" w:cs="Arial" w:eastAsia="Arial" w:hAnsi="Arial"/>
                <w:sz w:val="16"/>
                <w:szCs w:val="16"/>
                <w:color w:val="auto"/>
              </w:rPr>
              <w:t>• Leadership</w:t>
            </w:r>
          </w:p>
        </w:tc>
        <w:tc>
          <w:tcPr>
            <w:tcW w:w="19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660" w:type="dxa"/>
            <w:vAlign w:val="bottom"/>
            <w:vMerge w:val="continue"/>
          </w:tcPr>
          <w:p>
            <w:pPr>
              <w:spacing w:after="0"/>
              <w:rPr>
                <w:sz w:val="17"/>
                <w:szCs w:val="17"/>
                <w:color w:val="auto"/>
              </w:rPr>
            </w:pPr>
          </w:p>
        </w:tc>
        <w:tc>
          <w:tcPr>
            <w:tcW w:w="1980" w:type="dxa"/>
            <w:vAlign w:val="bottom"/>
          </w:tcPr>
          <w:p>
            <w:pPr>
              <w:ind w:left="220"/>
              <w:spacing w:after="0"/>
              <w:rPr>
                <w:sz w:val="20"/>
                <w:szCs w:val="20"/>
                <w:color w:val="auto"/>
              </w:rPr>
            </w:pPr>
            <w:r>
              <w:rPr>
                <w:rFonts w:ascii="Arial" w:cs="Arial" w:eastAsia="Arial" w:hAnsi="Arial"/>
                <w:sz w:val="16"/>
                <w:szCs w:val="16"/>
                <w:color w:val="auto"/>
              </w:rPr>
              <w:t>and relationships</w:t>
            </w:r>
          </w:p>
        </w:tc>
        <w:tc>
          <w:tcPr>
            <w:tcW w:w="1680" w:type="dxa"/>
            <w:vAlign w:val="bottom"/>
          </w:tcPr>
          <w:p>
            <w:pPr>
              <w:ind w:left="180"/>
              <w:spacing w:after="0"/>
              <w:rPr>
                <w:sz w:val="20"/>
                <w:szCs w:val="20"/>
                <w:color w:val="auto"/>
              </w:rPr>
            </w:pPr>
            <w:r>
              <w:rPr>
                <w:rFonts w:ascii="Arial" w:cs="Arial" w:eastAsia="Arial" w:hAnsi="Arial"/>
                <w:sz w:val="16"/>
                <w:szCs w:val="16"/>
                <w:color w:val="auto"/>
                <w:w w:val="95"/>
              </w:rPr>
              <w:t>reporting and external</w:t>
            </w: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0"/>
                <w:szCs w:val="20"/>
                <w:color w:val="auto"/>
              </w:rPr>
            </w:pPr>
            <w:r>
              <w:rPr>
                <w:rFonts w:ascii="Arial" w:cs="Arial" w:eastAsia="Arial" w:hAnsi="Arial"/>
                <w:sz w:val="16"/>
                <w:szCs w:val="16"/>
                <w:color w:val="auto"/>
              </w:rPr>
              <w:t>• Enterprise risk</w:t>
            </w:r>
          </w:p>
        </w:tc>
        <w:tc>
          <w:tcPr>
            <w:tcW w:w="1980" w:type="dxa"/>
            <w:vAlign w:val="bottom"/>
          </w:tcPr>
          <w:p>
            <w:pPr>
              <w:ind w:left="120"/>
              <w:spacing w:after="0"/>
              <w:rPr>
                <w:sz w:val="20"/>
                <w:szCs w:val="20"/>
                <w:color w:val="auto"/>
              </w:rPr>
            </w:pPr>
            <w:r>
              <w:rPr>
                <w:rFonts w:ascii="Arial" w:cs="Arial" w:eastAsia="Arial" w:hAnsi="Arial"/>
                <w:sz w:val="16"/>
                <w:szCs w:val="16"/>
                <w:color w:val="auto"/>
              </w:rPr>
              <w:t>• Strategic customer</w:t>
            </w:r>
          </w:p>
        </w:tc>
        <w:tc>
          <w:tcPr>
            <w:tcW w:w="1680" w:type="dxa"/>
            <w:vAlign w:val="bottom"/>
          </w:tcPr>
          <w:p>
            <w:pPr>
              <w:ind w:left="180"/>
              <w:spacing w:after="0"/>
              <w:rPr>
                <w:sz w:val="20"/>
                <w:szCs w:val="20"/>
                <w:color w:val="auto"/>
              </w:rPr>
            </w:pPr>
            <w:r>
              <w:rPr>
                <w:rFonts w:ascii="Arial" w:cs="Arial" w:eastAsia="Arial" w:hAnsi="Arial"/>
                <w:sz w:val="16"/>
                <w:szCs w:val="16"/>
                <w:color w:val="auto"/>
              </w:rPr>
              <w:t>financial reporting</w:t>
            </w:r>
          </w:p>
        </w:tc>
        <w:tc>
          <w:tcPr>
            <w:tcW w:w="0" w:type="dxa"/>
            <w:vAlign w:val="bottom"/>
          </w:tcPr>
          <w:p>
            <w:pPr>
              <w:spacing w:after="0"/>
              <w:rPr>
                <w:sz w:val="1"/>
                <w:szCs w:val="1"/>
                <w:color w:val="auto"/>
              </w:rPr>
            </w:pPr>
          </w:p>
        </w:tc>
      </w:tr>
      <w:tr>
        <w:trPr>
          <w:trHeight w:val="243"/>
        </w:trPr>
        <w:tc>
          <w:tcPr>
            <w:tcW w:w="1660" w:type="dxa"/>
            <w:vAlign w:val="bottom"/>
          </w:tcPr>
          <w:p>
            <w:pPr>
              <w:ind w:left="80"/>
              <w:spacing w:after="0"/>
              <w:rPr>
                <w:sz w:val="20"/>
                <w:szCs w:val="20"/>
                <w:color w:val="auto"/>
              </w:rPr>
            </w:pPr>
            <w:r>
              <w:rPr>
                <w:rFonts w:ascii="Arial" w:cs="Arial" w:eastAsia="Arial" w:hAnsi="Arial"/>
                <w:sz w:val="16"/>
                <w:szCs w:val="16"/>
                <w:color w:val="auto"/>
              </w:rPr>
              <w:t>management</w:t>
            </w:r>
          </w:p>
        </w:tc>
        <w:tc>
          <w:tcPr>
            <w:tcW w:w="1980" w:type="dxa"/>
            <w:vAlign w:val="bottom"/>
          </w:tcPr>
          <w:p>
            <w:pPr>
              <w:ind w:left="220"/>
              <w:spacing w:after="0"/>
              <w:rPr>
                <w:sz w:val="20"/>
                <w:szCs w:val="20"/>
                <w:color w:val="auto"/>
              </w:rPr>
            </w:pPr>
            <w:r>
              <w:rPr>
                <w:rFonts w:ascii="Arial" w:cs="Arial" w:eastAsia="Arial" w:hAnsi="Arial"/>
                <w:sz w:val="16"/>
                <w:szCs w:val="16"/>
                <w:color w:val="auto"/>
              </w:rPr>
              <w:t>relationships</w:t>
            </w:r>
          </w:p>
        </w:tc>
        <w:tc>
          <w:tcPr>
            <w:tcW w:w="1680" w:type="dxa"/>
            <w:vAlign w:val="bottom"/>
          </w:tcPr>
          <w:p>
            <w:pPr>
              <w:ind w:left="100"/>
              <w:spacing w:after="0"/>
              <w:rPr>
                <w:sz w:val="20"/>
                <w:szCs w:val="20"/>
                <w:color w:val="auto"/>
              </w:rPr>
            </w:pPr>
            <w:r>
              <w:rPr>
                <w:rFonts w:ascii="Arial" w:cs="Arial" w:eastAsia="Arial" w:hAnsi="Arial"/>
                <w:sz w:val="16"/>
                <w:szCs w:val="16"/>
                <w:color w:val="auto"/>
                <w:w w:val="97"/>
              </w:rPr>
              <w:t>• Internal controls over</w:t>
            </w:r>
          </w:p>
        </w:tc>
        <w:tc>
          <w:tcPr>
            <w:tcW w:w="0" w:type="dxa"/>
            <w:vAlign w:val="bottom"/>
          </w:tcPr>
          <w:p>
            <w:pPr>
              <w:spacing w:after="0"/>
              <w:rPr>
                <w:sz w:val="1"/>
                <w:szCs w:val="1"/>
                <w:color w:val="auto"/>
              </w:rPr>
            </w:pPr>
          </w:p>
        </w:tc>
      </w:tr>
      <w:tr>
        <w:trPr>
          <w:trHeight w:val="284"/>
        </w:trPr>
        <w:tc>
          <w:tcPr>
            <w:tcW w:w="1660" w:type="dxa"/>
            <w:vAlign w:val="bottom"/>
          </w:tcPr>
          <w:p>
            <w:pPr>
              <w:spacing w:after="0"/>
              <w:rPr>
                <w:sz w:val="20"/>
                <w:szCs w:val="20"/>
                <w:color w:val="auto"/>
              </w:rPr>
            </w:pPr>
            <w:r>
              <w:rPr>
                <w:rFonts w:ascii="Arial" w:cs="Arial" w:eastAsia="Arial" w:hAnsi="Arial"/>
                <w:sz w:val="16"/>
                <w:szCs w:val="16"/>
                <w:color w:val="auto"/>
                <w:w w:val="96"/>
              </w:rPr>
              <w:t>• Corporate governance</w:t>
            </w:r>
          </w:p>
        </w:tc>
        <w:tc>
          <w:tcPr>
            <w:tcW w:w="1980" w:type="dxa"/>
            <w:vAlign w:val="bottom"/>
          </w:tcPr>
          <w:p>
            <w:pPr>
              <w:ind w:left="120"/>
              <w:spacing w:after="0"/>
              <w:rPr>
                <w:sz w:val="20"/>
                <w:szCs w:val="20"/>
                <w:color w:val="auto"/>
              </w:rPr>
            </w:pPr>
            <w:r>
              <w:rPr>
                <w:rFonts w:ascii="Arial" w:cs="Arial" w:eastAsia="Arial" w:hAnsi="Arial"/>
                <w:sz w:val="16"/>
                <w:szCs w:val="16"/>
                <w:color w:val="auto"/>
              </w:rPr>
              <w:t>• Program performance</w:t>
            </w:r>
          </w:p>
        </w:tc>
        <w:tc>
          <w:tcPr>
            <w:tcW w:w="1680" w:type="dxa"/>
            <w:vAlign w:val="bottom"/>
          </w:tcPr>
          <w:p>
            <w:pPr>
              <w:ind w:left="180"/>
              <w:spacing w:after="0"/>
              <w:rPr>
                <w:sz w:val="20"/>
                <w:szCs w:val="20"/>
                <w:color w:val="auto"/>
              </w:rPr>
            </w:pPr>
            <w:r>
              <w:rPr>
                <w:rFonts w:ascii="Arial" w:cs="Arial" w:eastAsia="Arial" w:hAnsi="Arial"/>
                <w:sz w:val="16"/>
                <w:szCs w:val="16"/>
                <w:color w:val="auto"/>
              </w:rPr>
              <w:t>financial reporting</w:t>
            </w:r>
          </w:p>
        </w:tc>
        <w:tc>
          <w:tcPr>
            <w:tcW w:w="0" w:type="dxa"/>
            <w:vAlign w:val="bottom"/>
          </w:tcPr>
          <w:p>
            <w:pPr>
              <w:spacing w:after="0"/>
              <w:rPr>
                <w:sz w:val="1"/>
                <w:szCs w:val="1"/>
                <w:color w:val="auto"/>
              </w:rPr>
            </w:pPr>
          </w:p>
        </w:tc>
      </w:tr>
      <w:tr>
        <w:trPr>
          <w:trHeight w:val="284"/>
        </w:trPr>
        <w:tc>
          <w:tcPr>
            <w:tcW w:w="1660" w:type="dxa"/>
            <w:vAlign w:val="bottom"/>
          </w:tcPr>
          <w:p>
            <w:pPr>
              <w:spacing w:after="0"/>
              <w:rPr>
                <w:sz w:val="20"/>
                <w:szCs w:val="20"/>
                <w:color w:val="auto"/>
              </w:rPr>
            </w:pPr>
            <w:r>
              <w:rPr>
                <w:rFonts w:ascii="Arial" w:cs="Arial" w:eastAsia="Arial" w:hAnsi="Arial"/>
                <w:sz w:val="16"/>
                <w:szCs w:val="16"/>
                <w:color w:val="auto"/>
              </w:rPr>
              <w:t>• Strategic planning</w:t>
            </w:r>
          </w:p>
        </w:tc>
        <w:tc>
          <w:tcPr>
            <w:tcW w:w="1980" w:type="dxa"/>
            <w:vAlign w:val="bottom"/>
          </w:tcPr>
          <w:p>
            <w:pPr>
              <w:ind w:left="120"/>
              <w:spacing w:after="0"/>
              <w:rPr>
                <w:sz w:val="20"/>
                <w:szCs w:val="20"/>
                <w:color w:val="auto"/>
              </w:rPr>
            </w:pPr>
            <w:r>
              <w:rPr>
                <w:rFonts w:ascii="Arial" w:cs="Arial" w:eastAsia="Arial" w:hAnsi="Arial"/>
                <w:sz w:val="16"/>
                <w:szCs w:val="16"/>
                <w:color w:val="auto"/>
              </w:rPr>
              <w:t>• Internal collaboration</w:t>
            </w:r>
          </w:p>
        </w:tc>
        <w:tc>
          <w:tcPr>
            <w:tcW w:w="1680" w:type="dxa"/>
            <w:vAlign w:val="bottom"/>
          </w:tcPr>
          <w:p>
            <w:pPr>
              <w:ind w:left="100"/>
              <w:spacing w:after="0"/>
              <w:rPr>
                <w:sz w:val="20"/>
                <w:szCs w:val="20"/>
                <w:color w:val="auto"/>
              </w:rPr>
            </w:pPr>
            <w:r>
              <w:rPr>
                <w:rFonts w:ascii="Arial" w:cs="Arial" w:eastAsia="Arial" w:hAnsi="Arial"/>
                <w:sz w:val="16"/>
                <w:szCs w:val="16"/>
                <w:color w:val="auto"/>
              </w:rPr>
              <w:t>• Investor relations</w:t>
            </w:r>
          </w:p>
        </w:tc>
        <w:tc>
          <w:tcPr>
            <w:tcW w:w="0" w:type="dxa"/>
            <w:vAlign w:val="bottom"/>
          </w:tcPr>
          <w:p>
            <w:pPr>
              <w:spacing w:after="0"/>
              <w:rPr>
                <w:sz w:val="1"/>
                <w:szCs w:val="1"/>
                <w:color w:val="auto"/>
              </w:rPr>
            </w:pPr>
          </w:p>
        </w:tc>
      </w:tr>
      <w:tr>
        <w:trPr>
          <w:trHeight w:val="239"/>
        </w:trPr>
        <w:tc>
          <w:tcPr>
            <w:tcW w:w="1660" w:type="dxa"/>
            <w:vAlign w:val="bottom"/>
          </w:tcPr>
          <w:p>
            <w:pPr>
              <w:spacing w:after="0"/>
              <w:rPr>
                <w:sz w:val="20"/>
                <w:szCs w:val="20"/>
                <w:color w:val="auto"/>
              </w:rPr>
            </w:pPr>
            <w:r>
              <w:rPr>
                <w:rFonts w:ascii="Arial" w:cs="Arial" w:eastAsia="Arial" w:hAnsi="Arial"/>
                <w:sz w:val="16"/>
                <w:szCs w:val="16"/>
                <w:color w:val="auto"/>
              </w:rPr>
              <w:t>• Succession planning</w:t>
            </w:r>
          </w:p>
        </w:tc>
        <w:tc>
          <w:tcPr>
            <w:tcW w:w="1980" w:type="dxa"/>
            <w:vAlign w:val="bottom"/>
          </w:tcPr>
          <w:p>
            <w:pPr>
              <w:ind w:left="120"/>
              <w:spacing w:after="0"/>
              <w:rPr>
                <w:sz w:val="20"/>
                <w:szCs w:val="20"/>
                <w:color w:val="auto"/>
              </w:rPr>
            </w:pPr>
            <w:r>
              <w:rPr>
                <w:rFonts w:ascii="Arial" w:cs="Arial" w:eastAsia="Arial" w:hAnsi="Arial"/>
                <w:sz w:val="16"/>
                <w:szCs w:val="16"/>
                <w:color w:val="auto"/>
              </w:rPr>
              <w:t>• Cost savings</w:t>
            </w:r>
          </w:p>
        </w:tc>
        <w:tc>
          <w:tcPr>
            <w:tcW w:w="1680" w:type="dxa"/>
            <w:vAlign w:val="bottom"/>
          </w:tcPr>
          <w:p>
            <w:pPr>
              <w:ind w:left="100"/>
              <w:spacing w:after="0"/>
              <w:rPr>
                <w:sz w:val="20"/>
                <w:szCs w:val="20"/>
                <w:color w:val="auto"/>
              </w:rPr>
            </w:pPr>
            <w:r>
              <w:rPr>
                <w:rFonts w:ascii="Arial" w:cs="Arial" w:eastAsia="Arial" w:hAnsi="Arial"/>
                <w:sz w:val="16"/>
                <w:szCs w:val="16"/>
                <w:color w:val="auto"/>
              </w:rPr>
              <w:t>• Enterprise risk</w:t>
            </w:r>
          </w:p>
        </w:tc>
        <w:tc>
          <w:tcPr>
            <w:tcW w:w="0" w:type="dxa"/>
            <w:vAlign w:val="bottom"/>
          </w:tcPr>
          <w:p>
            <w:pPr>
              <w:spacing w:after="0"/>
              <w:rPr>
                <w:sz w:val="1"/>
                <w:szCs w:val="1"/>
                <w:color w:val="auto"/>
              </w:rPr>
            </w:pPr>
          </w:p>
        </w:tc>
      </w:tr>
      <w:tr>
        <w:trPr>
          <w:trHeight w:val="206"/>
        </w:trPr>
        <w:tc>
          <w:tcPr>
            <w:tcW w:w="1660" w:type="dxa"/>
            <w:vAlign w:val="bottom"/>
            <w:vMerge w:val="restart"/>
          </w:tcPr>
          <w:p>
            <w:pPr>
              <w:spacing w:after="0"/>
              <w:rPr>
                <w:sz w:val="20"/>
                <w:szCs w:val="20"/>
                <w:color w:val="auto"/>
              </w:rPr>
            </w:pPr>
            <w:r>
              <w:rPr>
                <w:rFonts w:ascii="Arial" w:cs="Arial" w:eastAsia="Arial" w:hAnsi="Arial"/>
                <w:sz w:val="16"/>
                <w:szCs w:val="16"/>
                <w:color w:val="auto"/>
              </w:rPr>
              <w:t>• Internal/external</w:t>
            </w:r>
          </w:p>
        </w:tc>
        <w:tc>
          <w:tcPr>
            <w:tcW w:w="1980" w:type="dxa"/>
            <w:vAlign w:val="bottom"/>
            <w:vMerge w:val="restart"/>
          </w:tcPr>
          <w:p>
            <w:pPr>
              <w:ind w:left="220"/>
              <w:spacing w:after="0"/>
              <w:rPr>
                <w:sz w:val="20"/>
                <w:szCs w:val="20"/>
                <w:color w:val="auto"/>
              </w:rPr>
            </w:pPr>
            <w:r>
              <w:rPr>
                <w:rFonts w:ascii="Arial" w:cs="Arial" w:eastAsia="Arial" w:hAnsi="Arial"/>
                <w:sz w:val="16"/>
                <w:szCs w:val="16"/>
                <w:color w:val="auto"/>
              </w:rPr>
              <w:t>initiatives</w:t>
            </w:r>
          </w:p>
        </w:tc>
        <w:tc>
          <w:tcPr>
            <w:tcW w:w="1680" w:type="dxa"/>
            <w:vAlign w:val="bottom"/>
          </w:tcPr>
          <w:p>
            <w:pPr>
              <w:ind w:left="180"/>
              <w:spacing w:after="0"/>
              <w:rPr>
                <w:sz w:val="20"/>
                <w:szCs w:val="20"/>
                <w:color w:val="auto"/>
              </w:rPr>
            </w:pPr>
            <w:r>
              <w:rPr>
                <w:rFonts w:ascii="Arial" w:cs="Arial" w:eastAsia="Arial" w:hAnsi="Arial"/>
                <w:sz w:val="16"/>
                <w:szCs w:val="16"/>
                <w:color w:val="auto"/>
              </w:rPr>
              <w:t>management</w:t>
            </w:r>
          </w:p>
        </w:tc>
        <w:tc>
          <w:tcPr>
            <w:tcW w:w="0" w:type="dxa"/>
            <w:vAlign w:val="bottom"/>
          </w:tcPr>
          <w:p>
            <w:pPr>
              <w:spacing w:after="0"/>
              <w:rPr>
                <w:sz w:val="1"/>
                <w:szCs w:val="1"/>
                <w:color w:val="auto"/>
              </w:rPr>
            </w:pPr>
          </w:p>
        </w:tc>
      </w:tr>
      <w:tr>
        <w:trPr>
          <w:trHeight w:val="81"/>
        </w:trPr>
        <w:tc>
          <w:tcPr>
            <w:tcW w:w="1660" w:type="dxa"/>
            <w:vAlign w:val="bottom"/>
            <w:vMerge w:val="continue"/>
          </w:tcPr>
          <w:p>
            <w:pPr>
              <w:spacing w:after="0"/>
              <w:rPr>
                <w:sz w:val="7"/>
                <w:szCs w:val="7"/>
                <w:color w:val="auto"/>
              </w:rPr>
            </w:pPr>
          </w:p>
        </w:tc>
        <w:tc>
          <w:tcPr>
            <w:tcW w:w="1980" w:type="dxa"/>
            <w:vAlign w:val="bottom"/>
            <w:vMerge w:val="continue"/>
          </w:tcPr>
          <w:p>
            <w:pPr>
              <w:spacing w:after="0"/>
              <w:rPr>
                <w:sz w:val="7"/>
                <w:szCs w:val="7"/>
                <w:color w:val="auto"/>
              </w:rPr>
            </w:pPr>
          </w:p>
        </w:tc>
        <w:tc>
          <w:tcPr>
            <w:tcW w:w="1680" w:type="dxa"/>
            <w:vAlign w:val="bottom"/>
            <w:vMerge w:val="restart"/>
          </w:tcPr>
          <w:p>
            <w:pPr>
              <w:ind w:left="100"/>
              <w:spacing w:after="0"/>
              <w:rPr>
                <w:sz w:val="20"/>
                <w:szCs w:val="20"/>
                <w:color w:val="auto"/>
              </w:rPr>
            </w:pPr>
            <w:r>
              <w:rPr>
                <w:rFonts w:ascii="Arial" w:cs="Arial" w:eastAsia="Arial" w:hAnsi="Arial"/>
                <w:sz w:val="16"/>
                <w:szCs w:val="16"/>
                <w:color w:val="auto"/>
              </w:rPr>
              <w:t>• Tax planning and</w:t>
            </w:r>
          </w:p>
        </w:tc>
        <w:tc>
          <w:tcPr>
            <w:tcW w:w="0" w:type="dxa"/>
            <w:vAlign w:val="bottom"/>
          </w:tcPr>
          <w:p>
            <w:pPr>
              <w:spacing w:after="0"/>
              <w:rPr>
                <w:sz w:val="1"/>
                <w:szCs w:val="1"/>
                <w:color w:val="auto"/>
              </w:rPr>
            </w:pPr>
          </w:p>
        </w:tc>
      </w:tr>
      <w:tr>
        <w:trPr>
          <w:trHeight w:val="199"/>
        </w:trPr>
        <w:tc>
          <w:tcPr>
            <w:tcW w:w="1660" w:type="dxa"/>
            <w:vAlign w:val="bottom"/>
          </w:tcPr>
          <w:p>
            <w:pPr>
              <w:ind w:left="80"/>
              <w:spacing w:after="0"/>
              <w:rPr>
                <w:sz w:val="20"/>
                <w:szCs w:val="20"/>
                <w:color w:val="auto"/>
              </w:rPr>
            </w:pPr>
            <w:r>
              <w:rPr>
                <w:rFonts w:ascii="Arial" w:cs="Arial" w:eastAsia="Arial" w:hAnsi="Arial"/>
                <w:sz w:val="16"/>
                <w:szCs w:val="16"/>
                <w:color w:val="auto"/>
              </w:rPr>
              <w:t>communications</w:t>
            </w:r>
          </w:p>
        </w:tc>
        <w:tc>
          <w:tcPr>
            <w:tcW w:w="1980" w:type="dxa"/>
            <w:vAlign w:val="bottom"/>
          </w:tcPr>
          <w:p>
            <w:pPr>
              <w:ind w:left="120"/>
              <w:spacing w:after="0"/>
              <w:rPr>
                <w:sz w:val="20"/>
                <w:szCs w:val="20"/>
                <w:color w:val="auto"/>
              </w:rPr>
            </w:pPr>
            <w:r>
              <w:rPr>
                <w:rFonts w:ascii="Arial" w:cs="Arial" w:eastAsia="Arial" w:hAnsi="Arial"/>
                <w:sz w:val="16"/>
                <w:szCs w:val="16"/>
                <w:color w:val="auto"/>
              </w:rPr>
              <w:t>• International</w:t>
            </w: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60" w:type="dxa"/>
            <w:vAlign w:val="bottom"/>
            <w:vMerge w:val="restart"/>
          </w:tcPr>
          <w:p>
            <w:pPr>
              <w:spacing w:after="0"/>
              <w:rPr>
                <w:sz w:val="20"/>
                <w:szCs w:val="20"/>
                <w:color w:val="auto"/>
              </w:rPr>
            </w:pPr>
            <w:r>
              <w:rPr>
                <w:rFonts w:ascii="Arial" w:cs="Arial" w:eastAsia="Arial" w:hAnsi="Arial"/>
                <w:sz w:val="16"/>
                <w:szCs w:val="16"/>
                <w:color w:val="auto"/>
              </w:rPr>
              <w:t>• Board relations</w:t>
            </w:r>
          </w:p>
        </w:tc>
        <w:tc>
          <w:tcPr>
            <w:tcW w:w="1980" w:type="dxa"/>
            <w:vAlign w:val="bottom"/>
            <w:vMerge w:val="restart"/>
          </w:tcPr>
          <w:p>
            <w:pPr>
              <w:ind w:left="220"/>
              <w:spacing w:after="0"/>
              <w:rPr>
                <w:sz w:val="20"/>
                <w:szCs w:val="20"/>
                <w:color w:val="auto"/>
              </w:rPr>
            </w:pPr>
            <w:r>
              <w:rPr>
                <w:rFonts w:ascii="Arial" w:cs="Arial" w:eastAsia="Arial" w:hAnsi="Arial"/>
                <w:sz w:val="16"/>
                <w:szCs w:val="16"/>
                <w:color w:val="auto"/>
              </w:rPr>
              <w:t>expansion</w:t>
            </w:r>
          </w:p>
        </w:tc>
        <w:tc>
          <w:tcPr>
            <w:tcW w:w="1680" w:type="dxa"/>
            <w:vAlign w:val="bottom"/>
          </w:tcPr>
          <w:p>
            <w:pPr>
              <w:ind w:left="180"/>
              <w:spacing w:after="0"/>
              <w:rPr>
                <w:sz w:val="20"/>
                <w:szCs w:val="20"/>
                <w:color w:val="auto"/>
              </w:rPr>
            </w:pPr>
            <w:r>
              <w:rPr>
                <w:rFonts w:ascii="Arial" w:cs="Arial" w:eastAsia="Arial" w:hAnsi="Arial"/>
                <w:sz w:val="16"/>
                <w:szCs w:val="16"/>
                <w:color w:val="auto"/>
              </w:rPr>
              <w:t>strategies</w:t>
            </w:r>
          </w:p>
        </w:tc>
        <w:tc>
          <w:tcPr>
            <w:tcW w:w="0" w:type="dxa"/>
            <w:vAlign w:val="bottom"/>
          </w:tcPr>
          <w:p>
            <w:pPr>
              <w:spacing w:after="0"/>
              <w:rPr>
                <w:sz w:val="1"/>
                <w:szCs w:val="1"/>
                <w:color w:val="auto"/>
              </w:rPr>
            </w:pPr>
          </w:p>
        </w:tc>
      </w:tr>
      <w:tr>
        <w:trPr>
          <w:trHeight w:val="85"/>
        </w:trPr>
        <w:tc>
          <w:tcPr>
            <w:tcW w:w="1660" w:type="dxa"/>
            <w:vAlign w:val="bottom"/>
            <w:vMerge w:val="continue"/>
          </w:tcPr>
          <w:p>
            <w:pPr>
              <w:spacing w:after="0"/>
              <w:rPr>
                <w:sz w:val="7"/>
                <w:szCs w:val="7"/>
                <w:color w:val="auto"/>
              </w:rPr>
            </w:pPr>
          </w:p>
        </w:tc>
        <w:tc>
          <w:tcPr>
            <w:tcW w:w="198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60718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91" w:hanging="91"/>
        <w:spacing w:after="0"/>
        <w:tabs>
          <w:tab w:leader="none" w:pos="91" w:val="left"/>
        </w:tabs>
        <w:numPr>
          <w:ilvl w:val="0"/>
          <w:numId w:val="59"/>
        </w:numPr>
        <w:rPr>
          <w:rFonts w:ascii="Arial" w:cs="Arial" w:eastAsia="Arial" w:hAnsi="Arial"/>
          <w:sz w:val="16"/>
          <w:szCs w:val="16"/>
          <w:color w:val="auto"/>
        </w:rPr>
      </w:pPr>
      <w:r>
        <w:rPr>
          <w:rFonts w:ascii="Arial" w:cs="Arial" w:eastAsia="Arial" w:hAnsi="Arial"/>
          <w:sz w:val="16"/>
          <w:szCs w:val="16"/>
          <w:color w:val="auto"/>
        </w:rPr>
        <w:t>Business development</w:t>
      </w:r>
    </w:p>
    <w:p>
      <w:pPr>
        <w:spacing w:after="0" w:line="99" w:lineRule="exact"/>
        <w:rPr>
          <w:rFonts w:ascii="Arial" w:cs="Arial" w:eastAsia="Arial" w:hAnsi="Arial"/>
          <w:sz w:val="16"/>
          <w:szCs w:val="16"/>
          <w:color w:val="auto"/>
        </w:rPr>
      </w:pPr>
    </w:p>
    <w:p>
      <w:pPr>
        <w:ind w:left="91" w:right="440" w:hanging="91"/>
        <w:spacing w:after="0" w:line="362" w:lineRule="auto"/>
        <w:tabs>
          <w:tab w:leader="none" w:pos="98" w:val="left"/>
        </w:tabs>
        <w:numPr>
          <w:ilvl w:val="0"/>
          <w:numId w:val="59"/>
        </w:numPr>
        <w:rPr>
          <w:rFonts w:ascii="Arial" w:cs="Arial" w:eastAsia="Arial" w:hAnsi="Arial"/>
          <w:sz w:val="14"/>
          <w:szCs w:val="14"/>
          <w:color w:val="auto"/>
        </w:rPr>
      </w:pPr>
      <w:r>
        <w:rPr>
          <w:rFonts w:ascii="Arial" w:cs="Arial" w:eastAsia="Arial" w:hAnsi="Arial"/>
          <w:sz w:val="14"/>
          <w:szCs w:val="14"/>
          <w:color w:val="auto"/>
        </w:rPr>
        <w:t>Strategic customer relationships</w:t>
      </w:r>
    </w:p>
    <w:p>
      <w:pPr>
        <w:ind w:left="91" w:right="260" w:hanging="91"/>
        <w:spacing w:after="0" w:line="362" w:lineRule="auto"/>
        <w:tabs>
          <w:tab w:leader="none" w:pos="98" w:val="left"/>
        </w:tabs>
        <w:numPr>
          <w:ilvl w:val="0"/>
          <w:numId w:val="59"/>
        </w:numPr>
        <w:rPr>
          <w:rFonts w:ascii="Arial" w:cs="Arial" w:eastAsia="Arial" w:hAnsi="Arial"/>
          <w:sz w:val="14"/>
          <w:szCs w:val="14"/>
          <w:color w:val="auto"/>
        </w:rPr>
      </w:pPr>
      <w:r>
        <w:rPr>
          <w:rFonts w:ascii="Arial" w:cs="Arial" w:eastAsia="Arial" w:hAnsi="Arial"/>
          <w:sz w:val="14"/>
          <w:szCs w:val="14"/>
          <w:color w:val="auto"/>
        </w:rPr>
        <w:t>Guidance of strategic growth pursuits</w:t>
      </w:r>
    </w:p>
    <w:p>
      <w:pPr>
        <w:ind w:left="91" w:hanging="91"/>
        <w:spacing w:after="0" w:line="278" w:lineRule="auto"/>
        <w:tabs>
          <w:tab w:leader="none" w:pos="98" w:val="left"/>
        </w:tabs>
        <w:numPr>
          <w:ilvl w:val="0"/>
          <w:numId w:val="59"/>
        </w:numPr>
        <w:rPr>
          <w:rFonts w:ascii="Arial" w:cs="Arial" w:eastAsia="Arial" w:hAnsi="Arial"/>
          <w:sz w:val="16"/>
          <w:szCs w:val="16"/>
          <w:color w:val="auto"/>
        </w:rPr>
      </w:pPr>
      <w:r>
        <w:rPr>
          <w:rFonts w:ascii="Arial" w:cs="Arial" w:eastAsia="Arial" w:hAnsi="Arial"/>
          <w:sz w:val="16"/>
          <w:szCs w:val="16"/>
          <w:color w:val="auto"/>
        </w:rPr>
        <w:t>Development of products and services in international markets</w:t>
      </w:r>
    </w:p>
    <w:p>
      <w:pPr>
        <w:spacing w:after="0" w:line="49" w:lineRule="exact"/>
        <w:rPr>
          <w:rFonts w:ascii="Arial" w:cs="Arial" w:eastAsia="Arial" w:hAnsi="Arial"/>
          <w:sz w:val="16"/>
          <w:szCs w:val="16"/>
          <w:color w:val="auto"/>
        </w:rPr>
      </w:pPr>
    </w:p>
    <w:p>
      <w:pPr>
        <w:jc w:val="both"/>
        <w:ind w:left="91" w:right="780" w:hanging="91"/>
        <w:spacing w:after="0" w:line="362" w:lineRule="auto"/>
        <w:tabs>
          <w:tab w:leader="none" w:pos="98"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Research and development</w:t>
      </w:r>
    </w:p>
    <w:p>
      <w:pPr>
        <w:ind w:left="91" w:hanging="91"/>
        <w:spacing w:after="0"/>
        <w:tabs>
          <w:tab w:leader="none" w:pos="91" w:val="left"/>
        </w:tabs>
        <w:numPr>
          <w:ilvl w:val="0"/>
          <w:numId w:val="59"/>
        </w:numPr>
        <w:rPr>
          <w:rFonts w:ascii="Arial" w:cs="Arial" w:eastAsia="Arial" w:hAnsi="Arial"/>
          <w:sz w:val="16"/>
          <w:szCs w:val="16"/>
          <w:color w:val="auto"/>
        </w:rPr>
      </w:pPr>
      <w:r>
        <w:rPr>
          <w:rFonts w:ascii="Arial" w:cs="Arial" w:eastAsia="Arial" w:hAnsi="Arial"/>
          <w:sz w:val="16"/>
          <w:szCs w:val="16"/>
          <w:color w:val="auto"/>
        </w:rPr>
        <w:t>Customer service</w:t>
      </w:r>
    </w:p>
    <w:p>
      <w:pPr>
        <w:spacing w:after="0" w:line="99" w:lineRule="exact"/>
        <w:rPr>
          <w:rFonts w:ascii="Arial" w:cs="Arial" w:eastAsia="Arial" w:hAnsi="Arial"/>
          <w:sz w:val="16"/>
          <w:szCs w:val="16"/>
          <w:color w:val="auto"/>
        </w:rPr>
      </w:pPr>
    </w:p>
    <w:p>
      <w:pPr>
        <w:ind w:left="91" w:right="260" w:hanging="91"/>
        <w:spacing w:after="0" w:line="305" w:lineRule="auto"/>
        <w:tabs>
          <w:tab w:leader="none" w:pos="98" w:val="left"/>
        </w:tabs>
        <w:numPr>
          <w:ilvl w:val="0"/>
          <w:numId w:val="59"/>
        </w:numPr>
        <w:rPr>
          <w:rFonts w:ascii="Arial" w:cs="Arial" w:eastAsia="Arial" w:hAnsi="Arial"/>
          <w:sz w:val="15"/>
          <w:szCs w:val="15"/>
          <w:color w:val="auto"/>
        </w:rPr>
      </w:pPr>
      <w:r>
        <w:rPr>
          <w:rFonts w:ascii="Arial" w:cs="Arial" w:eastAsia="Arial" w:hAnsi="Arial"/>
          <w:sz w:val="15"/>
          <w:szCs w:val="15"/>
          <w:color w:val="auto"/>
        </w:rPr>
        <w:t>Leadership in engineering and technology initiatives</w:t>
      </w:r>
    </w:p>
    <w:p>
      <w:pPr>
        <w:spacing w:after="0" w:line="20" w:lineRule="exact"/>
        <w:rPr>
          <w:sz w:val="20"/>
          <w:szCs w:val="20"/>
          <w:color w:val="auto"/>
        </w:rPr>
      </w:pPr>
      <w:r>
        <w:rPr>
          <w:sz w:val="20"/>
          <w:szCs w:val="20"/>
          <w:color w:val="auto"/>
        </w:rPr>
        <w:br w:type="column"/>
      </w:r>
    </w:p>
    <w:p>
      <w:pPr>
        <w:ind w:left="100" w:right="740" w:hanging="100"/>
        <w:spacing w:after="0" w:line="329" w:lineRule="auto"/>
        <w:tabs>
          <w:tab w:leader="none" w:pos="107" w:val="left"/>
        </w:tabs>
        <w:numPr>
          <w:ilvl w:val="0"/>
          <w:numId w:val="60"/>
        </w:numPr>
        <w:rPr>
          <w:rFonts w:ascii="Arial" w:cs="Arial" w:eastAsia="Arial" w:hAnsi="Arial"/>
          <w:sz w:val="15"/>
          <w:szCs w:val="15"/>
          <w:color w:val="auto"/>
        </w:rPr>
      </w:pPr>
      <w:r>
        <w:rPr>
          <w:rFonts w:ascii="Arial" w:cs="Arial" w:eastAsia="Arial" w:hAnsi="Arial"/>
          <w:sz w:val="15"/>
          <w:szCs w:val="15"/>
          <w:color w:val="auto"/>
        </w:rPr>
        <w:t>Group financial performance</w:t>
      </w:r>
    </w:p>
    <w:p>
      <w:pPr>
        <w:spacing w:after="0" w:line="13" w:lineRule="exact"/>
        <w:rPr>
          <w:rFonts w:ascii="Arial" w:cs="Arial" w:eastAsia="Arial" w:hAnsi="Arial"/>
          <w:sz w:val="15"/>
          <w:szCs w:val="15"/>
          <w:color w:val="auto"/>
        </w:rPr>
      </w:pPr>
    </w:p>
    <w:p>
      <w:pPr>
        <w:jc w:val="both"/>
        <w:ind w:left="100" w:right="320" w:hanging="100"/>
        <w:spacing w:after="0" w:line="335" w:lineRule="auto"/>
        <w:tabs>
          <w:tab w:leader="none" w:pos="104" w:val="left"/>
        </w:tabs>
        <w:numPr>
          <w:ilvl w:val="0"/>
          <w:numId w:val="60"/>
        </w:numPr>
        <w:rPr>
          <w:rFonts w:ascii="Arial" w:cs="Arial" w:eastAsia="Arial" w:hAnsi="Arial"/>
          <w:sz w:val="14"/>
          <w:szCs w:val="14"/>
          <w:color w:val="auto"/>
        </w:rPr>
      </w:pPr>
      <w:r>
        <w:rPr>
          <w:rFonts w:ascii="Arial" w:cs="Arial" w:eastAsia="Arial" w:hAnsi="Arial"/>
          <w:sz w:val="14"/>
          <w:szCs w:val="14"/>
          <w:color w:val="auto"/>
        </w:rPr>
        <w:t>Winning important re-competitions and new business contracts</w:t>
      </w:r>
    </w:p>
    <w:p>
      <w:pPr>
        <w:spacing w:after="0" w:line="14" w:lineRule="exact"/>
        <w:rPr>
          <w:rFonts w:ascii="Arial" w:cs="Arial" w:eastAsia="Arial" w:hAnsi="Arial"/>
          <w:sz w:val="14"/>
          <w:szCs w:val="14"/>
          <w:color w:val="auto"/>
        </w:rPr>
      </w:pPr>
    </w:p>
    <w:p>
      <w:pPr>
        <w:ind w:left="100" w:hanging="100"/>
        <w:spacing w:after="0"/>
        <w:tabs>
          <w:tab w:leader="none" w:pos="1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Market share gains</w:t>
      </w:r>
    </w:p>
    <w:p>
      <w:pPr>
        <w:spacing w:after="0" w:line="99" w:lineRule="exact"/>
        <w:rPr>
          <w:rFonts w:ascii="Arial" w:cs="Arial" w:eastAsia="Arial" w:hAnsi="Arial"/>
          <w:sz w:val="16"/>
          <w:szCs w:val="16"/>
          <w:color w:val="auto"/>
        </w:rPr>
      </w:pPr>
    </w:p>
    <w:p>
      <w:pPr>
        <w:ind w:left="100" w:hanging="100"/>
        <w:spacing w:after="0"/>
        <w:tabs>
          <w:tab w:leader="none" w:pos="1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Program performance</w:t>
      </w:r>
    </w:p>
    <w:p>
      <w:pPr>
        <w:spacing w:after="0" w:line="111" w:lineRule="exact"/>
        <w:rPr>
          <w:rFonts w:ascii="Arial" w:cs="Arial" w:eastAsia="Arial" w:hAnsi="Arial"/>
          <w:sz w:val="15"/>
          <w:szCs w:val="15"/>
          <w:color w:val="auto"/>
        </w:rPr>
      </w:pPr>
    </w:p>
    <w:p>
      <w:pPr>
        <w:ind w:left="100" w:hanging="100"/>
        <w:spacing w:after="0"/>
        <w:tabs>
          <w:tab w:leader="none" w:pos="1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Cost savings initiatives</w:t>
      </w:r>
    </w:p>
    <w:p>
      <w:pPr>
        <w:spacing w:after="0" w:line="111" w:lineRule="exact"/>
        <w:rPr>
          <w:rFonts w:ascii="Arial" w:cs="Arial" w:eastAsia="Arial" w:hAnsi="Arial"/>
          <w:sz w:val="15"/>
          <w:szCs w:val="15"/>
          <w:color w:val="auto"/>
        </w:rPr>
      </w:pPr>
    </w:p>
    <w:p>
      <w:pPr>
        <w:ind w:left="100" w:hanging="100"/>
        <w:spacing w:after="0"/>
        <w:tabs>
          <w:tab w:leader="none" w:pos="1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International expansion</w:t>
      </w:r>
    </w:p>
    <w:p>
      <w:pPr>
        <w:spacing w:after="0" w:line="122" w:lineRule="exact"/>
        <w:rPr>
          <w:rFonts w:ascii="Arial" w:cs="Arial" w:eastAsia="Arial" w:hAnsi="Arial"/>
          <w:sz w:val="14"/>
          <w:szCs w:val="14"/>
          <w:color w:val="auto"/>
        </w:rPr>
      </w:pPr>
    </w:p>
    <w:p>
      <w:pPr>
        <w:ind w:left="100" w:hanging="100"/>
        <w:spacing w:after="0"/>
        <w:tabs>
          <w:tab w:leader="none" w:pos="1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Internal collaboration</w:t>
      </w:r>
    </w:p>
    <w:p>
      <w:pPr>
        <w:spacing w:after="0" w:line="99" w:lineRule="exact"/>
        <w:rPr>
          <w:rFonts w:ascii="Arial" w:cs="Arial" w:eastAsia="Arial" w:hAnsi="Arial"/>
          <w:sz w:val="16"/>
          <w:szCs w:val="16"/>
          <w:color w:val="auto"/>
        </w:rPr>
      </w:pPr>
    </w:p>
    <w:p>
      <w:pPr>
        <w:ind w:left="100" w:right="420" w:hanging="100"/>
        <w:spacing w:after="0" w:line="293" w:lineRule="auto"/>
        <w:tabs>
          <w:tab w:leader="none" w:pos="107" w:val="left"/>
        </w:tabs>
        <w:numPr>
          <w:ilvl w:val="0"/>
          <w:numId w:val="60"/>
        </w:numPr>
        <w:rPr>
          <w:rFonts w:ascii="Arial" w:cs="Arial" w:eastAsia="Arial" w:hAnsi="Arial"/>
          <w:sz w:val="16"/>
          <w:szCs w:val="16"/>
          <w:color w:val="auto"/>
        </w:rPr>
      </w:pPr>
      <w:r>
        <w:rPr>
          <w:rFonts w:ascii="Arial" w:cs="Arial" w:eastAsia="Arial" w:hAnsi="Arial"/>
          <w:sz w:val="16"/>
          <w:szCs w:val="16"/>
          <w:color w:val="auto"/>
        </w:rPr>
        <w:t>Developing adjacent markets</w:t>
      </w:r>
    </w:p>
    <w:p>
      <w:pPr>
        <w:spacing w:after="0" w:line="36" w:lineRule="exact"/>
        <w:rPr>
          <w:rFonts w:ascii="Arial" w:cs="Arial" w:eastAsia="Arial" w:hAnsi="Arial"/>
          <w:sz w:val="16"/>
          <w:szCs w:val="16"/>
          <w:color w:val="auto"/>
        </w:rPr>
      </w:pPr>
    </w:p>
    <w:p>
      <w:pPr>
        <w:jc w:val="both"/>
        <w:ind w:left="100" w:right="900" w:hanging="100"/>
        <w:spacing w:after="0" w:line="416" w:lineRule="auto"/>
        <w:tabs>
          <w:tab w:leader="none" w:pos="107" w:val="left"/>
        </w:tabs>
        <w:numPr>
          <w:ilvl w:val="0"/>
          <w:numId w:val="60"/>
        </w:numPr>
        <w:rPr>
          <w:rFonts w:ascii="Arial" w:cs="Arial" w:eastAsia="Arial" w:hAnsi="Arial"/>
          <w:sz w:val="13"/>
          <w:szCs w:val="13"/>
          <w:color w:val="auto"/>
        </w:rPr>
      </w:pPr>
      <w:r>
        <w:rPr>
          <w:rFonts w:ascii="Arial" w:cs="Arial" w:eastAsia="Arial" w:hAnsi="Arial"/>
          <w:sz w:val="13"/>
          <w:szCs w:val="13"/>
          <w:color w:val="auto"/>
        </w:rPr>
        <w:t>Research and development</w:t>
      </w:r>
    </w:p>
    <w:p>
      <w:pPr>
        <w:spacing w:after="0" w:line="252" w:lineRule="exact"/>
        <w:rPr>
          <w:sz w:val="20"/>
          <w:szCs w:val="20"/>
          <w:color w:val="auto"/>
        </w:rPr>
      </w:pPr>
    </w:p>
    <w:p>
      <w:pPr>
        <w:sectPr>
          <w:pgSz w:w="11900" w:h="16838" w:orient="portrait"/>
          <w:cols w:equalWidth="0" w:num="3">
            <w:col w:w="5440" w:space="329"/>
            <w:col w:w="1751" w:space="180"/>
            <w:col w:w="1860"/>
          </w:cols>
          <w:pgMar w:left="1180" w:top="279" w:right="115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4. Determine total rating</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Each executive’s total rating determines the potential payout under the annual incentive plan and is equal to the weight-adjusted sum of the financial and individual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7187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2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Corporate Executives</w:t>
            </w:r>
          </w:p>
        </w:tc>
        <w:tc>
          <w:tcPr>
            <w:tcW w:w="15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Group Presidents</w:t>
            </w:r>
          </w:p>
        </w:tc>
      </w:tr>
      <w:tr>
        <w:trPr>
          <w:trHeight w:val="185"/>
        </w:trPr>
        <w:tc>
          <w:tcPr>
            <w:tcW w:w="620" w:type="dxa"/>
            <w:vAlign w:val="bottom"/>
            <w:tcBorders>
              <w:bottom w:val="single" w:sz="8" w:color="005C7D"/>
            </w:tcBorders>
          </w:tcPr>
          <w:p>
            <w:pPr>
              <w:spacing w:after="0"/>
              <w:rPr>
                <w:sz w:val="16"/>
                <w:szCs w:val="16"/>
                <w:color w:val="auto"/>
              </w:rPr>
            </w:pPr>
          </w:p>
        </w:tc>
        <w:tc>
          <w:tcPr>
            <w:tcW w:w="3180" w:type="dxa"/>
            <w:vAlign w:val="bottom"/>
            <w:tcBorders>
              <w:bottom w:val="single" w:sz="8" w:color="005C7D"/>
            </w:tcBorders>
          </w:tcPr>
          <w:p>
            <w:pPr>
              <w:spacing w:after="0"/>
              <w:rPr>
                <w:sz w:val="16"/>
                <w:szCs w:val="16"/>
                <w:color w:val="auto"/>
              </w:rPr>
            </w:pPr>
          </w:p>
        </w:tc>
        <w:tc>
          <w:tcPr>
            <w:tcW w:w="4220" w:type="dxa"/>
            <w:vAlign w:val="bottom"/>
            <w:tcBorders>
              <w:bottom w:val="single" w:sz="8" w:color="005C7D"/>
            </w:tcBorders>
            <w:gridSpan w:val="3"/>
          </w:tcPr>
          <w:p>
            <w:pPr>
              <w:jc w:val="right"/>
              <w:ind w:right="720"/>
              <w:spacing w:after="0"/>
              <w:rPr>
                <w:sz w:val="20"/>
                <w:szCs w:val="20"/>
                <w:color w:val="auto"/>
              </w:rPr>
            </w:pPr>
            <w:r>
              <w:rPr>
                <w:rFonts w:ascii="Arial" w:cs="Arial" w:eastAsia="Arial" w:hAnsi="Arial"/>
                <w:sz w:val="14"/>
                <w:szCs w:val="14"/>
                <w:b w:val="1"/>
                <w:bCs w:val="1"/>
                <w:color w:val="auto"/>
              </w:rPr>
              <w:t>(weight)</w:t>
            </w:r>
          </w:p>
        </w:tc>
        <w:tc>
          <w:tcPr>
            <w:tcW w:w="1540" w:type="dxa"/>
            <w:vAlign w:val="bottom"/>
            <w:tcBorders>
              <w:bottom w:val="single" w:sz="8" w:color="005C7D"/>
            </w:tcBorders>
            <w:gridSpan w:val="4"/>
          </w:tcPr>
          <w:p>
            <w:pPr>
              <w:jc w:val="right"/>
              <w:ind w:right="600"/>
              <w:spacing w:after="0"/>
              <w:rPr>
                <w:sz w:val="20"/>
                <w:szCs w:val="20"/>
                <w:color w:val="auto"/>
              </w:rPr>
            </w:pPr>
            <w:r>
              <w:rPr>
                <w:rFonts w:ascii="Arial" w:cs="Arial" w:eastAsia="Arial" w:hAnsi="Arial"/>
                <w:sz w:val="14"/>
                <w:szCs w:val="14"/>
                <w:b w:val="1"/>
                <w:bCs w:val="1"/>
                <w:color w:val="auto"/>
              </w:rPr>
              <w:t>(weight)</w:t>
            </w:r>
          </w:p>
        </w:tc>
      </w:tr>
      <w:tr>
        <w:trPr>
          <w:trHeight w:val="237"/>
        </w:trPr>
        <w:tc>
          <w:tcPr>
            <w:tcW w:w="3800" w:type="dxa"/>
            <w:vAlign w:val="bottom"/>
            <w:gridSpan w:val="2"/>
            <w:shd w:val="clear" w:color="auto" w:fill="CDDAE6"/>
          </w:tcPr>
          <w:p>
            <w:pPr>
              <w:ind w:left="20"/>
              <w:spacing w:after="0"/>
              <w:rPr>
                <w:sz w:val="20"/>
                <w:szCs w:val="20"/>
                <w:color w:val="auto"/>
              </w:rPr>
            </w:pPr>
            <w:r>
              <w:rPr>
                <w:rFonts w:ascii="Arial" w:cs="Arial" w:eastAsia="Arial" w:hAnsi="Arial"/>
                <w:sz w:val="18"/>
                <w:szCs w:val="18"/>
                <w:color w:val="auto"/>
              </w:rPr>
              <w:t>Financial Rating</w:t>
            </w:r>
          </w:p>
        </w:tc>
        <w:tc>
          <w:tcPr>
            <w:tcW w:w="4220" w:type="dxa"/>
            <w:vAlign w:val="bottom"/>
            <w:gridSpan w:val="3"/>
            <w:shd w:val="clear" w:color="auto" w:fill="CDDAE6"/>
          </w:tcPr>
          <w:p>
            <w:pPr>
              <w:jc w:val="right"/>
              <w:ind w:right="160"/>
              <w:spacing w:after="0"/>
              <w:rPr>
                <w:sz w:val="20"/>
                <w:szCs w:val="20"/>
                <w:color w:val="auto"/>
              </w:rPr>
            </w:pPr>
            <w:r>
              <w:rPr>
                <w:rFonts w:ascii="Arial" w:cs="Arial" w:eastAsia="Arial" w:hAnsi="Arial"/>
                <w:sz w:val="18"/>
                <w:szCs w:val="18"/>
                <w:color w:val="auto"/>
              </w:rPr>
              <w:t>80%</w:t>
            </w:r>
          </w:p>
        </w:tc>
        <w:tc>
          <w:tcPr>
            <w:tcW w:w="1540" w:type="dxa"/>
            <w:vAlign w:val="bottom"/>
            <w:gridSpan w:val="4"/>
            <w:shd w:val="clear" w:color="auto" w:fill="CDDAE6"/>
          </w:tcPr>
          <w:p>
            <w:pPr>
              <w:jc w:val="right"/>
              <w:ind w:right="20"/>
              <w:spacing w:after="0"/>
              <w:rPr>
                <w:sz w:val="20"/>
                <w:szCs w:val="20"/>
                <w:color w:val="auto"/>
              </w:rPr>
            </w:pPr>
            <w:r>
              <w:rPr>
                <w:rFonts w:ascii="Arial" w:cs="Arial" w:eastAsia="Arial" w:hAnsi="Arial"/>
                <w:sz w:val="18"/>
                <w:szCs w:val="18"/>
                <w:color w:val="auto"/>
              </w:rPr>
              <w:t>67%</w:t>
            </w:r>
          </w:p>
        </w:tc>
      </w:tr>
      <w:tr>
        <w:trPr>
          <w:trHeight w:val="189"/>
        </w:trPr>
        <w:tc>
          <w:tcPr>
            <w:tcW w:w="38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Personal Rating</w:t>
            </w:r>
          </w:p>
        </w:tc>
        <w:tc>
          <w:tcPr>
            <w:tcW w:w="4220" w:type="dxa"/>
            <w:vAlign w:val="bottom"/>
            <w:gridSpan w:val="3"/>
          </w:tcPr>
          <w:p>
            <w:pPr>
              <w:jc w:val="right"/>
              <w:ind w:right="160"/>
              <w:spacing w:after="0" w:line="189" w:lineRule="exact"/>
              <w:rPr>
                <w:sz w:val="20"/>
                <w:szCs w:val="20"/>
                <w:color w:val="auto"/>
              </w:rPr>
            </w:pPr>
            <w:r>
              <w:rPr>
                <w:rFonts w:ascii="Arial" w:cs="Arial" w:eastAsia="Arial" w:hAnsi="Arial"/>
                <w:sz w:val="18"/>
                <w:szCs w:val="18"/>
                <w:color w:val="auto"/>
              </w:rPr>
              <w:t>20%</w:t>
            </w:r>
          </w:p>
        </w:tc>
        <w:tc>
          <w:tcPr>
            <w:tcW w:w="154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auto"/>
              </w:rPr>
              <w:t>33%</w:t>
            </w:r>
          </w:p>
        </w:tc>
      </w:tr>
      <w:tr>
        <w:trPr>
          <w:trHeight w:val="34"/>
        </w:trPr>
        <w:tc>
          <w:tcPr>
            <w:tcW w:w="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3800" w:type="dxa"/>
            <w:vAlign w:val="bottom"/>
            <w:tcBorders>
              <w:bottom w:val="single" w:sz="8" w:color="005C7D"/>
            </w:tcBorders>
            <w:gridSpan w:val="2"/>
            <w:shd w:val="clear" w:color="auto" w:fill="CDDAE6"/>
          </w:tcPr>
          <w:p>
            <w:pPr>
              <w:ind w:left="20"/>
              <w:spacing w:after="0"/>
              <w:rPr>
                <w:sz w:val="20"/>
                <w:szCs w:val="20"/>
                <w:color w:val="auto"/>
              </w:rPr>
            </w:pPr>
            <w:r>
              <w:rPr>
                <w:rFonts w:ascii="Arial" w:cs="Arial" w:eastAsia="Arial" w:hAnsi="Arial"/>
                <w:sz w:val="18"/>
                <w:szCs w:val="18"/>
                <w:color w:val="auto"/>
              </w:rPr>
              <w:t>Total Rating</w:t>
            </w:r>
          </w:p>
        </w:tc>
        <w:tc>
          <w:tcPr>
            <w:tcW w:w="4220" w:type="dxa"/>
            <w:vAlign w:val="bottom"/>
            <w:tcBorders>
              <w:bottom w:val="single" w:sz="8" w:color="005C7D"/>
            </w:tcBorders>
            <w:gridSpan w:val="3"/>
            <w:shd w:val="clear" w:color="auto" w:fill="CDDAE6"/>
          </w:tcPr>
          <w:p>
            <w:pPr>
              <w:jc w:val="right"/>
              <w:ind w:right="160"/>
              <w:spacing w:after="0"/>
              <w:rPr>
                <w:sz w:val="20"/>
                <w:szCs w:val="20"/>
                <w:color w:val="auto"/>
              </w:rPr>
            </w:pPr>
            <w:r>
              <w:rPr>
                <w:rFonts w:ascii="Arial" w:cs="Arial" w:eastAsia="Arial" w:hAnsi="Arial"/>
                <w:sz w:val="18"/>
                <w:szCs w:val="18"/>
                <w:color w:val="auto"/>
              </w:rPr>
              <w:t>100%</w:t>
            </w:r>
          </w:p>
        </w:tc>
        <w:tc>
          <w:tcPr>
            <w:tcW w:w="1540" w:type="dxa"/>
            <w:vAlign w:val="bottom"/>
            <w:tcBorders>
              <w:bottom w:val="single" w:sz="8" w:color="005C7D"/>
            </w:tcBorders>
            <w:gridSpan w:val="4"/>
            <w:shd w:val="clear" w:color="auto" w:fill="CDDAE6"/>
          </w:tcPr>
          <w:p>
            <w:pPr>
              <w:jc w:val="right"/>
              <w:ind w:right="20"/>
              <w:spacing w:after="0"/>
              <w:rPr>
                <w:sz w:val="20"/>
                <w:szCs w:val="20"/>
                <w:color w:val="auto"/>
              </w:rPr>
            </w:pPr>
            <w:r>
              <w:rPr>
                <w:rFonts w:ascii="Arial" w:cs="Arial" w:eastAsia="Arial" w:hAnsi="Arial"/>
                <w:sz w:val="18"/>
                <w:szCs w:val="18"/>
                <w:color w:val="auto"/>
              </w:rPr>
              <w:t>100%</w:t>
            </w:r>
          </w:p>
        </w:tc>
      </w:tr>
      <w:tr>
        <w:trPr>
          <w:trHeight w:val="54"/>
        </w:trPr>
        <w:tc>
          <w:tcPr>
            <w:tcW w:w="620" w:type="dxa"/>
            <w:vAlign w:val="bottom"/>
          </w:tcPr>
          <w:p>
            <w:pPr>
              <w:spacing w:after="0"/>
              <w:rPr>
                <w:sz w:val="4"/>
                <w:szCs w:val="4"/>
                <w:color w:val="auto"/>
              </w:rPr>
            </w:pPr>
          </w:p>
        </w:tc>
        <w:tc>
          <w:tcPr>
            <w:tcW w:w="3180" w:type="dxa"/>
            <w:vAlign w:val="bottom"/>
            <w:tcBorders>
              <w:bottom w:val="single" w:sz="8" w:color="005C7D"/>
            </w:tcBorders>
          </w:tcPr>
          <w:p>
            <w:pPr>
              <w:spacing w:after="0"/>
              <w:rPr>
                <w:sz w:val="4"/>
                <w:szCs w:val="4"/>
                <w:color w:val="auto"/>
              </w:rPr>
            </w:pPr>
          </w:p>
        </w:tc>
        <w:tc>
          <w:tcPr>
            <w:tcW w:w="3640" w:type="dxa"/>
            <w:vAlign w:val="bottom"/>
            <w:tcBorders>
              <w:bottom w:val="single" w:sz="8" w:color="005C7D"/>
            </w:tcBorders>
          </w:tcPr>
          <w:p>
            <w:pPr>
              <w:spacing w:after="0"/>
              <w:rPr>
                <w:sz w:val="4"/>
                <w:szCs w:val="4"/>
                <w:color w:val="auto"/>
              </w:rPr>
            </w:pPr>
          </w:p>
        </w:tc>
        <w:tc>
          <w:tcPr>
            <w:tcW w:w="420" w:type="dxa"/>
            <w:vAlign w:val="bottom"/>
            <w:tcBorders>
              <w:bottom w:val="single" w:sz="8" w:color="005C7D"/>
            </w:tcBorders>
          </w:tcPr>
          <w:p>
            <w:pPr>
              <w:spacing w:after="0"/>
              <w:rPr>
                <w:sz w:val="4"/>
                <w:szCs w:val="4"/>
                <w:color w:val="auto"/>
              </w:rPr>
            </w:pPr>
          </w:p>
        </w:tc>
        <w:tc>
          <w:tcPr>
            <w:tcW w:w="160" w:type="dxa"/>
            <w:vAlign w:val="bottom"/>
            <w:tcBorders>
              <w:bottom w:val="single" w:sz="8" w:color="005C7D"/>
            </w:tcBorders>
          </w:tcPr>
          <w:p>
            <w:pPr>
              <w:spacing w:after="0"/>
              <w:rPr>
                <w:sz w:val="4"/>
                <w:szCs w:val="4"/>
                <w:color w:val="auto"/>
              </w:rPr>
            </w:pPr>
          </w:p>
        </w:tc>
        <w:tc>
          <w:tcPr>
            <w:tcW w:w="900" w:type="dxa"/>
            <w:vAlign w:val="bottom"/>
            <w:tcBorders>
              <w:bottom w:val="single" w:sz="8" w:color="005C7D"/>
            </w:tcBorders>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-8255</wp:posOffset>
            </wp:positionV>
            <wp:extent cx="5274310" cy="2317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74310" cy="2317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4"/>
              </w:rPr>
              <w:t>Annual Incentive Plan</w:t>
            </w:r>
          </w:p>
        </w:tc>
        <w:tc>
          <w:tcPr>
            <w:tcW w:w="6420" w:type="dxa"/>
            <w:vAlign w:val="bottom"/>
          </w:tcPr>
          <w:p>
            <w:pPr>
              <w:ind w:left="220"/>
              <w:spacing w:after="0"/>
              <w:rPr>
                <w:sz w:val="20"/>
                <w:szCs w:val="20"/>
                <w:color w:val="auto"/>
              </w:rPr>
            </w:pPr>
            <w:r>
              <w:rPr>
                <w:rFonts w:ascii="Arial" w:cs="Arial" w:eastAsia="Arial" w:hAnsi="Arial"/>
                <w:sz w:val="14"/>
                <w:szCs w:val="14"/>
                <w:color w:val="auto"/>
              </w:rPr>
              <w:t>Total Rating = [Financial Rating x Weight] + [Personal Rating x Weight]</w:t>
            </w:r>
          </w:p>
        </w:tc>
        <w:tc>
          <w:tcPr>
            <w:tcW w:w="640" w:type="dxa"/>
            <w:vAlign w:val="bottom"/>
          </w:tcPr>
          <w:p>
            <w:pPr>
              <w:spacing w:after="0"/>
              <w:rPr>
                <w:sz w:val="14"/>
                <w:szCs w:val="14"/>
                <w:color w:val="auto"/>
              </w:rPr>
            </w:pPr>
          </w:p>
        </w:tc>
      </w:tr>
      <w:tr>
        <w:trPr>
          <w:trHeight w:val="185"/>
        </w:trPr>
        <w:tc>
          <w:tcPr>
            <w:tcW w:w="620" w:type="dxa"/>
            <w:vAlign w:val="bottom"/>
          </w:tcPr>
          <w:p>
            <w:pPr>
              <w:spacing w:after="0"/>
              <w:rPr>
                <w:sz w:val="16"/>
                <w:szCs w:val="16"/>
                <w:color w:val="auto"/>
              </w:rPr>
            </w:pPr>
          </w:p>
        </w:tc>
        <w:tc>
          <w:tcPr>
            <w:tcW w:w="1880" w:type="dxa"/>
            <w:vAlign w:val="bottom"/>
            <w:tcBorders>
              <w:bottom w:val="single" w:sz="8" w:color="005C7D"/>
            </w:tcBorders>
          </w:tcPr>
          <w:p>
            <w:pPr>
              <w:jc w:val="center"/>
              <w:ind w:left="8"/>
              <w:spacing w:after="0"/>
              <w:rPr>
                <w:sz w:val="20"/>
                <w:szCs w:val="20"/>
                <w:color w:val="auto"/>
              </w:rPr>
            </w:pPr>
            <w:r>
              <w:rPr>
                <w:rFonts w:ascii="Arial" w:cs="Arial" w:eastAsia="Arial" w:hAnsi="Arial"/>
                <w:sz w:val="14"/>
                <w:szCs w:val="14"/>
                <w:b w:val="1"/>
                <w:bCs w:val="1"/>
                <w:color w:val="auto"/>
                <w:w w:val="94"/>
              </w:rPr>
              <w:t>Payout Formula</w:t>
            </w:r>
          </w:p>
        </w:tc>
        <w:tc>
          <w:tcPr>
            <w:tcW w:w="6420" w:type="dxa"/>
            <w:vAlign w:val="bottom"/>
            <w:tcBorders>
              <w:bottom w:val="single" w:sz="8" w:color="005C7D"/>
            </w:tcBorders>
          </w:tcPr>
          <w:p>
            <w:pPr>
              <w:ind w:left="220"/>
              <w:spacing w:after="0"/>
              <w:rPr>
                <w:sz w:val="20"/>
                <w:szCs w:val="20"/>
                <w:color w:val="auto"/>
              </w:rPr>
            </w:pPr>
            <w:r>
              <w:rPr>
                <w:rFonts w:ascii="Arial" w:cs="Arial" w:eastAsia="Arial" w:hAnsi="Arial"/>
                <w:sz w:val="14"/>
                <w:szCs w:val="14"/>
                <w:color w:val="auto"/>
              </w:rPr>
              <w:t>Potential Annual Incentive Plan Payout ($) = Target Bonus ($) x Total Rating</w:t>
            </w:r>
          </w:p>
        </w:tc>
        <w:tc>
          <w:tcPr>
            <w:tcW w:w="640" w:type="dxa"/>
            <w:vAlign w:val="bottom"/>
          </w:tcPr>
          <w:p>
            <w:pPr>
              <w:spacing w:after="0"/>
              <w:rPr>
                <w:sz w:val="16"/>
                <w:szCs w:val="16"/>
                <w:color w:val="auto"/>
              </w:rPr>
            </w:pPr>
          </w:p>
        </w:tc>
      </w:tr>
      <w:tr>
        <w:trPr>
          <w:trHeight w:val="520"/>
        </w:trPr>
        <w:tc>
          <w:tcPr>
            <w:tcW w:w="620" w:type="dxa"/>
            <w:vAlign w:val="bottom"/>
          </w:tcPr>
          <w:p>
            <w:pPr>
              <w:jc w:val="right"/>
              <w:ind w:right="310"/>
              <w:spacing w:after="0"/>
              <w:rPr>
                <w:sz w:val="20"/>
                <w:szCs w:val="20"/>
                <w:color w:val="auto"/>
              </w:rPr>
            </w:pPr>
            <w:r>
              <w:rPr>
                <w:rFonts w:ascii="Arial" w:cs="Arial" w:eastAsia="Arial" w:hAnsi="Arial"/>
                <w:sz w:val="18"/>
                <w:szCs w:val="18"/>
                <w:color w:val="005C7D"/>
                <w:w w:val="99"/>
              </w:rPr>
              <w:t>50</w:t>
            </w:r>
          </w:p>
        </w:tc>
        <w:tc>
          <w:tcPr>
            <w:tcW w:w="1880" w:type="dxa"/>
            <w:vAlign w:val="bottom"/>
          </w:tcPr>
          <w:p>
            <w:pPr>
              <w:ind w:left="60"/>
              <w:spacing w:after="0"/>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tc>
        <w:tc>
          <w:tcPr>
            <w:tcW w:w="6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54"/>
        </w:trPr>
        <w:tc>
          <w:tcPr>
            <w:tcW w:w="6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68"/>
        </w:trPr>
        <w:tc>
          <w:tcPr>
            <w:tcW w:w="620" w:type="dxa"/>
            <w:vAlign w:val="bottom"/>
            <w:shd w:val="clear" w:color="auto" w:fill="000000"/>
          </w:tcPr>
          <w:p>
            <w:pPr>
              <w:spacing w:after="0"/>
              <w:rPr>
                <w:sz w:val="5"/>
                <w:szCs w:val="5"/>
                <w:color w:val="auto"/>
              </w:rPr>
            </w:pPr>
          </w:p>
        </w:tc>
        <w:tc>
          <w:tcPr>
            <w:tcW w:w="1880" w:type="dxa"/>
            <w:vAlign w:val="bottom"/>
            <w:shd w:val="clear" w:color="auto" w:fill="000000"/>
          </w:tcPr>
          <w:p>
            <w:pPr>
              <w:spacing w:after="0"/>
              <w:rPr>
                <w:sz w:val="5"/>
                <w:szCs w:val="5"/>
                <w:color w:val="auto"/>
              </w:rPr>
            </w:pPr>
          </w:p>
        </w:tc>
        <w:tc>
          <w:tcPr>
            <w:tcW w:w="642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-530860</wp:posOffset>
            </wp:positionV>
            <wp:extent cx="154305" cy="154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56" w:name="page57"/>
    <w:bookmarkEnd w:id="5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STEP 5. For group presidents, determine organic growth adjustment</w:t>
      </w:r>
    </w:p>
    <w:p>
      <w:pPr>
        <w:spacing w:after="0" w:line="194" w:lineRule="exact"/>
        <w:rPr>
          <w:sz w:val="20"/>
          <w:szCs w:val="20"/>
          <w:color w:val="auto"/>
        </w:rPr>
      </w:pPr>
    </w:p>
    <w:p>
      <w:pPr>
        <w:ind w:right="560"/>
        <w:spacing w:after="0" w:line="268" w:lineRule="auto"/>
        <w:rPr>
          <w:sz w:val="20"/>
          <w:szCs w:val="20"/>
          <w:color w:val="auto"/>
        </w:rPr>
      </w:pPr>
      <w:r>
        <w:rPr>
          <w:rFonts w:ascii="Arial" w:cs="Arial" w:eastAsia="Arial" w:hAnsi="Arial"/>
          <w:sz w:val="17"/>
          <w:szCs w:val="17"/>
          <w:color w:val="auto"/>
        </w:rPr>
        <w:t>For group presidents, the final annual incentive payout may be adjusted upwards by up to an additional 25% of their target bonus under the formulaic plan design. This performance modifier is intended to incentivize group presidents to drive organic growth in their respective groups as measured by OI. Payouts for organic growth in 2016 were based on the graduated scale in the table to the right, with performance interpolated between these points. As compared to 2015, the Committee determined to double the 2016 organic OI growth requirements for each corresponding payout level in the table to the right, based on the Committee’s view that OI growth would be easier to achieve in 2016 in light of an improving DoD budget outlook.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Organic Operating Income</w:t>
            </w:r>
          </w:p>
        </w:tc>
        <w:tc>
          <w:tcPr>
            <w:tcW w:w="208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Growth Adjustment</w:t>
            </w:r>
          </w:p>
        </w:tc>
      </w:tr>
      <w:tr>
        <w:trPr>
          <w:trHeight w:val="185"/>
        </w:trPr>
        <w:tc>
          <w:tcPr>
            <w:tcW w:w="2300" w:type="dxa"/>
            <w:vAlign w:val="bottom"/>
            <w:tcBorders>
              <w:bottom w:val="single" w:sz="8" w:color="005C7D"/>
            </w:tcBorders>
          </w:tcPr>
          <w:p>
            <w:pPr>
              <w:jc w:val="center"/>
              <w:ind w:right="41"/>
              <w:spacing w:after="0"/>
              <w:rPr>
                <w:sz w:val="20"/>
                <w:szCs w:val="20"/>
                <w:color w:val="auto"/>
              </w:rPr>
            </w:pPr>
            <w:r>
              <w:rPr>
                <w:rFonts w:ascii="Arial" w:cs="Arial" w:eastAsia="Arial" w:hAnsi="Arial"/>
                <w:sz w:val="14"/>
                <w:szCs w:val="14"/>
                <w:b w:val="1"/>
                <w:bCs w:val="1"/>
                <w:color w:val="auto"/>
                <w:w w:val="93"/>
              </w:rPr>
              <w:t>Growth</w:t>
            </w:r>
          </w:p>
        </w:tc>
        <w:tc>
          <w:tcPr>
            <w:tcW w:w="2080" w:type="dxa"/>
            <w:vAlign w:val="bottom"/>
            <w:tcBorders>
              <w:bottom w:val="single" w:sz="8" w:color="005C7D"/>
            </w:tcBorders>
          </w:tcPr>
          <w:p>
            <w:pPr>
              <w:jc w:val="center"/>
              <w:ind w:right="21"/>
              <w:spacing w:after="0"/>
              <w:rPr>
                <w:sz w:val="20"/>
                <w:szCs w:val="20"/>
                <w:color w:val="auto"/>
              </w:rPr>
            </w:pPr>
            <w:r>
              <w:rPr>
                <w:rFonts w:ascii="Arial" w:cs="Arial" w:eastAsia="Arial" w:hAnsi="Arial"/>
                <w:sz w:val="14"/>
                <w:szCs w:val="14"/>
                <w:b w:val="1"/>
                <w:bCs w:val="1"/>
                <w:color w:val="auto"/>
                <w:w w:val="94"/>
              </w:rPr>
              <w:t>(% of Target Bonus)</w:t>
            </w:r>
          </w:p>
        </w:tc>
      </w:tr>
      <w:tr>
        <w:trPr>
          <w:trHeight w:val="223"/>
        </w:trPr>
        <w:tc>
          <w:tcPr>
            <w:tcW w:w="2300" w:type="dxa"/>
            <w:vAlign w:val="bottom"/>
            <w:shd w:val="clear" w:color="auto" w:fill="CDDAE6"/>
          </w:tcPr>
          <w:p>
            <w:pPr>
              <w:jc w:val="center"/>
              <w:ind w:right="41"/>
              <w:spacing w:after="0"/>
              <w:rPr>
                <w:sz w:val="20"/>
                <w:szCs w:val="20"/>
                <w:color w:val="auto"/>
              </w:rPr>
            </w:pPr>
            <w:r>
              <w:rPr>
                <w:rFonts w:ascii="Arial" w:cs="Arial" w:eastAsia="Arial" w:hAnsi="Arial"/>
                <w:sz w:val="16"/>
                <w:szCs w:val="16"/>
                <w:color w:val="auto"/>
                <w:w w:val="92"/>
              </w:rPr>
              <w:t>0.00%</w:t>
            </w:r>
          </w:p>
        </w:tc>
        <w:tc>
          <w:tcPr>
            <w:tcW w:w="2080" w:type="dxa"/>
            <w:vAlign w:val="bottom"/>
            <w:shd w:val="clear" w:color="auto" w:fill="CDDAE6"/>
          </w:tcPr>
          <w:p>
            <w:pPr>
              <w:jc w:val="center"/>
              <w:spacing w:after="0"/>
              <w:rPr>
                <w:sz w:val="20"/>
                <w:szCs w:val="20"/>
                <w:color w:val="auto"/>
              </w:rPr>
            </w:pPr>
            <w:r>
              <w:rPr>
                <w:rFonts w:ascii="Arial" w:cs="Arial" w:eastAsia="Arial" w:hAnsi="Arial"/>
                <w:sz w:val="16"/>
                <w:szCs w:val="16"/>
                <w:color w:val="auto"/>
                <w:w w:val="93"/>
              </w:rPr>
              <w:t>0.0%</w:t>
            </w:r>
          </w:p>
        </w:tc>
      </w:tr>
      <w:tr>
        <w:trPr>
          <w:trHeight w:val="220"/>
        </w:trPr>
        <w:tc>
          <w:tcPr>
            <w:tcW w:w="2300" w:type="dxa"/>
            <w:vAlign w:val="bottom"/>
          </w:tcPr>
          <w:p>
            <w:pPr>
              <w:jc w:val="center"/>
              <w:ind w:right="41"/>
              <w:spacing w:after="0"/>
              <w:rPr>
                <w:sz w:val="20"/>
                <w:szCs w:val="20"/>
                <w:color w:val="auto"/>
              </w:rPr>
            </w:pPr>
            <w:r>
              <w:rPr>
                <w:rFonts w:ascii="Arial" w:cs="Arial" w:eastAsia="Arial" w:hAnsi="Arial"/>
                <w:sz w:val="16"/>
                <w:szCs w:val="16"/>
                <w:color w:val="auto"/>
                <w:w w:val="92"/>
              </w:rPr>
              <w:t>1.25%</w:t>
            </w:r>
          </w:p>
        </w:tc>
        <w:tc>
          <w:tcPr>
            <w:tcW w:w="2080" w:type="dxa"/>
            <w:vAlign w:val="bottom"/>
          </w:tcPr>
          <w:p>
            <w:pPr>
              <w:jc w:val="center"/>
              <w:ind w:right="21"/>
              <w:spacing w:after="0"/>
              <w:rPr>
                <w:sz w:val="20"/>
                <w:szCs w:val="20"/>
                <w:color w:val="auto"/>
              </w:rPr>
            </w:pPr>
            <w:r>
              <w:rPr>
                <w:rFonts w:ascii="Arial" w:cs="Arial" w:eastAsia="Arial" w:hAnsi="Arial"/>
                <w:sz w:val="16"/>
                <w:szCs w:val="16"/>
                <w:color w:val="auto"/>
                <w:w w:val="93"/>
              </w:rPr>
              <w:t>1.5%</w:t>
            </w:r>
          </w:p>
        </w:tc>
      </w:tr>
      <w:tr>
        <w:trPr>
          <w:trHeight w:val="239"/>
        </w:trPr>
        <w:tc>
          <w:tcPr>
            <w:tcW w:w="2300" w:type="dxa"/>
            <w:vAlign w:val="bottom"/>
            <w:shd w:val="clear" w:color="auto" w:fill="CDDAE6"/>
          </w:tcPr>
          <w:p>
            <w:pPr>
              <w:jc w:val="center"/>
              <w:ind w:right="41"/>
              <w:spacing w:after="0"/>
              <w:rPr>
                <w:sz w:val="20"/>
                <w:szCs w:val="20"/>
                <w:color w:val="auto"/>
              </w:rPr>
            </w:pPr>
            <w:r>
              <w:rPr>
                <w:rFonts w:ascii="Arial" w:cs="Arial" w:eastAsia="Arial" w:hAnsi="Arial"/>
                <w:sz w:val="16"/>
                <w:szCs w:val="16"/>
                <w:color w:val="auto"/>
                <w:w w:val="92"/>
              </w:rPr>
              <w:t>2.50%</w:t>
            </w:r>
          </w:p>
        </w:tc>
        <w:tc>
          <w:tcPr>
            <w:tcW w:w="2080" w:type="dxa"/>
            <w:vAlign w:val="bottom"/>
            <w:shd w:val="clear" w:color="auto" w:fill="CDDAE6"/>
          </w:tcPr>
          <w:p>
            <w:pPr>
              <w:jc w:val="center"/>
              <w:ind w:right="21"/>
              <w:spacing w:after="0"/>
              <w:rPr>
                <w:sz w:val="20"/>
                <w:szCs w:val="20"/>
                <w:color w:val="auto"/>
              </w:rPr>
            </w:pPr>
            <w:r>
              <w:rPr>
                <w:rFonts w:ascii="Arial" w:cs="Arial" w:eastAsia="Arial" w:hAnsi="Arial"/>
                <w:sz w:val="16"/>
                <w:szCs w:val="16"/>
                <w:color w:val="auto"/>
                <w:w w:val="93"/>
              </w:rPr>
              <w:t>3.0%</w:t>
            </w:r>
          </w:p>
        </w:tc>
      </w:tr>
      <w:tr>
        <w:trPr>
          <w:trHeight w:val="220"/>
        </w:trPr>
        <w:tc>
          <w:tcPr>
            <w:tcW w:w="2300" w:type="dxa"/>
            <w:vAlign w:val="bottom"/>
          </w:tcPr>
          <w:p>
            <w:pPr>
              <w:jc w:val="center"/>
              <w:ind w:right="41"/>
              <w:spacing w:after="0"/>
              <w:rPr>
                <w:sz w:val="20"/>
                <w:szCs w:val="20"/>
                <w:color w:val="auto"/>
              </w:rPr>
            </w:pPr>
            <w:r>
              <w:rPr>
                <w:rFonts w:ascii="Arial" w:cs="Arial" w:eastAsia="Arial" w:hAnsi="Arial"/>
                <w:sz w:val="16"/>
                <w:szCs w:val="16"/>
                <w:color w:val="auto"/>
                <w:w w:val="92"/>
              </w:rPr>
              <w:t>3.75%</w:t>
            </w:r>
          </w:p>
        </w:tc>
        <w:tc>
          <w:tcPr>
            <w:tcW w:w="2080" w:type="dxa"/>
            <w:vAlign w:val="bottom"/>
          </w:tcPr>
          <w:p>
            <w:pPr>
              <w:jc w:val="center"/>
              <w:ind w:right="21"/>
              <w:spacing w:after="0"/>
              <w:rPr>
                <w:sz w:val="20"/>
                <w:szCs w:val="20"/>
                <w:color w:val="auto"/>
              </w:rPr>
            </w:pPr>
            <w:r>
              <w:rPr>
                <w:rFonts w:ascii="Arial" w:cs="Arial" w:eastAsia="Arial" w:hAnsi="Arial"/>
                <w:sz w:val="16"/>
                <w:szCs w:val="16"/>
                <w:color w:val="auto"/>
                <w:w w:val="93"/>
              </w:rPr>
              <w:t>6.0%</w:t>
            </w:r>
          </w:p>
        </w:tc>
      </w:tr>
      <w:tr>
        <w:trPr>
          <w:trHeight w:val="239"/>
        </w:trPr>
        <w:tc>
          <w:tcPr>
            <w:tcW w:w="2300" w:type="dxa"/>
            <w:vAlign w:val="bottom"/>
            <w:shd w:val="clear" w:color="auto" w:fill="CDDAE6"/>
          </w:tcPr>
          <w:p>
            <w:pPr>
              <w:jc w:val="center"/>
              <w:ind w:right="41"/>
              <w:spacing w:after="0"/>
              <w:rPr>
                <w:sz w:val="20"/>
                <w:szCs w:val="20"/>
                <w:color w:val="auto"/>
              </w:rPr>
            </w:pPr>
            <w:r>
              <w:rPr>
                <w:rFonts w:ascii="Arial" w:cs="Arial" w:eastAsia="Arial" w:hAnsi="Arial"/>
                <w:sz w:val="16"/>
                <w:szCs w:val="16"/>
                <w:color w:val="auto"/>
                <w:w w:val="92"/>
              </w:rPr>
              <w:t>5.00%</w:t>
            </w:r>
          </w:p>
        </w:tc>
        <w:tc>
          <w:tcPr>
            <w:tcW w:w="2080" w:type="dxa"/>
            <w:vAlign w:val="bottom"/>
            <w:shd w:val="clear" w:color="auto" w:fill="CDDAE6"/>
          </w:tcPr>
          <w:p>
            <w:pPr>
              <w:jc w:val="center"/>
              <w:ind w:right="21"/>
              <w:spacing w:after="0"/>
              <w:rPr>
                <w:sz w:val="20"/>
                <w:szCs w:val="20"/>
                <w:color w:val="auto"/>
              </w:rPr>
            </w:pPr>
            <w:r>
              <w:rPr>
                <w:rFonts w:ascii="Arial" w:cs="Arial" w:eastAsia="Arial" w:hAnsi="Arial"/>
                <w:sz w:val="16"/>
                <w:szCs w:val="16"/>
                <w:color w:val="auto"/>
                <w:w w:val="93"/>
              </w:rPr>
              <w:t>9.0%</w:t>
            </w:r>
          </w:p>
        </w:tc>
      </w:tr>
      <w:tr>
        <w:trPr>
          <w:trHeight w:val="220"/>
        </w:trPr>
        <w:tc>
          <w:tcPr>
            <w:tcW w:w="2300" w:type="dxa"/>
            <w:vAlign w:val="bottom"/>
          </w:tcPr>
          <w:p>
            <w:pPr>
              <w:jc w:val="center"/>
              <w:ind w:right="41"/>
              <w:spacing w:after="0"/>
              <w:rPr>
                <w:sz w:val="20"/>
                <w:szCs w:val="20"/>
                <w:color w:val="auto"/>
              </w:rPr>
            </w:pPr>
            <w:r>
              <w:rPr>
                <w:rFonts w:ascii="Arial" w:cs="Arial" w:eastAsia="Arial" w:hAnsi="Arial"/>
                <w:sz w:val="16"/>
                <w:szCs w:val="16"/>
                <w:color w:val="auto"/>
                <w:w w:val="92"/>
              </w:rPr>
              <w:t>6.25%</w:t>
            </w:r>
          </w:p>
        </w:tc>
        <w:tc>
          <w:tcPr>
            <w:tcW w:w="2080" w:type="dxa"/>
            <w:vAlign w:val="bottom"/>
          </w:tcPr>
          <w:p>
            <w:pPr>
              <w:jc w:val="center"/>
              <w:ind w:right="21"/>
              <w:spacing w:after="0"/>
              <w:rPr>
                <w:sz w:val="20"/>
                <w:szCs w:val="20"/>
                <w:color w:val="auto"/>
              </w:rPr>
            </w:pPr>
            <w:r>
              <w:rPr>
                <w:rFonts w:ascii="Arial" w:cs="Arial" w:eastAsia="Arial" w:hAnsi="Arial"/>
                <w:sz w:val="16"/>
                <w:szCs w:val="16"/>
                <w:color w:val="auto"/>
                <w:w w:val="92"/>
              </w:rPr>
              <w:t>13.0%</w:t>
            </w:r>
          </w:p>
        </w:tc>
      </w:tr>
      <w:tr>
        <w:trPr>
          <w:trHeight w:val="239"/>
        </w:trPr>
        <w:tc>
          <w:tcPr>
            <w:tcW w:w="2300" w:type="dxa"/>
            <w:vAlign w:val="bottom"/>
            <w:shd w:val="clear" w:color="auto" w:fill="CDDAE6"/>
          </w:tcPr>
          <w:p>
            <w:pPr>
              <w:jc w:val="center"/>
              <w:ind w:right="41"/>
              <w:spacing w:after="0"/>
              <w:rPr>
                <w:sz w:val="20"/>
                <w:szCs w:val="20"/>
                <w:color w:val="auto"/>
              </w:rPr>
            </w:pPr>
            <w:r>
              <w:rPr>
                <w:rFonts w:ascii="Arial" w:cs="Arial" w:eastAsia="Arial" w:hAnsi="Arial"/>
                <w:sz w:val="16"/>
                <w:szCs w:val="16"/>
                <w:color w:val="auto"/>
                <w:w w:val="92"/>
              </w:rPr>
              <w:t>7.50%</w:t>
            </w:r>
          </w:p>
        </w:tc>
        <w:tc>
          <w:tcPr>
            <w:tcW w:w="2080" w:type="dxa"/>
            <w:vAlign w:val="bottom"/>
            <w:shd w:val="clear" w:color="auto" w:fill="CDDAE6"/>
          </w:tcPr>
          <w:p>
            <w:pPr>
              <w:jc w:val="center"/>
              <w:ind w:right="21"/>
              <w:spacing w:after="0"/>
              <w:rPr>
                <w:sz w:val="20"/>
                <w:szCs w:val="20"/>
                <w:color w:val="auto"/>
              </w:rPr>
            </w:pPr>
            <w:r>
              <w:rPr>
                <w:rFonts w:ascii="Arial" w:cs="Arial" w:eastAsia="Arial" w:hAnsi="Arial"/>
                <w:sz w:val="16"/>
                <w:szCs w:val="16"/>
                <w:color w:val="auto"/>
                <w:w w:val="92"/>
              </w:rPr>
              <w:t>17.0%</w:t>
            </w:r>
          </w:p>
        </w:tc>
      </w:tr>
      <w:tr>
        <w:trPr>
          <w:trHeight w:val="220"/>
        </w:trPr>
        <w:tc>
          <w:tcPr>
            <w:tcW w:w="2300" w:type="dxa"/>
            <w:vAlign w:val="bottom"/>
          </w:tcPr>
          <w:p>
            <w:pPr>
              <w:jc w:val="center"/>
              <w:ind w:right="41"/>
              <w:spacing w:after="0"/>
              <w:rPr>
                <w:sz w:val="20"/>
                <w:szCs w:val="20"/>
                <w:color w:val="auto"/>
              </w:rPr>
            </w:pPr>
            <w:r>
              <w:rPr>
                <w:rFonts w:ascii="Arial" w:cs="Arial" w:eastAsia="Arial" w:hAnsi="Arial"/>
                <w:sz w:val="16"/>
                <w:szCs w:val="16"/>
                <w:color w:val="auto"/>
                <w:w w:val="92"/>
              </w:rPr>
              <w:t>8.75%</w:t>
            </w:r>
          </w:p>
        </w:tc>
        <w:tc>
          <w:tcPr>
            <w:tcW w:w="2080" w:type="dxa"/>
            <w:vAlign w:val="bottom"/>
          </w:tcPr>
          <w:p>
            <w:pPr>
              <w:jc w:val="center"/>
              <w:ind w:right="21"/>
              <w:spacing w:after="0"/>
              <w:rPr>
                <w:sz w:val="20"/>
                <w:szCs w:val="20"/>
                <w:color w:val="auto"/>
              </w:rPr>
            </w:pPr>
            <w:r>
              <w:rPr>
                <w:rFonts w:ascii="Arial" w:cs="Arial" w:eastAsia="Arial" w:hAnsi="Arial"/>
                <w:sz w:val="16"/>
                <w:szCs w:val="16"/>
                <w:color w:val="auto"/>
                <w:w w:val="92"/>
              </w:rPr>
              <w:t>21.0%</w:t>
            </w:r>
          </w:p>
        </w:tc>
      </w:tr>
      <w:tr>
        <w:trPr>
          <w:trHeight w:val="233"/>
        </w:trPr>
        <w:tc>
          <w:tcPr>
            <w:tcW w:w="2300" w:type="dxa"/>
            <w:vAlign w:val="bottom"/>
            <w:tcBorders>
              <w:bottom w:val="single" w:sz="8" w:color="005C7D"/>
            </w:tcBorders>
            <w:shd w:val="clear" w:color="auto" w:fill="CDDAE6"/>
          </w:tcPr>
          <w:p>
            <w:pPr>
              <w:jc w:val="center"/>
              <w:ind w:right="41"/>
              <w:spacing w:after="0"/>
              <w:rPr>
                <w:sz w:val="20"/>
                <w:szCs w:val="20"/>
                <w:color w:val="auto"/>
              </w:rPr>
            </w:pPr>
            <w:r>
              <w:rPr>
                <w:rFonts w:ascii="Arial" w:cs="Arial" w:eastAsia="Arial" w:hAnsi="Arial"/>
                <w:sz w:val="16"/>
                <w:szCs w:val="16"/>
                <w:color w:val="auto"/>
                <w:w w:val="90"/>
              </w:rPr>
              <w:t>10.00% or above</w:t>
            </w:r>
          </w:p>
        </w:tc>
        <w:tc>
          <w:tcPr>
            <w:tcW w:w="2080" w:type="dxa"/>
            <w:vAlign w:val="bottom"/>
            <w:tcBorders>
              <w:bottom w:val="single" w:sz="8" w:color="005C7D"/>
            </w:tcBorders>
            <w:shd w:val="clear" w:color="auto" w:fill="CDDAE6"/>
          </w:tcPr>
          <w:p>
            <w:pPr>
              <w:jc w:val="center"/>
              <w:ind w:right="21"/>
              <w:spacing w:after="0"/>
              <w:rPr>
                <w:sz w:val="20"/>
                <w:szCs w:val="20"/>
                <w:color w:val="auto"/>
              </w:rPr>
            </w:pPr>
            <w:r>
              <w:rPr>
                <w:rFonts w:ascii="Arial" w:cs="Arial" w:eastAsia="Arial" w:hAnsi="Arial"/>
                <w:sz w:val="16"/>
                <w:szCs w:val="16"/>
                <w:color w:val="auto"/>
                <w:w w:val="92"/>
              </w:rPr>
              <w:t>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-1560195</wp:posOffset>
            </wp:positionV>
            <wp:extent cx="278701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891" w:lineRule="exact"/>
        <w:rPr>
          <w:sz w:val="20"/>
          <w:szCs w:val="20"/>
          <w:color w:val="auto"/>
        </w:rPr>
      </w:pPr>
    </w:p>
    <w:p>
      <w:pPr>
        <w:sectPr>
          <w:pgSz w:w="11900" w:h="16838" w:orient="portrait"/>
          <w:cols w:equalWidth="0" w:num="2">
            <w:col w:w="4940" w:space="220"/>
            <w:col w:w="4400"/>
          </w:cols>
          <w:pgMar w:left="1180" w:top="279" w:right="1159" w:bottom="1440" w:gutter="0" w:footer="0" w:header="0"/>
          <w:type w:val="continuous"/>
        </w:sectPr>
      </w:pP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2016, Mr. Kantor’s group, Electronic Systems, achieved organic OI growth of 7.29%. Accordingly, Mr. Kantor received an additional 16.3% of his 2016 target bonus as part of his annual incentive award payout.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6. Discretionary adjustment</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Notwithstanding the performance criteria described above, the Committee retains the ability to apply negative discretion to reduce awards that would otherwise be considered “earned” based on the formulaic plan design. For 2016, the Committee did not apply negative discretion with respect to payouts to any named executive officer.</w:t>
      </w:r>
    </w:p>
    <w:p>
      <w:pPr>
        <w:spacing w:after="0" w:line="222" w:lineRule="exact"/>
        <w:rPr>
          <w:sz w:val="20"/>
          <w:szCs w:val="20"/>
          <w:color w:val="auto"/>
        </w:rPr>
      </w:pPr>
    </w:p>
    <w:p>
      <w:pPr>
        <w:jc w:val="right"/>
        <w:ind w:right="40"/>
        <w:spacing w:after="0"/>
        <w:tabs>
          <w:tab w:leader="none" w:pos="16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6071870" cy="431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-107315</wp:posOffset>
            </wp:positionV>
            <wp:extent cx="163195" cy="1631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57" w:name="page58"/>
    <w:bookmarkEnd w:id="5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005C7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2" w:lineRule="exact"/>
        <w:rPr>
          <w:sz w:val="20"/>
          <w:szCs w:val="20"/>
          <w:color w:val="auto"/>
        </w:rPr>
      </w:pPr>
    </w:p>
    <w:p>
      <w:pPr>
        <w:ind w:right="359"/>
        <w:spacing w:after="0" w:line="277" w:lineRule="auto"/>
        <w:rPr>
          <w:sz w:val="20"/>
          <w:szCs w:val="20"/>
          <w:color w:val="auto"/>
        </w:rPr>
      </w:pPr>
      <w:r>
        <w:rPr>
          <w:rFonts w:ascii="Arial" w:cs="Arial" w:eastAsia="Arial" w:hAnsi="Arial"/>
          <w:sz w:val="18"/>
          <w:szCs w:val="18"/>
          <w:i w:val="1"/>
          <w:iCs w:val="1"/>
          <w:color w:val="auto"/>
        </w:rPr>
        <w:t xml:space="preserve">CEO ANNUAL INCENTIVE AWARD CALCULATION: </w:t>
      </w:r>
      <w:r>
        <w:rPr>
          <w:rFonts w:ascii="Arial" w:cs="Arial" w:eastAsia="Arial" w:hAnsi="Arial"/>
          <w:sz w:val="18"/>
          <w:szCs w:val="18"/>
          <w:color w:val="auto"/>
        </w:rPr>
        <w:t>Detailed below are the calculation steps used to determine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2016 annual incentive plan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768985</wp:posOffset>
            </wp:positionV>
            <wp:extent cx="5737225" cy="47421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737225" cy="474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005C7D"/>
        </w:rPr>
        <w:t>52</w:t>
      </w:r>
      <w:r>
        <w:rPr>
          <w:sz w:val="20"/>
          <w:szCs w:val="20"/>
          <w:color w:val="auto"/>
        </w:rPr>
        <w:tab/>
      </w: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6071870" cy="431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-106045</wp:posOffset>
            </wp:positionV>
            <wp:extent cx="154305" cy="1631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54305" cy="16319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6480"/>
        <w:spacing w:after="0"/>
        <w:rPr>
          <w:sz w:val="20"/>
          <w:szCs w:val="20"/>
          <w:color w:val="auto"/>
        </w:rPr>
      </w:pPr>
      <w:r>
        <w:rPr>
          <w:rFonts w:ascii="Arial" w:cs="Arial" w:eastAsia="Arial" w:hAnsi="Arial"/>
          <w:sz w:val="13"/>
          <w:szCs w:val="13"/>
          <w:color w:val="005C7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60718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1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2016 Annual Incentive Plan Payouts. </w:t>
      </w:r>
      <w:r>
        <w:rPr>
          <w:rFonts w:ascii="Arial" w:cs="Arial" w:eastAsia="Arial" w:hAnsi="Arial"/>
          <w:sz w:val="18"/>
          <w:szCs w:val="18"/>
          <w:color w:val="auto"/>
        </w:rPr>
        <w:t>The table below lists the final 2016 annual incentive plan payments to the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that were approved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7187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Annual Incentive Plan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0718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jc w:val="center"/>
              <w:ind w:right="78"/>
              <w:spacing w:after="0"/>
              <w:rPr>
                <w:sz w:val="20"/>
                <w:szCs w:val="20"/>
                <w:color w:val="auto"/>
              </w:rPr>
            </w:pPr>
            <w:r>
              <w:rPr>
                <w:rFonts w:ascii="Arial" w:cs="Arial" w:eastAsia="Arial" w:hAnsi="Arial"/>
                <w:sz w:val="14"/>
                <w:szCs w:val="14"/>
                <w:b w:val="1"/>
                <w:bCs w:val="1"/>
                <w:color w:val="auto"/>
                <w:w w:val="98"/>
              </w:rPr>
              <w:t>Organic</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jc w:val="center"/>
              <w:ind w:right="217"/>
              <w:spacing w:after="0"/>
              <w:rPr>
                <w:sz w:val="20"/>
                <w:szCs w:val="20"/>
                <w:color w:val="auto"/>
              </w:rPr>
            </w:pPr>
            <w:r>
              <w:rPr>
                <w:rFonts w:ascii="Arial" w:cs="Arial" w:eastAsia="Arial" w:hAnsi="Arial"/>
                <w:sz w:val="14"/>
                <w:szCs w:val="14"/>
                <w:b w:val="1"/>
                <w:bCs w:val="1"/>
                <w:color w:val="auto"/>
                <w:w w:val="95"/>
              </w:rPr>
              <w:t>2016 AIP</w:t>
            </w:r>
          </w:p>
        </w:tc>
        <w:tc>
          <w:tcPr>
            <w:tcW w:w="1200" w:type="dxa"/>
            <w:vAlign w:val="bottom"/>
          </w:tcPr>
          <w:p>
            <w:pPr>
              <w:jc w:val="center"/>
              <w:ind w:right="117"/>
              <w:spacing w:after="0"/>
              <w:rPr>
                <w:sz w:val="20"/>
                <w:szCs w:val="20"/>
                <w:color w:val="auto"/>
              </w:rPr>
            </w:pPr>
            <w:r>
              <w:rPr>
                <w:rFonts w:ascii="Arial" w:cs="Arial" w:eastAsia="Arial" w:hAnsi="Arial"/>
                <w:sz w:val="14"/>
                <w:szCs w:val="14"/>
                <w:b w:val="1"/>
                <w:bCs w:val="1"/>
                <w:color w:val="auto"/>
                <w:w w:val="95"/>
              </w:rPr>
              <w:t>Total</w:t>
            </w:r>
          </w:p>
        </w:tc>
        <w:tc>
          <w:tcPr>
            <w:tcW w:w="1120" w:type="dxa"/>
            <w:vAlign w:val="bottom"/>
          </w:tcPr>
          <w:p>
            <w:pPr>
              <w:jc w:val="center"/>
              <w:ind w:right="78"/>
              <w:spacing w:after="0"/>
              <w:rPr>
                <w:sz w:val="20"/>
                <w:szCs w:val="20"/>
                <w:color w:val="auto"/>
              </w:rPr>
            </w:pPr>
            <w:r>
              <w:rPr>
                <w:rFonts w:ascii="Arial" w:cs="Arial" w:eastAsia="Arial" w:hAnsi="Arial"/>
                <w:sz w:val="14"/>
                <w:szCs w:val="14"/>
                <w:b w:val="1"/>
                <w:bCs w:val="1"/>
                <w:color w:val="auto"/>
                <w:w w:val="97"/>
              </w:rPr>
              <w:t>Growth</w:t>
            </w:r>
          </w:p>
        </w:tc>
        <w:tc>
          <w:tcPr>
            <w:tcW w:w="160" w:type="dxa"/>
            <w:vAlign w:val="bottom"/>
          </w:tcPr>
          <w:p>
            <w:pPr>
              <w:spacing w:after="0"/>
              <w:rPr>
                <w:sz w:val="14"/>
                <w:szCs w:val="14"/>
                <w:color w:val="auto"/>
              </w:rPr>
            </w:pPr>
          </w:p>
        </w:tc>
        <w:tc>
          <w:tcPr>
            <w:tcW w:w="960" w:type="dxa"/>
            <w:vAlign w:val="bottom"/>
          </w:tcPr>
          <w:p>
            <w:pPr>
              <w:jc w:val="center"/>
              <w:ind w:right="157"/>
              <w:spacing w:after="0"/>
              <w:rPr>
                <w:sz w:val="20"/>
                <w:szCs w:val="20"/>
                <w:color w:val="auto"/>
              </w:rPr>
            </w:pPr>
            <w:r>
              <w:rPr>
                <w:rFonts w:ascii="Arial" w:cs="Arial" w:eastAsia="Arial" w:hAnsi="Arial"/>
                <w:sz w:val="14"/>
                <w:szCs w:val="14"/>
                <w:b w:val="1"/>
                <w:bCs w:val="1"/>
                <w:color w:val="auto"/>
                <w:w w:val="95"/>
              </w:rPr>
              <w:t>Formulaic</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Discretionary</w:t>
            </w:r>
          </w:p>
        </w:tc>
        <w:tc>
          <w:tcPr>
            <w:tcW w:w="200" w:type="dxa"/>
            <w:vAlign w:val="bottom"/>
          </w:tcPr>
          <w:p>
            <w:pPr>
              <w:spacing w:after="0"/>
              <w:rPr>
                <w:sz w:val="14"/>
                <w:szCs w:val="14"/>
                <w:color w:val="auto"/>
              </w:rPr>
            </w:pPr>
          </w:p>
        </w:tc>
        <w:tc>
          <w:tcPr>
            <w:tcW w:w="820" w:type="dxa"/>
            <w:vAlign w:val="bottom"/>
          </w:tcPr>
          <w:p>
            <w:pPr>
              <w:jc w:val="center"/>
              <w:ind w:right="117"/>
              <w:spacing w:after="0"/>
              <w:rPr>
                <w:sz w:val="20"/>
                <w:szCs w:val="20"/>
                <w:color w:val="auto"/>
              </w:rPr>
            </w:pPr>
            <w:r>
              <w:rPr>
                <w:rFonts w:ascii="Arial" w:cs="Arial" w:eastAsia="Arial" w:hAnsi="Arial"/>
                <w:sz w:val="14"/>
                <w:szCs w:val="14"/>
                <w:b w:val="1"/>
                <w:bCs w:val="1"/>
                <w:color w:val="auto"/>
                <w:w w:val="99"/>
              </w:rPr>
              <w:t>2015 AIP</w:t>
            </w:r>
          </w:p>
        </w:tc>
      </w:tr>
      <w:tr>
        <w:trPr>
          <w:trHeight w:val="162"/>
        </w:trPr>
        <w:tc>
          <w:tcPr>
            <w:tcW w:w="2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jc w:val="center"/>
              <w:ind w:right="217"/>
              <w:spacing w:after="0"/>
              <w:rPr>
                <w:sz w:val="20"/>
                <w:szCs w:val="20"/>
                <w:color w:val="auto"/>
              </w:rPr>
            </w:pPr>
            <w:r>
              <w:rPr>
                <w:rFonts w:ascii="Arial" w:cs="Arial" w:eastAsia="Arial" w:hAnsi="Arial"/>
                <w:sz w:val="14"/>
                <w:szCs w:val="14"/>
                <w:b w:val="1"/>
                <w:bCs w:val="1"/>
                <w:color w:val="auto"/>
                <w:w w:val="93"/>
              </w:rPr>
              <w:t>Target</w:t>
            </w: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Rating</w:t>
            </w:r>
          </w:p>
        </w:tc>
        <w:tc>
          <w:tcPr>
            <w:tcW w:w="112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Adjustment</w:t>
            </w:r>
          </w:p>
        </w:tc>
        <w:tc>
          <w:tcPr>
            <w:tcW w:w="160" w:type="dxa"/>
            <w:vAlign w:val="bottom"/>
          </w:tcPr>
          <w:p>
            <w:pPr>
              <w:spacing w:after="0"/>
              <w:rPr>
                <w:sz w:val="14"/>
                <w:szCs w:val="14"/>
                <w:color w:val="auto"/>
              </w:rPr>
            </w:pPr>
          </w:p>
        </w:tc>
        <w:tc>
          <w:tcPr>
            <w:tcW w:w="960" w:type="dxa"/>
            <w:vAlign w:val="bottom"/>
          </w:tcPr>
          <w:p>
            <w:pPr>
              <w:jc w:val="center"/>
              <w:ind w:right="157"/>
              <w:spacing w:after="0"/>
              <w:rPr>
                <w:sz w:val="20"/>
                <w:szCs w:val="20"/>
                <w:color w:val="auto"/>
              </w:rPr>
            </w:pPr>
            <w:r>
              <w:rPr>
                <w:rFonts w:ascii="Arial" w:cs="Arial" w:eastAsia="Arial" w:hAnsi="Arial"/>
                <w:sz w:val="14"/>
                <w:szCs w:val="14"/>
                <w:b w:val="1"/>
                <w:bCs w:val="1"/>
                <w:color w:val="auto"/>
                <w:w w:val="97"/>
              </w:rPr>
              <w:t>AIP Payout</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Adjustment</w:t>
            </w:r>
          </w:p>
        </w:tc>
        <w:tc>
          <w:tcPr>
            <w:tcW w:w="200" w:type="dxa"/>
            <w:vAlign w:val="bottom"/>
          </w:tcPr>
          <w:p>
            <w:pPr>
              <w:spacing w:after="0"/>
              <w:rPr>
                <w:sz w:val="14"/>
                <w:szCs w:val="14"/>
                <w:color w:val="auto"/>
              </w:rPr>
            </w:pPr>
          </w:p>
        </w:tc>
        <w:tc>
          <w:tcPr>
            <w:tcW w:w="82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Payout</w:t>
            </w:r>
          </w:p>
        </w:tc>
      </w:tr>
      <w:tr>
        <w:trPr>
          <w:trHeight w:val="185"/>
        </w:trPr>
        <w:tc>
          <w:tcPr>
            <w:tcW w:w="2300" w:type="dxa"/>
            <w:vAlign w:val="bottom"/>
            <w:tcBorders>
              <w:bottom w:val="single" w:sz="8" w:color="005C7D"/>
            </w:tcBorders>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720" w:type="dxa"/>
            <w:vAlign w:val="bottom"/>
            <w:tcBorders>
              <w:bottom w:val="single" w:sz="8" w:color="005C7D"/>
            </w:tcBorders>
          </w:tcPr>
          <w:p>
            <w:pPr>
              <w:spacing w:after="0"/>
              <w:rPr>
                <w:sz w:val="16"/>
                <w:szCs w:val="16"/>
                <w:color w:val="auto"/>
              </w:rPr>
            </w:pPr>
          </w:p>
        </w:tc>
        <w:tc>
          <w:tcPr>
            <w:tcW w:w="980" w:type="dxa"/>
            <w:vAlign w:val="bottom"/>
            <w:tcBorders>
              <w:bottom w:val="single" w:sz="8" w:color="005C7D"/>
            </w:tcBorders>
          </w:tcPr>
          <w:p>
            <w:pPr>
              <w:jc w:val="center"/>
              <w:ind w:right="217"/>
              <w:spacing w:after="0"/>
              <w:rPr>
                <w:sz w:val="20"/>
                <w:szCs w:val="20"/>
                <w:color w:val="auto"/>
              </w:rPr>
            </w:pPr>
            <w:r>
              <w:rPr>
                <w:rFonts w:ascii="Arial" w:cs="Arial" w:eastAsia="Arial" w:hAnsi="Arial"/>
                <w:sz w:val="14"/>
                <w:szCs w:val="14"/>
                <w:b w:val="1"/>
                <w:bCs w:val="1"/>
                <w:color w:val="auto"/>
                <w:w w:val="93"/>
              </w:rPr>
              <w:t>[Step 1]</w:t>
            </w:r>
          </w:p>
        </w:tc>
        <w:tc>
          <w:tcPr>
            <w:tcW w:w="1200" w:type="dxa"/>
            <w:vAlign w:val="bottom"/>
            <w:tcBorders>
              <w:bottom w:val="single" w:sz="8" w:color="005C7D"/>
            </w:tcBorders>
          </w:tcPr>
          <w:p>
            <w:pPr>
              <w:jc w:val="center"/>
              <w:ind w:right="117"/>
              <w:spacing w:after="0"/>
              <w:rPr>
                <w:sz w:val="20"/>
                <w:szCs w:val="20"/>
                <w:color w:val="auto"/>
              </w:rPr>
            </w:pPr>
            <w:r>
              <w:rPr>
                <w:rFonts w:ascii="Arial" w:cs="Arial" w:eastAsia="Arial" w:hAnsi="Arial"/>
                <w:sz w:val="14"/>
                <w:szCs w:val="14"/>
                <w:b w:val="1"/>
                <w:bCs w:val="1"/>
                <w:color w:val="auto"/>
                <w:w w:val="89"/>
              </w:rPr>
              <w:t>[Steps 2-4]</w:t>
            </w:r>
          </w:p>
        </w:tc>
        <w:tc>
          <w:tcPr>
            <w:tcW w:w="1120" w:type="dxa"/>
            <w:vAlign w:val="bottom"/>
            <w:tcBorders>
              <w:bottom w:val="single" w:sz="8" w:color="005C7D"/>
            </w:tcBorders>
          </w:tcPr>
          <w:p>
            <w:pPr>
              <w:jc w:val="center"/>
              <w:ind w:right="78"/>
              <w:spacing w:after="0"/>
              <w:rPr>
                <w:sz w:val="20"/>
                <w:szCs w:val="20"/>
                <w:color w:val="auto"/>
              </w:rPr>
            </w:pPr>
            <w:r>
              <w:rPr>
                <w:rFonts w:ascii="Arial" w:cs="Arial" w:eastAsia="Arial" w:hAnsi="Arial"/>
                <w:sz w:val="14"/>
                <w:szCs w:val="14"/>
                <w:b w:val="1"/>
                <w:bCs w:val="1"/>
                <w:color w:val="auto"/>
                <w:w w:val="93"/>
              </w:rPr>
              <w:t>[Step 5]</w:t>
            </w:r>
          </w:p>
        </w:tc>
        <w:tc>
          <w:tcPr>
            <w:tcW w:w="160" w:type="dxa"/>
            <w:vAlign w:val="bottom"/>
            <w:tcBorders>
              <w:bottom w:val="single" w:sz="8" w:color="005C7D"/>
            </w:tcBorders>
          </w:tcPr>
          <w:p>
            <w:pPr>
              <w:spacing w:after="0"/>
              <w:rPr>
                <w:sz w:val="16"/>
                <w:szCs w:val="16"/>
                <w:color w:val="auto"/>
              </w:rPr>
            </w:pPr>
          </w:p>
        </w:tc>
        <w:tc>
          <w:tcPr>
            <w:tcW w:w="960" w:type="dxa"/>
            <w:vAlign w:val="bottom"/>
            <w:tcBorders>
              <w:bottom w:val="single" w:sz="8" w:color="005C7D"/>
            </w:tcBorders>
          </w:tcPr>
          <w:p>
            <w:pPr>
              <w:jc w:val="center"/>
              <w:ind w:right="157"/>
              <w:spacing w:after="0"/>
              <w:rPr>
                <w:sz w:val="20"/>
                <w:szCs w:val="20"/>
                <w:color w:val="auto"/>
              </w:rPr>
            </w:pPr>
            <w:r>
              <w:rPr>
                <w:rFonts w:ascii="Arial" w:cs="Arial" w:eastAsia="Arial" w:hAnsi="Arial"/>
                <w:sz w:val="14"/>
                <w:szCs w:val="14"/>
                <w:b w:val="1"/>
                <w:bCs w:val="1"/>
                <w:color w:val="auto"/>
                <w:w w:val="91"/>
              </w:rPr>
              <w:t>[Subtotal]</w:t>
            </w:r>
          </w:p>
        </w:tc>
        <w:tc>
          <w:tcPr>
            <w:tcW w:w="1100" w:type="dxa"/>
            <w:vAlign w:val="bottom"/>
            <w:tcBorders>
              <w:bottom w:val="single" w:sz="8" w:color="005C7D"/>
            </w:tcBorders>
          </w:tcPr>
          <w:p>
            <w:pPr>
              <w:jc w:val="center"/>
              <w:spacing w:after="0"/>
              <w:rPr>
                <w:sz w:val="20"/>
                <w:szCs w:val="20"/>
                <w:color w:val="auto"/>
              </w:rPr>
            </w:pPr>
            <w:r>
              <w:rPr>
                <w:rFonts w:ascii="Arial" w:cs="Arial" w:eastAsia="Arial" w:hAnsi="Arial"/>
                <w:sz w:val="14"/>
                <w:szCs w:val="14"/>
                <w:b w:val="1"/>
                <w:bCs w:val="1"/>
                <w:color w:val="auto"/>
                <w:w w:val="93"/>
              </w:rPr>
              <w:t>[Step 6]</w:t>
            </w:r>
          </w:p>
        </w:tc>
        <w:tc>
          <w:tcPr>
            <w:tcW w:w="200" w:type="dxa"/>
            <w:vAlign w:val="bottom"/>
            <w:tcBorders>
              <w:bottom w:val="single" w:sz="8" w:color="005C7D"/>
            </w:tcBorders>
          </w:tcPr>
          <w:p>
            <w:pPr>
              <w:spacing w:after="0"/>
              <w:rPr>
                <w:sz w:val="16"/>
                <w:szCs w:val="16"/>
                <w:color w:val="auto"/>
              </w:rPr>
            </w:pPr>
          </w:p>
        </w:tc>
        <w:tc>
          <w:tcPr>
            <w:tcW w:w="820" w:type="dxa"/>
            <w:vAlign w:val="bottom"/>
            <w:tcBorders>
              <w:bottom w:val="single" w:sz="8" w:color="005C7D"/>
            </w:tcBorders>
          </w:tcPr>
          <w:p>
            <w:pPr>
              <w:jc w:val="center"/>
              <w:ind w:right="117"/>
              <w:spacing w:after="0"/>
              <w:rPr>
                <w:sz w:val="20"/>
                <w:szCs w:val="20"/>
                <w:color w:val="auto"/>
              </w:rPr>
            </w:pPr>
            <w:r>
              <w:rPr>
                <w:rFonts w:ascii="Arial" w:cs="Arial" w:eastAsia="Arial" w:hAnsi="Arial"/>
                <w:sz w:val="14"/>
                <w:szCs w:val="14"/>
                <w:b w:val="1"/>
                <w:bCs w:val="1"/>
                <w:color w:val="auto"/>
                <w:w w:val="98"/>
              </w:rPr>
              <w:t>[Total]</w:t>
            </w:r>
          </w:p>
        </w:tc>
      </w:tr>
      <w:tr>
        <w:trPr>
          <w:trHeight w:val="237"/>
        </w:trPr>
        <w:tc>
          <w:tcPr>
            <w:tcW w:w="2300" w:type="dxa"/>
            <w:vAlign w:val="bottom"/>
            <w:shd w:val="clear" w:color="auto" w:fill="CDDAE6"/>
          </w:tcPr>
          <w:p>
            <w:pPr>
              <w:ind w:left="20"/>
              <w:spacing w:after="0"/>
              <w:rPr>
                <w:sz w:val="20"/>
                <w:szCs w:val="20"/>
                <w:color w:val="auto"/>
              </w:rPr>
            </w:pPr>
            <w:r>
              <w:rPr>
                <w:rFonts w:ascii="Arial" w:cs="Arial" w:eastAsia="Arial" w:hAnsi="Arial"/>
                <w:sz w:val="18"/>
                <w:szCs w:val="18"/>
                <w:color w:val="auto"/>
              </w:rPr>
              <w:t>Michael T. Strianese</w:t>
            </w:r>
          </w:p>
        </w:tc>
        <w:tc>
          <w:tcPr>
            <w:tcW w:w="720" w:type="dxa"/>
            <w:vAlign w:val="bottom"/>
            <w:shd w:val="clear" w:color="auto" w:fill="CDDAE6"/>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DDAE6"/>
          </w:tcPr>
          <w:p>
            <w:pPr>
              <w:jc w:val="right"/>
              <w:ind w:right="97"/>
              <w:spacing w:after="0"/>
              <w:rPr>
                <w:sz w:val="20"/>
                <w:szCs w:val="20"/>
                <w:color w:val="auto"/>
              </w:rPr>
            </w:pPr>
            <w:r>
              <w:rPr>
                <w:rFonts w:ascii="Arial" w:cs="Arial" w:eastAsia="Arial" w:hAnsi="Arial"/>
                <w:sz w:val="18"/>
                <w:szCs w:val="18"/>
                <w:color w:val="auto"/>
                <w:w w:val="97"/>
              </w:rPr>
              <w:t>2,293,500</w:t>
            </w:r>
          </w:p>
        </w:tc>
        <w:tc>
          <w:tcPr>
            <w:tcW w:w="1200" w:type="dxa"/>
            <w:vAlign w:val="bottom"/>
            <w:shd w:val="clear" w:color="auto" w:fill="CDDAE6"/>
          </w:tcPr>
          <w:p>
            <w:pPr>
              <w:jc w:val="right"/>
              <w:ind w:right="37"/>
              <w:spacing w:after="0"/>
              <w:rPr>
                <w:sz w:val="20"/>
                <w:szCs w:val="20"/>
                <w:color w:val="auto"/>
              </w:rPr>
            </w:pPr>
            <w:r>
              <w:rPr>
                <w:rFonts w:ascii="Arial" w:cs="Arial" w:eastAsia="Arial" w:hAnsi="Arial"/>
                <w:sz w:val="18"/>
                <w:szCs w:val="18"/>
                <w:color w:val="auto"/>
              </w:rPr>
              <w:t>154%</w:t>
            </w:r>
          </w:p>
        </w:tc>
        <w:tc>
          <w:tcPr>
            <w:tcW w:w="1120" w:type="dxa"/>
            <w:vAlign w:val="bottom"/>
            <w:shd w:val="clear" w:color="auto" w:fill="CDDAE6"/>
          </w:tcPr>
          <w:p>
            <w:pPr>
              <w:ind w:left="6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DDAE6"/>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DDAE6"/>
          </w:tcPr>
          <w:p>
            <w:pPr>
              <w:jc w:val="right"/>
              <w:ind w:right="37"/>
              <w:spacing w:after="0"/>
              <w:rPr>
                <w:sz w:val="20"/>
                <w:szCs w:val="20"/>
                <w:color w:val="auto"/>
              </w:rPr>
            </w:pPr>
            <w:r>
              <w:rPr>
                <w:rFonts w:ascii="Arial" w:cs="Arial" w:eastAsia="Arial" w:hAnsi="Arial"/>
                <w:sz w:val="18"/>
                <w:szCs w:val="18"/>
                <w:color w:val="auto"/>
              </w:rPr>
              <w:t>3,532,000</w:t>
            </w:r>
          </w:p>
        </w:tc>
        <w:tc>
          <w:tcPr>
            <w:tcW w:w="1100" w:type="dxa"/>
            <w:vAlign w:val="bottom"/>
            <w:shd w:val="clear" w:color="auto" w:fill="CDDAE6"/>
          </w:tcPr>
          <w:p>
            <w:pPr>
              <w:ind w:left="70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DDAE6"/>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DDAE6"/>
          </w:tcPr>
          <w:p>
            <w:pPr>
              <w:jc w:val="right"/>
              <w:spacing w:after="0"/>
              <w:rPr>
                <w:sz w:val="20"/>
                <w:szCs w:val="20"/>
                <w:color w:val="auto"/>
              </w:rPr>
            </w:pPr>
            <w:r>
              <w:rPr>
                <w:rFonts w:ascii="Arial" w:cs="Arial" w:eastAsia="Arial" w:hAnsi="Arial"/>
                <w:sz w:val="18"/>
                <w:szCs w:val="18"/>
                <w:color w:val="auto"/>
                <w:w w:val="92"/>
              </w:rPr>
              <w:t>3,532,000</w:t>
            </w:r>
          </w:p>
        </w:tc>
      </w:tr>
      <w:tr>
        <w:trPr>
          <w:trHeight w:val="237"/>
        </w:trPr>
        <w:tc>
          <w:tcPr>
            <w:tcW w:w="2300" w:type="dxa"/>
            <w:vAlign w:val="bottom"/>
          </w:tcPr>
          <w:p>
            <w:pPr>
              <w:ind w:left="20"/>
              <w:spacing w:after="0"/>
              <w:rPr>
                <w:sz w:val="20"/>
                <w:szCs w:val="20"/>
                <w:color w:val="auto"/>
              </w:rPr>
            </w:pPr>
            <w:r>
              <w:rPr>
                <w:rFonts w:ascii="Arial" w:cs="Arial" w:eastAsia="Arial" w:hAnsi="Arial"/>
                <w:sz w:val="18"/>
                <w:szCs w:val="18"/>
                <w:color w:val="auto"/>
              </w:rPr>
              <w:t>Christopher E. Kubasik</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7"/>
              <w:spacing w:after="0"/>
              <w:rPr>
                <w:sz w:val="20"/>
                <w:szCs w:val="20"/>
                <w:color w:val="auto"/>
              </w:rPr>
            </w:pPr>
            <w:r>
              <w:rPr>
                <w:rFonts w:ascii="Arial" w:cs="Arial" w:eastAsia="Arial" w:hAnsi="Arial"/>
                <w:sz w:val="18"/>
                <w:szCs w:val="18"/>
                <w:color w:val="auto"/>
              </w:rPr>
              <w:t>907,500</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154%</w:t>
            </w:r>
          </w:p>
        </w:tc>
        <w:tc>
          <w:tcPr>
            <w:tcW w:w="1120" w:type="dxa"/>
            <w:vAlign w:val="bottom"/>
          </w:tcPr>
          <w:p>
            <w:pPr>
              <w:ind w:left="600"/>
              <w:spacing w:after="0"/>
              <w:rPr>
                <w:sz w:val="20"/>
                <w:szCs w:val="20"/>
                <w:color w:val="auto"/>
              </w:rPr>
            </w:pPr>
            <w:r>
              <w:rPr>
                <w:rFonts w:ascii="Arial" w:cs="Arial" w:eastAsia="Arial" w:hAnsi="Arial"/>
                <w:sz w:val="18"/>
                <w:szCs w:val="18"/>
                <w:color w:val="auto"/>
              </w:rPr>
              <w:t>N/A</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1,400,000</w:t>
            </w:r>
          </w:p>
        </w:tc>
        <w:tc>
          <w:tcPr>
            <w:tcW w:w="1100" w:type="dxa"/>
            <w:vAlign w:val="bottom"/>
          </w:tcPr>
          <w:p>
            <w:pPr>
              <w:ind w:left="700"/>
              <w:spacing w:after="0"/>
              <w:rPr>
                <w:sz w:val="20"/>
                <w:szCs w:val="20"/>
                <w:color w:val="auto"/>
              </w:rPr>
            </w:pPr>
            <w:r>
              <w:rPr>
                <w:rFonts w:ascii="Arial" w:cs="Arial" w:eastAsia="Arial" w:hAnsi="Arial"/>
                <w:sz w:val="18"/>
                <w:szCs w:val="18"/>
                <w:color w:val="auto"/>
              </w:rPr>
              <w:t>N/A</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1,400,000</w:t>
            </w:r>
          </w:p>
        </w:tc>
      </w:tr>
      <w:tr>
        <w:trPr>
          <w:trHeight w:val="249"/>
        </w:trPr>
        <w:tc>
          <w:tcPr>
            <w:tcW w:w="2300" w:type="dxa"/>
            <w:vAlign w:val="bottom"/>
            <w:shd w:val="clear" w:color="auto" w:fill="CDDAE6"/>
          </w:tcPr>
          <w:p>
            <w:pPr>
              <w:ind w:left="20"/>
              <w:spacing w:after="0"/>
              <w:rPr>
                <w:sz w:val="20"/>
                <w:szCs w:val="20"/>
                <w:color w:val="auto"/>
              </w:rPr>
            </w:pPr>
            <w:r>
              <w:rPr>
                <w:rFonts w:ascii="Arial" w:cs="Arial" w:eastAsia="Arial" w:hAnsi="Arial"/>
                <w:sz w:val="18"/>
                <w:szCs w:val="18"/>
                <w:color w:val="auto"/>
              </w:rPr>
              <w:t>Ralph G. D’Ambrosio</w:t>
            </w:r>
          </w:p>
        </w:tc>
        <w:tc>
          <w:tcPr>
            <w:tcW w:w="720" w:type="dxa"/>
            <w:vAlign w:val="bottom"/>
            <w:shd w:val="clear" w:color="auto" w:fill="CDDAE6"/>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DDAE6"/>
          </w:tcPr>
          <w:p>
            <w:pPr>
              <w:jc w:val="right"/>
              <w:ind w:right="97"/>
              <w:spacing w:after="0"/>
              <w:rPr>
                <w:sz w:val="20"/>
                <w:szCs w:val="20"/>
                <w:color w:val="auto"/>
              </w:rPr>
            </w:pPr>
            <w:r>
              <w:rPr>
                <w:rFonts w:ascii="Arial" w:cs="Arial" w:eastAsia="Arial" w:hAnsi="Arial"/>
                <w:sz w:val="18"/>
                <w:szCs w:val="18"/>
                <w:color w:val="auto"/>
              </w:rPr>
              <w:t>638,100</w:t>
            </w:r>
          </w:p>
        </w:tc>
        <w:tc>
          <w:tcPr>
            <w:tcW w:w="1200" w:type="dxa"/>
            <w:vAlign w:val="bottom"/>
            <w:shd w:val="clear" w:color="auto" w:fill="CDDAE6"/>
          </w:tcPr>
          <w:p>
            <w:pPr>
              <w:jc w:val="right"/>
              <w:ind w:right="37"/>
              <w:spacing w:after="0"/>
              <w:rPr>
                <w:sz w:val="20"/>
                <w:szCs w:val="20"/>
                <w:color w:val="auto"/>
              </w:rPr>
            </w:pPr>
            <w:r>
              <w:rPr>
                <w:rFonts w:ascii="Arial" w:cs="Arial" w:eastAsia="Arial" w:hAnsi="Arial"/>
                <w:sz w:val="18"/>
                <w:szCs w:val="18"/>
                <w:color w:val="auto"/>
              </w:rPr>
              <w:t>150%</w:t>
            </w:r>
          </w:p>
        </w:tc>
        <w:tc>
          <w:tcPr>
            <w:tcW w:w="1120" w:type="dxa"/>
            <w:vAlign w:val="bottom"/>
            <w:shd w:val="clear" w:color="auto" w:fill="CDDAE6"/>
          </w:tcPr>
          <w:p>
            <w:pPr>
              <w:ind w:left="6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DDAE6"/>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DDAE6"/>
          </w:tcPr>
          <w:p>
            <w:pPr>
              <w:jc w:val="right"/>
              <w:ind w:right="37"/>
              <w:spacing w:after="0"/>
              <w:rPr>
                <w:sz w:val="20"/>
                <w:szCs w:val="20"/>
                <w:color w:val="auto"/>
              </w:rPr>
            </w:pPr>
            <w:r>
              <w:rPr>
                <w:rFonts w:ascii="Arial" w:cs="Arial" w:eastAsia="Arial" w:hAnsi="Arial"/>
                <w:sz w:val="18"/>
                <w:szCs w:val="18"/>
                <w:color w:val="auto"/>
              </w:rPr>
              <w:t>960,000</w:t>
            </w:r>
          </w:p>
        </w:tc>
        <w:tc>
          <w:tcPr>
            <w:tcW w:w="1100" w:type="dxa"/>
            <w:vAlign w:val="bottom"/>
            <w:shd w:val="clear" w:color="auto" w:fill="CDDAE6"/>
          </w:tcPr>
          <w:p>
            <w:pPr>
              <w:ind w:left="70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DDAE6"/>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DDAE6"/>
          </w:tcPr>
          <w:p>
            <w:pPr>
              <w:jc w:val="right"/>
              <w:spacing w:after="0"/>
              <w:rPr>
                <w:sz w:val="20"/>
                <w:szCs w:val="20"/>
                <w:color w:val="auto"/>
              </w:rPr>
            </w:pPr>
            <w:r>
              <w:rPr>
                <w:rFonts w:ascii="Arial" w:cs="Arial" w:eastAsia="Arial" w:hAnsi="Arial"/>
                <w:sz w:val="18"/>
                <w:szCs w:val="18"/>
                <w:color w:val="auto"/>
              </w:rPr>
              <w:t>960,000</w:t>
            </w:r>
          </w:p>
        </w:tc>
      </w:tr>
      <w:tr>
        <w:trPr>
          <w:trHeight w:val="237"/>
        </w:trPr>
        <w:tc>
          <w:tcPr>
            <w:tcW w:w="2300" w:type="dxa"/>
            <w:vAlign w:val="bottom"/>
          </w:tcPr>
          <w:p>
            <w:pPr>
              <w:ind w:left="20"/>
              <w:spacing w:after="0"/>
              <w:rPr>
                <w:sz w:val="20"/>
                <w:szCs w:val="20"/>
                <w:color w:val="auto"/>
              </w:rPr>
            </w:pPr>
            <w:r>
              <w:rPr>
                <w:rFonts w:ascii="Arial" w:cs="Arial" w:eastAsia="Arial" w:hAnsi="Arial"/>
                <w:sz w:val="18"/>
                <w:szCs w:val="18"/>
                <w:color w:val="auto"/>
              </w:rPr>
              <w:t>Curtis Brunson</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7"/>
              <w:spacing w:after="0"/>
              <w:rPr>
                <w:sz w:val="20"/>
                <w:szCs w:val="20"/>
                <w:color w:val="auto"/>
              </w:rPr>
            </w:pPr>
            <w:r>
              <w:rPr>
                <w:rFonts w:ascii="Arial" w:cs="Arial" w:eastAsia="Arial" w:hAnsi="Arial"/>
                <w:sz w:val="18"/>
                <w:szCs w:val="18"/>
                <w:color w:val="auto"/>
              </w:rPr>
              <w:t>615,150</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148%</w:t>
            </w:r>
          </w:p>
        </w:tc>
        <w:tc>
          <w:tcPr>
            <w:tcW w:w="1120" w:type="dxa"/>
            <w:vAlign w:val="bottom"/>
          </w:tcPr>
          <w:p>
            <w:pPr>
              <w:ind w:left="600"/>
              <w:spacing w:after="0"/>
              <w:rPr>
                <w:sz w:val="20"/>
                <w:szCs w:val="20"/>
                <w:color w:val="auto"/>
              </w:rPr>
            </w:pPr>
            <w:r>
              <w:rPr>
                <w:rFonts w:ascii="Arial" w:cs="Arial" w:eastAsia="Arial" w:hAnsi="Arial"/>
                <w:sz w:val="18"/>
                <w:szCs w:val="18"/>
                <w:color w:val="auto"/>
              </w:rPr>
              <w:t>N/A</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910,000</w:t>
            </w:r>
          </w:p>
        </w:tc>
        <w:tc>
          <w:tcPr>
            <w:tcW w:w="1100" w:type="dxa"/>
            <w:vAlign w:val="bottom"/>
          </w:tcPr>
          <w:p>
            <w:pPr>
              <w:ind w:left="700"/>
              <w:spacing w:after="0"/>
              <w:rPr>
                <w:sz w:val="20"/>
                <w:szCs w:val="20"/>
                <w:color w:val="auto"/>
              </w:rPr>
            </w:pPr>
            <w:r>
              <w:rPr>
                <w:rFonts w:ascii="Arial" w:cs="Arial" w:eastAsia="Arial" w:hAnsi="Arial"/>
                <w:sz w:val="18"/>
                <w:szCs w:val="18"/>
                <w:color w:val="auto"/>
              </w:rPr>
              <w:t>N/A</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910,000</w:t>
            </w:r>
          </w:p>
        </w:tc>
      </w:tr>
      <w:tr>
        <w:trPr>
          <w:trHeight w:val="243"/>
        </w:trPr>
        <w:tc>
          <w:tcPr>
            <w:tcW w:w="2300" w:type="dxa"/>
            <w:vAlign w:val="bottom"/>
            <w:tcBorders>
              <w:bottom w:val="single" w:sz="8" w:color="005C7D"/>
            </w:tcBorders>
            <w:shd w:val="clear" w:color="auto" w:fill="CDDAE6"/>
          </w:tcPr>
          <w:p>
            <w:pPr>
              <w:ind w:left="20"/>
              <w:spacing w:after="0"/>
              <w:rPr>
                <w:sz w:val="20"/>
                <w:szCs w:val="20"/>
                <w:color w:val="auto"/>
              </w:rPr>
            </w:pPr>
            <w:r>
              <w:rPr>
                <w:rFonts w:ascii="Arial" w:cs="Arial" w:eastAsia="Arial" w:hAnsi="Arial"/>
                <w:sz w:val="18"/>
                <w:szCs w:val="18"/>
                <w:color w:val="auto"/>
              </w:rPr>
              <w:t>Steve Kantor</w:t>
            </w:r>
          </w:p>
        </w:tc>
        <w:tc>
          <w:tcPr>
            <w:tcW w:w="720" w:type="dxa"/>
            <w:vAlign w:val="bottom"/>
            <w:tcBorders>
              <w:bottom w:val="single" w:sz="8" w:color="005C7D"/>
            </w:tcBorders>
            <w:shd w:val="clear" w:color="auto" w:fill="CDDAE6"/>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5C7D"/>
            </w:tcBorders>
            <w:shd w:val="clear" w:color="auto" w:fill="CDDAE6"/>
          </w:tcPr>
          <w:p>
            <w:pPr>
              <w:jc w:val="right"/>
              <w:ind w:right="97"/>
              <w:spacing w:after="0"/>
              <w:rPr>
                <w:sz w:val="20"/>
                <w:szCs w:val="20"/>
                <w:color w:val="auto"/>
              </w:rPr>
            </w:pPr>
            <w:r>
              <w:rPr>
                <w:rFonts w:ascii="Arial" w:cs="Arial" w:eastAsia="Arial" w:hAnsi="Arial"/>
                <w:sz w:val="18"/>
                <w:szCs w:val="18"/>
                <w:color w:val="auto"/>
              </w:rPr>
              <w:t>706,000</w:t>
            </w:r>
          </w:p>
        </w:tc>
        <w:tc>
          <w:tcPr>
            <w:tcW w:w="1200" w:type="dxa"/>
            <w:vAlign w:val="bottom"/>
            <w:tcBorders>
              <w:bottom w:val="single" w:sz="8" w:color="005C7D"/>
            </w:tcBorders>
            <w:shd w:val="clear" w:color="auto" w:fill="CDDAE6"/>
          </w:tcPr>
          <w:p>
            <w:pPr>
              <w:jc w:val="right"/>
              <w:ind w:right="37"/>
              <w:spacing w:after="0"/>
              <w:rPr>
                <w:sz w:val="20"/>
                <w:szCs w:val="20"/>
                <w:color w:val="auto"/>
              </w:rPr>
            </w:pPr>
            <w:r>
              <w:rPr>
                <w:rFonts w:ascii="Arial" w:cs="Arial" w:eastAsia="Arial" w:hAnsi="Arial"/>
                <w:sz w:val="18"/>
                <w:szCs w:val="18"/>
                <w:color w:val="auto"/>
              </w:rPr>
              <w:t>154%</w:t>
            </w:r>
          </w:p>
        </w:tc>
        <w:tc>
          <w:tcPr>
            <w:tcW w:w="1120" w:type="dxa"/>
            <w:vAlign w:val="bottom"/>
            <w:tcBorders>
              <w:bottom w:val="single" w:sz="8" w:color="005C7D"/>
            </w:tcBorders>
            <w:shd w:val="clear" w:color="auto" w:fill="CDDAE6"/>
          </w:tcPr>
          <w:p>
            <w:pPr>
              <w:ind w:left="600"/>
              <w:spacing w:after="0"/>
              <w:rPr>
                <w:sz w:val="20"/>
                <w:szCs w:val="20"/>
                <w:color w:val="auto"/>
              </w:rPr>
            </w:pPr>
            <w:r>
              <w:rPr>
                <w:rFonts w:ascii="Arial" w:cs="Arial" w:eastAsia="Arial" w:hAnsi="Arial"/>
                <w:sz w:val="18"/>
                <w:szCs w:val="18"/>
                <w:color w:val="auto"/>
                <w:w w:val="97"/>
              </w:rPr>
              <w:t>16.3%</w:t>
            </w:r>
          </w:p>
        </w:tc>
        <w:tc>
          <w:tcPr>
            <w:tcW w:w="160" w:type="dxa"/>
            <w:vAlign w:val="bottom"/>
            <w:tcBorders>
              <w:bottom w:val="single" w:sz="8" w:color="005C7D"/>
            </w:tcBorders>
            <w:shd w:val="clear" w:color="auto" w:fill="CDDAE6"/>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005C7D"/>
            </w:tcBorders>
            <w:shd w:val="clear" w:color="auto" w:fill="CDDAE6"/>
          </w:tcPr>
          <w:p>
            <w:pPr>
              <w:jc w:val="right"/>
              <w:ind w:right="37"/>
              <w:spacing w:after="0"/>
              <w:rPr>
                <w:sz w:val="20"/>
                <w:szCs w:val="20"/>
                <w:color w:val="auto"/>
              </w:rPr>
            </w:pPr>
            <w:r>
              <w:rPr>
                <w:rFonts w:ascii="Arial" w:cs="Arial" w:eastAsia="Arial" w:hAnsi="Arial"/>
                <w:sz w:val="18"/>
                <w:szCs w:val="18"/>
                <w:color w:val="auto"/>
              </w:rPr>
              <w:t>1,202,000</w:t>
            </w:r>
          </w:p>
        </w:tc>
        <w:tc>
          <w:tcPr>
            <w:tcW w:w="1100" w:type="dxa"/>
            <w:vAlign w:val="bottom"/>
            <w:tcBorders>
              <w:bottom w:val="single" w:sz="8" w:color="005C7D"/>
            </w:tcBorders>
            <w:shd w:val="clear" w:color="auto" w:fill="CDDAE6"/>
          </w:tcPr>
          <w:p>
            <w:pPr>
              <w:ind w:left="70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005C7D"/>
            </w:tcBorders>
            <w:shd w:val="clear" w:color="auto" w:fill="CDDAE6"/>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005C7D"/>
            </w:tcBorders>
            <w:shd w:val="clear" w:color="auto" w:fill="CDDAE6"/>
          </w:tcPr>
          <w:p>
            <w:pPr>
              <w:jc w:val="right"/>
              <w:spacing w:after="0"/>
              <w:rPr>
                <w:sz w:val="20"/>
                <w:szCs w:val="20"/>
                <w:color w:val="auto"/>
              </w:rPr>
            </w:pPr>
            <w:r>
              <w:rPr>
                <w:rFonts w:ascii="Arial" w:cs="Arial" w:eastAsia="Arial" w:hAnsi="Arial"/>
                <w:sz w:val="18"/>
                <w:szCs w:val="18"/>
                <w:color w:val="auto"/>
                <w:w w:val="92"/>
              </w:rPr>
              <w:t>1,202,000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17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Long-term incentives are intended to align the interests of the named executive officers with shareholders by linking a meaningful portion of executive pay to shareholder value creation over a multi-year period. Long-term incentives are also provided to drive the performance of our long-term business strategy, engage and retain our key executives and facilitate ownership of our Common Stock. The table below details the long-term incentive vehicles granted in 2016, and their respective weights as a percentage of the total grant date target value of the long-term incentives awarded. The forms and weightings of the long-term incentives awarded in 2016 are substantially identical to those awarded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60718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80" w:type="dxa"/>
            <w:vAlign w:val="bottom"/>
            <w:tcBorders>
              <w:bottom w:val="single" w:sz="8" w:color="005C7D"/>
            </w:tcBorders>
          </w:tcPr>
          <w:p>
            <w:pPr>
              <w:ind w:left="40"/>
              <w:spacing w:after="0"/>
              <w:rPr>
                <w:sz w:val="20"/>
                <w:szCs w:val="20"/>
                <w:color w:val="auto"/>
              </w:rPr>
            </w:pPr>
            <w:r>
              <w:rPr>
                <w:rFonts w:ascii="Arial" w:cs="Arial" w:eastAsia="Arial" w:hAnsi="Arial"/>
                <w:sz w:val="14"/>
                <w:szCs w:val="14"/>
                <w:b w:val="1"/>
                <w:bCs w:val="1"/>
                <w:color w:val="auto"/>
              </w:rPr>
              <w:t>Long-term Incentive</w:t>
            </w:r>
          </w:p>
        </w:tc>
        <w:tc>
          <w:tcPr>
            <w:tcW w:w="680" w:type="dxa"/>
            <w:vAlign w:val="bottom"/>
            <w:tcBorders>
              <w:bottom w:val="single" w:sz="8" w:color="005C7D"/>
            </w:tcBorders>
          </w:tcPr>
          <w:p>
            <w:pPr>
              <w:jc w:val="center"/>
              <w:ind w:left="1"/>
              <w:spacing w:after="0"/>
              <w:rPr>
                <w:sz w:val="20"/>
                <w:szCs w:val="20"/>
                <w:color w:val="auto"/>
              </w:rPr>
            </w:pPr>
            <w:r>
              <w:rPr>
                <w:rFonts w:ascii="Arial" w:cs="Arial" w:eastAsia="Arial" w:hAnsi="Arial"/>
                <w:sz w:val="14"/>
                <w:szCs w:val="14"/>
                <w:b w:val="1"/>
                <w:bCs w:val="1"/>
                <w:color w:val="auto"/>
                <w:w w:val="94"/>
              </w:rPr>
              <w:t>Weight</w:t>
            </w:r>
          </w:p>
        </w:tc>
        <w:tc>
          <w:tcPr>
            <w:tcW w:w="200" w:type="dxa"/>
            <w:vAlign w:val="bottom"/>
            <w:tcBorders>
              <w:bottom w:val="single" w:sz="8" w:color="005C7D"/>
            </w:tcBorders>
          </w:tcPr>
          <w:p>
            <w:pPr>
              <w:spacing w:after="0"/>
              <w:rPr>
                <w:sz w:val="16"/>
                <w:szCs w:val="16"/>
                <w:color w:val="auto"/>
              </w:rPr>
            </w:pPr>
          </w:p>
        </w:tc>
        <w:tc>
          <w:tcPr>
            <w:tcW w:w="2420" w:type="dxa"/>
            <w:vAlign w:val="bottom"/>
            <w:tcBorders>
              <w:bottom w:val="single" w:sz="8" w:color="005C7D"/>
            </w:tcBorders>
          </w:tcPr>
          <w:p>
            <w:pPr>
              <w:ind w:left="880"/>
              <w:spacing w:after="0"/>
              <w:rPr>
                <w:sz w:val="20"/>
                <w:szCs w:val="20"/>
                <w:color w:val="auto"/>
              </w:rPr>
            </w:pPr>
            <w:r>
              <w:rPr>
                <w:rFonts w:ascii="Arial" w:cs="Arial" w:eastAsia="Arial" w:hAnsi="Arial"/>
                <w:sz w:val="14"/>
                <w:szCs w:val="14"/>
                <w:b w:val="1"/>
                <w:bCs w:val="1"/>
                <w:color w:val="auto"/>
              </w:rPr>
              <w:t>Rationale</w:t>
            </w:r>
          </w:p>
        </w:tc>
        <w:tc>
          <w:tcPr>
            <w:tcW w:w="160" w:type="dxa"/>
            <w:vAlign w:val="bottom"/>
            <w:tcBorders>
              <w:bottom w:val="single" w:sz="8" w:color="005C7D"/>
            </w:tcBorders>
          </w:tcPr>
          <w:p>
            <w:pPr>
              <w:spacing w:after="0"/>
              <w:rPr>
                <w:sz w:val="16"/>
                <w:szCs w:val="16"/>
                <w:color w:val="auto"/>
              </w:rPr>
            </w:pPr>
          </w:p>
        </w:tc>
        <w:tc>
          <w:tcPr>
            <w:tcW w:w="4520" w:type="dxa"/>
            <w:vAlign w:val="bottom"/>
            <w:tcBorders>
              <w:bottom w:val="single" w:sz="8" w:color="005C7D"/>
            </w:tcBorders>
          </w:tcPr>
          <w:p>
            <w:pPr>
              <w:ind w:left="1040"/>
              <w:spacing w:after="0"/>
              <w:rPr>
                <w:sz w:val="20"/>
                <w:szCs w:val="20"/>
                <w:color w:val="auto"/>
              </w:rPr>
            </w:pPr>
            <w:r>
              <w:rPr>
                <w:rFonts w:ascii="Arial" w:cs="Arial" w:eastAsia="Arial" w:hAnsi="Arial"/>
                <w:sz w:val="14"/>
                <w:szCs w:val="14"/>
                <w:b w:val="1"/>
                <w:bCs w:val="1"/>
                <w:color w:val="auto"/>
              </w:rPr>
              <w:t>Performance Criteria &amp; Other Features</w:t>
            </w:r>
          </w:p>
        </w:tc>
      </w:tr>
      <w:tr>
        <w:trPr>
          <w:trHeight w:val="244"/>
        </w:trPr>
        <w:tc>
          <w:tcPr>
            <w:tcW w:w="1580" w:type="dxa"/>
            <w:vAlign w:val="bottom"/>
            <w:shd w:val="clear" w:color="auto" w:fill="CDDAE6"/>
          </w:tcPr>
          <w:p>
            <w:pPr>
              <w:ind w:left="40"/>
              <w:spacing w:after="0"/>
              <w:rPr>
                <w:sz w:val="20"/>
                <w:szCs w:val="20"/>
                <w:color w:val="auto"/>
              </w:rPr>
            </w:pPr>
            <w:r>
              <w:rPr>
                <w:rFonts w:ascii="Arial" w:cs="Arial" w:eastAsia="Arial" w:hAnsi="Arial"/>
                <w:sz w:val="16"/>
                <w:szCs w:val="16"/>
                <w:color w:val="auto"/>
              </w:rPr>
              <w:t>Stock Options</w:t>
            </w:r>
          </w:p>
        </w:tc>
        <w:tc>
          <w:tcPr>
            <w:tcW w:w="680" w:type="dxa"/>
            <w:vAlign w:val="bottom"/>
            <w:shd w:val="clear" w:color="auto" w:fill="CDDAE6"/>
          </w:tcPr>
          <w:p>
            <w:pPr>
              <w:jc w:val="center"/>
              <w:spacing w:after="0"/>
              <w:rPr>
                <w:sz w:val="20"/>
                <w:szCs w:val="20"/>
                <w:color w:val="auto"/>
              </w:rPr>
            </w:pPr>
            <w:r>
              <w:rPr>
                <w:rFonts w:ascii="Arial" w:cs="Arial" w:eastAsia="Arial" w:hAnsi="Arial"/>
                <w:sz w:val="16"/>
                <w:szCs w:val="16"/>
                <w:color w:val="auto"/>
                <w:w w:val="93"/>
              </w:rPr>
              <w:t>30%</w:t>
            </w:r>
          </w:p>
        </w:tc>
        <w:tc>
          <w:tcPr>
            <w:tcW w:w="200" w:type="dxa"/>
            <w:vAlign w:val="bottom"/>
            <w:shd w:val="clear" w:color="auto" w:fill="CDDAE6"/>
          </w:tcPr>
          <w:p>
            <w:pPr>
              <w:ind w:left="80"/>
              <w:spacing w:after="0"/>
              <w:rPr>
                <w:sz w:val="20"/>
                <w:szCs w:val="20"/>
                <w:color w:val="auto"/>
              </w:rPr>
            </w:pPr>
            <w:r>
              <w:rPr>
                <w:rFonts w:ascii="Arial" w:cs="Arial" w:eastAsia="Arial" w:hAnsi="Arial"/>
                <w:sz w:val="16"/>
                <w:szCs w:val="16"/>
                <w:color w:val="auto"/>
              </w:rPr>
              <w:t>•</w:t>
            </w:r>
          </w:p>
        </w:tc>
        <w:tc>
          <w:tcPr>
            <w:tcW w:w="2420" w:type="dxa"/>
            <w:vAlign w:val="bottom"/>
            <w:shd w:val="clear" w:color="auto" w:fill="CDDAE6"/>
          </w:tcPr>
          <w:p>
            <w:pPr>
              <w:ind w:left="60"/>
              <w:spacing w:after="0"/>
              <w:rPr>
                <w:sz w:val="20"/>
                <w:szCs w:val="20"/>
                <w:color w:val="auto"/>
              </w:rPr>
            </w:pPr>
            <w:r>
              <w:rPr>
                <w:rFonts w:ascii="Arial" w:cs="Arial" w:eastAsia="Arial" w:hAnsi="Arial"/>
                <w:sz w:val="16"/>
                <w:szCs w:val="16"/>
                <w:color w:val="auto"/>
              </w:rPr>
              <w:t>Stock price appreciation</w:t>
            </w:r>
          </w:p>
        </w:tc>
        <w:tc>
          <w:tcPr>
            <w:tcW w:w="160" w:type="dxa"/>
            <w:vAlign w:val="bottom"/>
            <w:shd w:val="clear" w:color="auto" w:fill="CDDAE6"/>
          </w:tcPr>
          <w:p>
            <w:pPr>
              <w:ind w:left="40"/>
              <w:spacing w:after="0"/>
              <w:rPr>
                <w:sz w:val="20"/>
                <w:szCs w:val="20"/>
                <w:color w:val="auto"/>
              </w:rPr>
            </w:pPr>
            <w:r>
              <w:rPr>
                <w:rFonts w:ascii="Arial" w:cs="Arial" w:eastAsia="Arial" w:hAnsi="Arial"/>
                <w:sz w:val="16"/>
                <w:szCs w:val="16"/>
                <w:color w:val="auto"/>
              </w:rPr>
              <w:t>•</w:t>
            </w:r>
          </w:p>
        </w:tc>
        <w:tc>
          <w:tcPr>
            <w:tcW w:w="4520" w:type="dxa"/>
            <w:vAlign w:val="bottom"/>
            <w:shd w:val="clear" w:color="auto" w:fill="CDDAE6"/>
          </w:tcPr>
          <w:p>
            <w:pPr>
              <w:ind w:left="60"/>
              <w:spacing w:after="0"/>
              <w:rPr>
                <w:sz w:val="20"/>
                <w:szCs w:val="20"/>
                <w:color w:val="auto"/>
              </w:rPr>
            </w:pPr>
            <w:r>
              <w:rPr>
                <w:rFonts w:ascii="Arial" w:cs="Arial" w:eastAsia="Arial" w:hAnsi="Arial"/>
                <w:sz w:val="16"/>
                <w:szCs w:val="16"/>
                <w:color w:val="auto"/>
              </w:rPr>
              <w:t>Ultimate value dependent on stock price appreciation</w:t>
            </w:r>
          </w:p>
        </w:tc>
      </w:tr>
      <w:tr>
        <w:trPr>
          <w:trHeight w:val="239"/>
        </w:trPr>
        <w:tc>
          <w:tcPr>
            <w:tcW w:w="1580" w:type="dxa"/>
            <w:vAlign w:val="bottom"/>
            <w:shd w:val="clear" w:color="auto" w:fill="CDDAE6"/>
          </w:tcPr>
          <w:p>
            <w:pPr>
              <w:spacing w:after="0"/>
              <w:rPr>
                <w:sz w:val="20"/>
                <w:szCs w:val="20"/>
                <w:color w:val="auto"/>
              </w:rPr>
            </w:pPr>
          </w:p>
        </w:tc>
        <w:tc>
          <w:tcPr>
            <w:tcW w:w="680" w:type="dxa"/>
            <w:vAlign w:val="bottom"/>
            <w:shd w:val="clear" w:color="auto" w:fill="CDDAE6"/>
          </w:tcPr>
          <w:p>
            <w:pPr>
              <w:spacing w:after="0"/>
              <w:rPr>
                <w:sz w:val="20"/>
                <w:szCs w:val="20"/>
                <w:color w:val="auto"/>
              </w:rPr>
            </w:pPr>
          </w:p>
        </w:tc>
        <w:tc>
          <w:tcPr>
            <w:tcW w:w="200" w:type="dxa"/>
            <w:vAlign w:val="bottom"/>
            <w:shd w:val="clear" w:color="auto" w:fill="CDDAE6"/>
          </w:tcPr>
          <w:p>
            <w:pPr>
              <w:ind w:left="80"/>
              <w:spacing w:after="0"/>
              <w:rPr>
                <w:sz w:val="20"/>
                <w:szCs w:val="20"/>
                <w:color w:val="auto"/>
              </w:rPr>
            </w:pPr>
            <w:r>
              <w:rPr>
                <w:rFonts w:ascii="Arial" w:cs="Arial" w:eastAsia="Arial" w:hAnsi="Arial"/>
                <w:sz w:val="16"/>
                <w:szCs w:val="16"/>
                <w:color w:val="auto"/>
              </w:rPr>
              <w:t>•</w:t>
            </w:r>
          </w:p>
        </w:tc>
        <w:tc>
          <w:tcPr>
            <w:tcW w:w="2420" w:type="dxa"/>
            <w:vAlign w:val="bottom"/>
            <w:shd w:val="clear" w:color="auto" w:fill="CDDAE6"/>
          </w:tcPr>
          <w:p>
            <w:pPr>
              <w:ind w:left="60"/>
              <w:spacing w:after="0"/>
              <w:rPr>
                <w:sz w:val="20"/>
                <w:szCs w:val="20"/>
                <w:color w:val="auto"/>
              </w:rPr>
            </w:pPr>
            <w:r>
              <w:rPr>
                <w:rFonts w:ascii="Arial" w:cs="Arial" w:eastAsia="Arial" w:hAnsi="Arial"/>
                <w:sz w:val="16"/>
                <w:szCs w:val="16"/>
                <w:color w:val="auto"/>
              </w:rPr>
              <w:t>Stock ownership and capital</w:t>
            </w:r>
          </w:p>
        </w:tc>
        <w:tc>
          <w:tcPr>
            <w:tcW w:w="160" w:type="dxa"/>
            <w:vAlign w:val="bottom"/>
            <w:shd w:val="clear" w:color="auto" w:fill="CDDAE6"/>
          </w:tcPr>
          <w:p>
            <w:pPr>
              <w:ind w:left="40"/>
              <w:spacing w:after="0"/>
              <w:rPr>
                <w:sz w:val="20"/>
                <w:szCs w:val="20"/>
                <w:color w:val="auto"/>
              </w:rPr>
            </w:pPr>
            <w:r>
              <w:rPr>
                <w:rFonts w:ascii="Arial" w:cs="Arial" w:eastAsia="Arial" w:hAnsi="Arial"/>
                <w:sz w:val="16"/>
                <w:szCs w:val="16"/>
                <w:color w:val="auto"/>
              </w:rPr>
              <w:t>•</w:t>
            </w:r>
          </w:p>
        </w:tc>
        <w:tc>
          <w:tcPr>
            <w:tcW w:w="4520" w:type="dxa"/>
            <w:vAlign w:val="bottom"/>
            <w:shd w:val="clear" w:color="auto" w:fill="CDDAE6"/>
          </w:tcPr>
          <w:p>
            <w:pPr>
              <w:ind w:left="60"/>
              <w:spacing w:after="0"/>
              <w:rPr>
                <w:sz w:val="20"/>
                <w:szCs w:val="20"/>
                <w:color w:val="auto"/>
              </w:rPr>
            </w:pPr>
            <w:r>
              <w:rPr>
                <w:rFonts w:ascii="Arial" w:cs="Arial" w:eastAsia="Arial" w:hAnsi="Arial"/>
                <w:sz w:val="16"/>
                <w:szCs w:val="16"/>
                <w:color w:val="auto"/>
                <w:w w:val="92"/>
              </w:rPr>
              <w:t>Vest in equal annual increments over three years and has a 10-year</w:t>
            </w:r>
          </w:p>
        </w:tc>
      </w:tr>
      <w:tr>
        <w:trPr>
          <w:trHeight w:val="206"/>
        </w:trPr>
        <w:tc>
          <w:tcPr>
            <w:tcW w:w="1580" w:type="dxa"/>
            <w:vAlign w:val="bottom"/>
            <w:shd w:val="clear" w:color="auto" w:fill="CDDAE6"/>
          </w:tcPr>
          <w:p>
            <w:pPr>
              <w:spacing w:after="0"/>
              <w:rPr>
                <w:sz w:val="17"/>
                <w:szCs w:val="17"/>
                <w:color w:val="auto"/>
              </w:rPr>
            </w:pPr>
          </w:p>
        </w:tc>
        <w:tc>
          <w:tcPr>
            <w:tcW w:w="680" w:type="dxa"/>
            <w:vAlign w:val="bottom"/>
            <w:shd w:val="clear" w:color="auto" w:fill="CDDAE6"/>
          </w:tcPr>
          <w:p>
            <w:pPr>
              <w:spacing w:after="0"/>
              <w:rPr>
                <w:sz w:val="17"/>
                <w:szCs w:val="17"/>
                <w:color w:val="auto"/>
              </w:rPr>
            </w:pPr>
          </w:p>
        </w:tc>
        <w:tc>
          <w:tcPr>
            <w:tcW w:w="200" w:type="dxa"/>
            <w:vAlign w:val="bottom"/>
            <w:shd w:val="clear" w:color="auto" w:fill="CDDAE6"/>
          </w:tcPr>
          <w:p>
            <w:pPr>
              <w:spacing w:after="0"/>
              <w:rPr>
                <w:sz w:val="17"/>
                <w:szCs w:val="17"/>
                <w:color w:val="auto"/>
              </w:rPr>
            </w:pPr>
          </w:p>
        </w:tc>
        <w:tc>
          <w:tcPr>
            <w:tcW w:w="2420" w:type="dxa"/>
            <w:vAlign w:val="bottom"/>
            <w:shd w:val="clear" w:color="auto" w:fill="CDDAE6"/>
          </w:tcPr>
          <w:p>
            <w:pPr>
              <w:ind w:left="60"/>
              <w:spacing w:after="0"/>
              <w:rPr>
                <w:sz w:val="20"/>
                <w:szCs w:val="20"/>
                <w:color w:val="auto"/>
              </w:rPr>
            </w:pPr>
            <w:r>
              <w:rPr>
                <w:rFonts w:ascii="Arial" w:cs="Arial" w:eastAsia="Arial" w:hAnsi="Arial"/>
                <w:sz w:val="16"/>
                <w:szCs w:val="16"/>
                <w:color w:val="auto"/>
              </w:rPr>
              <w:t>accumulation</w:t>
            </w:r>
          </w:p>
        </w:tc>
        <w:tc>
          <w:tcPr>
            <w:tcW w:w="160" w:type="dxa"/>
            <w:vAlign w:val="bottom"/>
            <w:shd w:val="clear" w:color="auto" w:fill="CDDAE6"/>
          </w:tcPr>
          <w:p>
            <w:pPr>
              <w:spacing w:after="0"/>
              <w:rPr>
                <w:sz w:val="17"/>
                <w:szCs w:val="17"/>
                <w:color w:val="auto"/>
              </w:rPr>
            </w:pPr>
          </w:p>
        </w:tc>
        <w:tc>
          <w:tcPr>
            <w:tcW w:w="4520" w:type="dxa"/>
            <w:vAlign w:val="bottom"/>
            <w:shd w:val="clear" w:color="auto" w:fill="CDDAE6"/>
          </w:tcPr>
          <w:p>
            <w:pPr>
              <w:ind w:left="60"/>
              <w:spacing w:after="0"/>
              <w:rPr>
                <w:sz w:val="20"/>
                <w:szCs w:val="20"/>
                <w:color w:val="auto"/>
              </w:rPr>
            </w:pPr>
            <w:r>
              <w:rPr>
                <w:rFonts w:ascii="Arial" w:cs="Arial" w:eastAsia="Arial" w:hAnsi="Arial"/>
                <w:sz w:val="16"/>
                <w:szCs w:val="16"/>
                <w:color w:val="auto"/>
              </w:rPr>
              <w:t>term</w:t>
            </w:r>
          </w:p>
        </w:tc>
      </w:tr>
      <w:tr>
        <w:trPr>
          <w:trHeight w:val="239"/>
        </w:trPr>
        <w:tc>
          <w:tcPr>
            <w:tcW w:w="1580" w:type="dxa"/>
            <w:vAlign w:val="bottom"/>
            <w:shd w:val="clear" w:color="auto" w:fill="CDDAE6"/>
          </w:tcPr>
          <w:p>
            <w:pPr>
              <w:spacing w:after="0"/>
              <w:rPr>
                <w:sz w:val="20"/>
                <w:szCs w:val="20"/>
                <w:color w:val="auto"/>
              </w:rPr>
            </w:pPr>
          </w:p>
        </w:tc>
        <w:tc>
          <w:tcPr>
            <w:tcW w:w="680" w:type="dxa"/>
            <w:vAlign w:val="bottom"/>
            <w:shd w:val="clear" w:color="auto" w:fill="CDDAE6"/>
          </w:tcPr>
          <w:p>
            <w:pPr>
              <w:spacing w:after="0"/>
              <w:rPr>
                <w:sz w:val="20"/>
                <w:szCs w:val="20"/>
                <w:color w:val="auto"/>
              </w:rPr>
            </w:pPr>
          </w:p>
        </w:tc>
        <w:tc>
          <w:tcPr>
            <w:tcW w:w="200" w:type="dxa"/>
            <w:vAlign w:val="bottom"/>
            <w:shd w:val="clear" w:color="auto" w:fill="CDDAE6"/>
          </w:tcPr>
          <w:p>
            <w:pPr>
              <w:spacing w:after="0"/>
              <w:rPr>
                <w:sz w:val="20"/>
                <w:szCs w:val="20"/>
                <w:color w:val="auto"/>
              </w:rPr>
            </w:pPr>
          </w:p>
        </w:tc>
        <w:tc>
          <w:tcPr>
            <w:tcW w:w="2420" w:type="dxa"/>
            <w:vAlign w:val="bottom"/>
            <w:shd w:val="clear" w:color="auto" w:fill="CDDAE6"/>
          </w:tcPr>
          <w:p>
            <w:pPr>
              <w:spacing w:after="0"/>
              <w:rPr>
                <w:sz w:val="20"/>
                <w:szCs w:val="20"/>
                <w:color w:val="auto"/>
              </w:rPr>
            </w:pPr>
          </w:p>
        </w:tc>
        <w:tc>
          <w:tcPr>
            <w:tcW w:w="160" w:type="dxa"/>
            <w:vAlign w:val="bottom"/>
            <w:shd w:val="clear" w:color="auto" w:fill="CDDAE6"/>
          </w:tcPr>
          <w:p>
            <w:pPr>
              <w:ind w:left="40"/>
              <w:spacing w:after="0"/>
              <w:rPr>
                <w:sz w:val="20"/>
                <w:szCs w:val="20"/>
                <w:color w:val="auto"/>
              </w:rPr>
            </w:pPr>
            <w:r>
              <w:rPr>
                <w:rFonts w:ascii="Arial" w:cs="Arial" w:eastAsia="Arial" w:hAnsi="Arial"/>
                <w:sz w:val="16"/>
                <w:szCs w:val="16"/>
                <w:color w:val="auto"/>
              </w:rPr>
              <w:t>•</w:t>
            </w:r>
          </w:p>
        </w:tc>
        <w:tc>
          <w:tcPr>
            <w:tcW w:w="4520" w:type="dxa"/>
            <w:vAlign w:val="bottom"/>
            <w:shd w:val="clear" w:color="auto" w:fill="CDDAE6"/>
          </w:tcPr>
          <w:p>
            <w:pPr>
              <w:ind w:left="60"/>
              <w:spacing w:after="0"/>
              <w:rPr>
                <w:sz w:val="20"/>
                <w:szCs w:val="20"/>
                <w:color w:val="auto"/>
              </w:rPr>
            </w:pPr>
            <w:r>
              <w:rPr>
                <w:rFonts w:ascii="Arial" w:cs="Arial" w:eastAsia="Arial" w:hAnsi="Arial"/>
                <w:sz w:val="16"/>
                <w:szCs w:val="16"/>
                <w:color w:val="auto"/>
                <w:w w:val="95"/>
              </w:rPr>
              <w:t>Exercise price equal to the closing price of our Common Stock on</w:t>
            </w:r>
          </w:p>
        </w:tc>
      </w:tr>
      <w:tr>
        <w:trPr>
          <w:trHeight w:val="206"/>
        </w:trPr>
        <w:tc>
          <w:tcPr>
            <w:tcW w:w="1580" w:type="dxa"/>
            <w:vAlign w:val="bottom"/>
            <w:shd w:val="clear" w:color="auto" w:fill="CDDAE6"/>
          </w:tcPr>
          <w:p>
            <w:pPr>
              <w:spacing w:after="0"/>
              <w:rPr>
                <w:sz w:val="17"/>
                <w:szCs w:val="17"/>
                <w:color w:val="auto"/>
              </w:rPr>
            </w:pPr>
          </w:p>
        </w:tc>
        <w:tc>
          <w:tcPr>
            <w:tcW w:w="680" w:type="dxa"/>
            <w:vAlign w:val="bottom"/>
            <w:shd w:val="clear" w:color="auto" w:fill="CDDAE6"/>
          </w:tcPr>
          <w:p>
            <w:pPr>
              <w:spacing w:after="0"/>
              <w:rPr>
                <w:sz w:val="17"/>
                <w:szCs w:val="17"/>
                <w:color w:val="auto"/>
              </w:rPr>
            </w:pPr>
          </w:p>
        </w:tc>
        <w:tc>
          <w:tcPr>
            <w:tcW w:w="200" w:type="dxa"/>
            <w:vAlign w:val="bottom"/>
            <w:shd w:val="clear" w:color="auto" w:fill="CDDAE6"/>
          </w:tcPr>
          <w:p>
            <w:pPr>
              <w:spacing w:after="0"/>
              <w:rPr>
                <w:sz w:val="17"/>
                <w:szCs w:val="17"/>
                <w:color w:val="auto"/>
              </w:rPr>
            </w:pPr>
          </w:p>
        </w:tc>
        <w:tc>
          <w:tcPr>
            <w:tcW w:w="2420" w:type="dxa"/>
            <w:vAlign w:val="bottom"/>
            <w:shd w:val="clear" w:color="auto" w:fill="CDDAE6"/>
          </w:tcPr>
          <w:p>
            <w:pPr>
              <w:spacing w:after="0"/>
              <w:rPr>
                <w:sz w:val="17"/>
                <w:szCs w:val="17"/>
                <w:color w:val="auto"/>
              </w:rPr>
            </w:pPr>
          </w:p>
        </w:tc>
        <w:tc>
          <w:tcPr>
            <w:tcW w:w="160" w:type="dxa"/>
            <w:vAlign w:val="bottom"/>
            <w:shd w:val="clear" w:color="auto" w:fill="CDDAE6"/>
          </w:tcPr>
          <w:p>
            <w:pPr>
              <w:spacing w:after="0"/>
              <w:rPr>
                <w:sz w:val="17"/>
                <w:szCs w:val="17"/>
                <w:color w:val="auto"/>
              </w:rPr>
            </w:pPr>
          </w:p>
        </w:tc>
        <w:tc>
          <w:tcPr>
            <w:tcW w:w="4520" w:type="dxa"/>
            <w:vAlign w:val="bottom"/>
            <w:shd w:val="clear" w:color="auto" w:fill="CDDAE6"/>
          </w:tcPr>
          <w:p>
            <w:pPr>
              <w:ind w:left="60"/>
              <w:spacing w:after="0"/>
              <w:rPr>
                <w:sz w:val="20"/>
                <w:szCs w:val="20"/>
                <w:color w:val="auto"/>
              </w:rPr>
            </w:pPr>
            <w:r>
              <w:rPr>
                <w:rFonts w:ascii="Arial" w:cs="Arial" w:eastAsia="Arial" w:hAnsi="Arial"/>
                <w:sz w:val="16"/>
                <w:szCs w:val="16"/>
                <w:color w:val="auto"/>
              </w:rPr>
              <w:t>the date of grant</w:t>
            </w:r>
          </w:p>
        </w:tc>
      </w:tr>
      <w:tr>
        <w:trPr>
          <w:trHeight w:val="239"/>
        </w:trPr>
        <w:tc>
          <w:tcPr>
            <w:tcW w:w="1580" w:type="dxa"/>
            <w:vAlign w:val="bottom"/>
            <w:shd w:val="clear" w:color="auto" w:fill="CDDAE6"/>
          </w:tcPr>
          <w:p>
            <w:pPr>
              <w:spacing w:after="0"/>
              <w:rPr>
                <w:sz w:val="20"/>
                <w:szCs w:val="20"/>
                <w:color w:val="auto"/>
              </w:rPr>
            </w:pPr>
          </w:p>
        </w:tc>
        <w:tc>
          <w:tcPr>
            <w:tcW w:w="680" w:type="dxa"/>
            <w:vAlign w:val="bottom"/>
            <w:shd w:val="clear" w:color="auto" w:fill="CDDAE6"/>
          </w:tcPr>
          <w:p>
            <w:pPr>
              <w:spacing w:after="0"/>
              <w:rPr>
                <w:sz w:val="20"/>
                <w:szCs w:val="20"/>
                <w:color w:val="auto"/>
              </w:rPr>
            </w:pPr>
          </w:p>
        </w:tc>
        <w:tc>
          <w:tcPr>
            <w:tcW w:w="200" w:type="dxa"/>
            <w:vAlign w:val="bottom"/>
            <w:shd w:val="clear" w:color="auto" w:fill="CDDAE6"/>
          </w:tcPr>
          <w:p>
            <w:pPr>
              <w:spacing w:after="0"/>
              <w:rPr>
                <w:sz w:val="20"/>
                <w:szCs w:val="20"/>
                <w:color w:val="auto"/>
              </w:rPr>
            </w:pPr>
          </w:p>
        </w:tc>
        <w:tc>
          <w:tcPr>
            <w:tcW w:w="2420" w:type="dxa"/>
            <w:vAlign w:val="bottom"/>
            <w:shd w:val="clear" w:color="auto" w:fill="CDDAE6"/>
          </w:tcPr>
          <w:p>
            <w:pPr>
              <w:spacing w:after="0"/>
              <w:rPr>
                <w:sz w:val="20"/>
                <w:szCs w:val="20"/>
                <w:color w:val="auto"/>
              </w:rPr>
            </w:pPr>
          </w:p>
        </w:tc>
        <w:tc>
          <w:tcPr>
            <w:tcW w:w="160" w:type="dxa"/>
            <w:vAlign w:val="bottom"/>
            <w:shd w:val="clear" w:color="auto" w:fill="CDDAE6"/>
          </w:tcPr>
          <w:p>
            <w:pPr>
              <w:ind w:left="40"/>
              <w:spacing w:after="0"/>
              <w:rPr>
                <w:sz w:val="20"/>
                <w:szCs w:val="20"/>
                <w:color w:val="auto"/>
              </w:rPr>
            </w:pPr>
            <w:r>
              <w:rPr>
                <w:rFonts w:ascii="Arial" w:cs="Arial" w:eastAsia="Arial" w:hAnsi="Arial"/>
                <w:sz w:val="16"/>
                <w:szCs w:val="16"/>
                <w:color w:val="auto"/>
              </w:rPr>
              <w:t>•</w:t>
            </w:r>
          </w:p>
        </w:tc>
        <w:tc>
          <w:tcPr>
            <w:tcW w:w="4520" w:type="dxa"/>
            <w:vAlign w:val="bottom"/>
            <w:shd w:val="clear" w:color="auto" w:fill="CDDAE6"/>
          </w:tcPr>
          <w:p>
            <w:pPr>
              <w:ind w:left="60"/>
              <w:spacing w:after="0"/>
              <w:rPr>
                <w:sz w:val="20"/>
                <w:szCs w:val="20"/>
                <w:color w:val="auto"/>
              </w:rPr>
            </w:pPr>
            <w:r>
              <w:rPr>
                <w:rFonts w:ascii="Arial" w:cs="Arial" w:eastAsia="Arial" w:hAnsi="Arial"/>
                <w:sz w:val="16"/>
                <w:szCs w:val="16"/>
                <w:color w:val="auto"/>
              </w:rPr>
              <w:t>Grants to the Chief Executive Officer include additional</w:t>
            </w:r>
          </w:p>
        </w:tc>
      </w:tr>
      <w:tr>
        <w:trPr>
          <w:trHeight w:val="203"/>
        </w:trPr>
        <w:tc>
          <w:tcPr>
            <w:tcW w:w="1580" w:type="dxa"/>
            <w:vAlign w:val="bottom"/>
            <w:shd w:val="clear" w:color="auto" w:fill="CDDAE6"/>
          </w:tcPr>
          <w:p>
            <w:pPr>
              <w:spacing w:after="0"/>
              <w:rPr>
                <w:sz w:val="17"/>
                <w:szCs w:val="17"/>
                <w:color w:val="auto"/>
              </w:rPr>
            </w:pPr>
          </w:p>
        </w:tc>
        <w:tc>
          <w:tcPr>
            <w:tcW w:w="680" w:type="dxa"/>
            <w:vAlign w:val="bottom"/>
            <w:shd w:val="clear" w:color="auto" w:fill="CDDAE6"/>
          </w:tcPr>
          <w:p>
            <w:pPr>
              <w:spacing w:after="0"/>
              <w:rPr>
                <w:sz w:val="17"/>
                <w:szCs w:val="17"/>
                <w:color w:val="auto"/>
              </w:rPr>
            </w:pPr>
          </w:p>
        </w:tc>
        <w:tc>
          <w:tcPr>
            <w:tcW w:w="200" w:type="dxa"/>
            <w:vAlign w:val="bottom"/>
            <w:shd w:val="clear" w:color="auto" w:fill="CDDAE6"/>
          </w:tcPr>
          <w:p>
            <w:pPr>
              <w:spacing w:after="0"/>
              <w:rPr>
                <w:sz w:val="17"/>
                <w:szCs w:val="17"/>
                <w:color w:val="auto"/>
              </w:rPr>
            </w:pPr>
          </w:p>
        </w:tc>
        <w:tc>
          <w:tcPr>
            <w:tcW w:w="2420" w:type="dxa"/>
            <w:vAlign w:val="bottom"/>
            <w:shd w:val="clear" w:color="auto" w:fill="CDDAE6"/>
          </w:tcPr>
          <w:p>
            <w:pPr>
              <w:spacing w:after="0"/>
              <w:rPr>
                <w:sz w:val="17"/>
                <w:szCs w:val="17"/>
                <w:color w:val="auto"/>
              </w:rPr>
            </w:pPr>
          </w:p>
        </w:tc>
        <w:tc>
          <w:tcPr>
            <w:tcW w:w="160" w:type="dxa"/>
            <w:vAlign w:val="bottom"/>
            <w:shd w:val="clear" w:color="auto" w:fill="CDDAE6"/>
          </w:tcPr>
          <w:p>
            <w:pPr>
              <w:spacing w:after="0"/>
              <w:rPr>
                <w:sz w:val="17"/>
                <w:szCs w:val="17"/>
                <w:color w:val="auto"/>
              </w:rPr>
            </w:pPr>
          </w:p>
        </w:tc>
        <w:tc>
          <w:tcPr>
            <w:tcW w:w="4520" w:type="dxa"/>
            <w:vAlign w:val="bottom"/>
            <w:shd w:val="clear" w:color="auto" w:fill="CDDAE6"/>
          </w:tcPr>
          <w:p>
            <w:pPr>
              <w:ind w:left="60"/>
              <w:spacing w:after="0"/>
              <w:rPr>
                <w:sz w:val="20"/>
                <w:szCs w:val="20"/>
                <w:color w:val="auto"/>
              </w:rPr>
            </w:pPr>
            <w:r>
              <w:rPr>
                <w:rFonts w:ascii="Arial" w:cs="Arial" w:eastAsia="Arial" w:hAnsi="Arial"/>
                <w:sz w:val="16"/>
                <w:szCs w:val="16"/>
                <w:color w:val="auto"/>
                <w:w w:val="96"/>
              </w:rPr>
              <w:t>performance vesting conditions as described below under “Stock</w:t>
            </w:r>
          </w:p>
        </w:tc>
      </w:tr>
      <w:tr>
        <w:trPr>
          <w:trHeight w:val="226"/>
        </w:trPr>
        <w:tc>
          <w:tcPr>
            <w:tcW w:w="1580" w:type="dxa"/>
            <w:vAlign w:val="bottom"/>
            <w:shd w:val="clear" w:color="auto" w:fill="CDDAE6"/>
          </w:tcPr>
          <w:p>
            <w:pPr>
              <w:spacing w:after="0"/>
              <w:rPr>
                <w:sz w:val="19"/>
                <w:szCs w:val="19"/>
                <w:color w:val="auto"/>
              </w:rPr>
            </w:pPr>
          </w:p>
        </w:tc>
        <w:tc>
          <w:tcPr>
            <w:tcW w:w="680" w:type="dxa"/>
            <w:vAlign w:val="bottom"/>
            <w:shd w:val="clear" w:color="auto" w:fill="CDDAE6"/>
          </w:tcPr>
          <w:p>
            <w:pPr>
              <w:spacing w:after="0"/>
              <w:rPr>
                <w:sz w:val="19"/>
                <w:szCs w:val="19"/>
                <w:color w:val="auto"/>
              </w:rPr>
            </w:pPr>
          </w:p>
        </w:tc>
        <w:tc>
          <w:tcPr>
            <w:tcW w:w="200" w:type="dxa"/>
            <w:vAlign w:val="bottom"/>
            <w:shd w:val="clear" w:color="auto" w:fill="CDDAE6"/>
          </w:tcPr>
          <w:p>
            <w:pPr>
              <w:spacing w:after="0"/>
              <w:rPr>
                <w:sz w:val="19"/>
                <w:szCs w:val="19"/>
                <w:color w:val="auto"/>
              </w:rPr>
            </w:pPr>
          </w:p>
        </w:tc>
        <w:tc>
          <w:tcPr>
            <w:tcW w:w="2420" w:type="dxa"/>
            <w:vAlign w:val="bottom"/>
            <w:shd w:val="clear" w:color="auto" w:fill="CDDAE6"/>
          </w:tcPr>
          <w:p>
            <w:pPr>
              <w:spacing w:after="0"/>
              <w:rPr>
                <w:sz w:val="19"/>
                <w:szCs w:val="19"/>
                <w:color w:val="auto"/>
              </w:rPr>
            </w:pPr>
          </w:p>
        </w:tc>
        <w:tc>
          <w:tcPr>
            <w:tcW w:w="160" w:type="dxa"/>
            <w:vAlign w:val="bottom"/>
            <w:shd w:val="clear" w:color="auto" w:fill="CDDAE6"/>
          </w:tcPr>
          <w:p>
            <w:pPr>
              <w:spacing w:after="0"/>
              <w:rPr>
                <w:sz w:val="19"/>
                <w:szCs w:val="19"/>
                <w:color w:val="auto"/>
              </w:rPr>
            </w:pPr>
          </w:p>
        </w:tc>
        <w:tc>
          <w:tcPr>
            <w:tcW w:w="4520" w:type="dxa"/>
            <w:vAlign w:val="bottom"/>
            <w:shd w:val="clear" w:color="auto" w:fill="CDDAE6"/>
          </w:tcPr>
          <w:p>
            <w:pPr>
              <w:ind w:left="60"/>
              <w:spacing w:after="0"/>
              <w:rPr>
                <w:sz w:val="20"/>
                <w:szCs w:val="20"/>
                <w:color w:val="auto"/>
              </w:rPr>
            </w:pPr>
            <w:r>
              <w:rPr>
                <w:rFonts w:ascii="Arial" w:cs="Arial" w:eastAsia="Arial" w:hAnsi="Arial"/>
                <w:sz w:val="16"/>
                <w:szCs w:val="16"/>
                <w:color w:val="auto"/>
              </w:rPr>
              <w:t>Options”</w:t>
            </w:r>
          </w:p>
        </w:tc>
      </w:tr>
      <w:tr>
        <w:trPr>
          <w:trHeight w:val="251"/>
        </w:trPr>
        <w:tc>
          <w:tcPr>
            <w:tcW w:w="1580" w:type="dxa"/>
            <w:vAlign w:val="bottom"/>
          </w:tcPr>
          <w:p>
            <w:pPr>
              <w:ind w:left="40"/>
              <w:spacing w:after="0"/>
              <w:rPr>
                <w:sz w:val="20"/>
                <w:szCs w:val="20"/>
                <w:color w:val="auto"/>
              </w:rPr>
            </w:pPr>
            <w:r>
              <w:rPr>
                <w:rFonts w:ascii="Arial" w:cs="Arial" w:eastAsia="Arial" w:hAnsi="Arial"/>
                <w:sz w:val="16"/>
                <w:szCs w:val="16"/>
                <w:color w:val="auto"/>
              </w:rPr>
              <w:t>RSUs</w:t>
            </w:r>
          </w:p>
        </w:tc>
        <w:tc>
          <w:tcPr>
            <w:tcW w:w="680" w:type="dxa"/>
            <w:vAlign w:val="bottom"/>
          </w:tcPr>
          <w:p>
            <w:pPr>
              <w:jc w:val="center"/>
              <w:spacing w:after="0"/>
              <w:rPr>
                <w:sz w:val="20"/>
                <w:szCs w:val="20"/>
                <w:color w:val="auto"/>
              </w:rPr>
            </w:pPr>
            <w:r>
              <w:rPr>
                <w:rFonts w:ascii="Arial" w:cs="Arial" w:eastAsia="Arial" w:hAnsi="Arial"/>
                <w:sz w:val="16"/>
                <w:szCs w:val="16"/>
                <w:color w:val="auto"/>
                <w:w w:val="93"/>
              </w:rPr>
              <w:t>30%</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2420" w:type="dxa"/>
            <w:vAlign w:val="bottom"/>
          </w:tcPr>
          <w:p>
            <w:pPr>
              <w:ind w:left="60"/>
              <w:spacing w:after="0"/>
              <w:rPr>
                <w:sz w:val="20"/>
                <w:szCs w:val="20"/>
                <w:color w:val="auto"/>
              </w:rPr>
            </w:pPr>
            <w:r>
              <w:rPr>
                <w:rFonts w:ascii="Arial" w:cs="Arial" w:eastAsia="Arial" w:hAnsi="Arial"/>
                <w:sz w:val="16"/>
                <w:szCs w:val="16"/>
                <w:color w:val="auto"/>
              </w:rPr>
              <w:t>Retention</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4520" w:type="dxa"/>
            <w:vAlign w:val="bottom"/>
          </w:tcPr>
          <w:p>
            <w:pPr>
              <w:ind w:left="60"/>
              <w:spacing w:after="0"/>
              <w:rPr>
                <w:sz w:val="20"/>
                <w:szCs w:val="20"/>
                <w:color w:val="auto"/>
              </w:rPr>
            </w:pPr>
            <w:r>
              <w:rPr>
                <w:rFonts w:ascii="Arial" w:cs="Arial" w:eastAsia="Arial" w:hAnsi="Arial"/>
                <w:sz w:val="16"/>
                <w:szCs w:val="16"/>
                <w:color w:val="auto"/>
              </w:rPr>
              <w:t>Ultimate value dependent on stock price</w:t>
            </w:r>
          </w:p>
        </w:tc>
      </w:tr>
      <w:tr>
        <w:trPr>
          <w:trHeight w:val="239"/>
        </w:trPr>
        <w:tc>
          <w:tcPr>
            <w:tcW w:w="1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2420" w:type="dxa"/>
            <w:vAlign w:val="bottom"/>
          </w:tcPr>
          <w:p>
            <w:pPr>
              <w:ind w:left="60"/>
              <w:spacing w:after="0"/>
              <w:rPr>
                <w:sz w:val="20"/>
                <w:szCs w:val="20"/>
                <w:color w:val="auto"/>
              </w:rPr>
            </w:pPr>
            <w:r>
              <w:rPr>
                <w:rFonts w:ascii="Arial" w:cs="Arial" w:eastAsia="Arial" w:hAnsi="Arial"/>
                <w:sz w:val="16"/>
                <w:szCs w:val="16"/>
                <w:color w:val="auto"/>
              </w:rPr>
              <w:t>Stock ownership and capital</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4520" w:type="dxa"/>
            <w:vAlign w:val="bottom"/>
          </w:tcPr>
          <w:p>
            <w:pPr>
              <w:ind w:left="60"/>
              <w:spacing w:after="0"/>
              <w:rPr>
                <w:sz w:val="20"/>
                <w:szCs w:val="20"/>
                <w:color w:val="auto"/>
              </w:rPr>
            </w:pPr>
            <w:r>
              <w:rPr>
                <w:rFonts w:ascii="Arial" w:cs="Arial" w:eastAsia="Arial" w:hAnsi="Arial"/>
                <w:sz w:val="16"/>
                <w:szCs w:val="16"/>
                <w:color w:val="auto"/>
              </w:rPr>
              <w:t>Vest at the end of three years</w:t>
            </w:r>
          </w:p>
        </w:tc>
      </w:tr>
      <w:tr>
        <w:trPr>
          <w:trHeight w:val="216"/>
        </w:trPr>
        <w:tc>
          <w:tcPr>
            <w:tcW w:w="1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Arial" w:cs="Arial" w:eastAsia="Arial" w:hAnsi="Arial"/>
                <w:sz w:val="16"/>
                <w:szCs w:val="16"/>
                <w:color w:val="auto"/>
              </w:rPr>
              <w:t>accumulation</w:t>
            </w:r>
          </w:p>
        </w:tc>
        <w:tc>
          <w:tcPr>
            <w:tcW w:w="16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257"/>
        </w:trPr>
        <w:tc>
          <w:tcPr>
            <w:tcW w:w="1580" w:type="dxa"/>
            <w:vAlign w:val="bottom"/>
            <w:shd w:val="clear" w:color="auto" w:fill="CDDAE6"/>
          </w:tcPr>
          <w:p>
            <w:pPr>
              <w:ind w:left="40"/>
              <w:spacing w:after="0"/>
              <w:rPr>
                <w:sz w:val="20"/>
                <w:szCs w:val="20"/>
                <w:color w:val="auto"/>
              </w:rPr>
            </w:pPr>
            <w:r>
              <w:rPr>
                <w:rFonts w:ascii="Arial" w:cs="Arial" w:eastAsia="Arial" w:hAnsi="Arial"/>
                <w:sz w:val="16"/>
                <w:szCs w:val="16"/>
                <w:color w:val="auto"/>
              </w:rPr>
              <w:t>Performance Awards</w:t>
            </w:r>
          </w:p>
        </w:tc>
        <w:tc>
          <w:tcPr>
            <w:tcW w:w="680" w:type="dxa"/>
            <w:vAlign w:val="bottom"/>
            <w:shd w:val="clear" w:color="auto" w:fill="CDDAE6"/>
          </w:tcPr>
          <w:p>
            <w:pPr>
              <w:jc w:val="center"/>
              <w:spacing w:after="0"/>
              <w:rPr>
                <w:sz w:val="20"/>
                <w:szCs w:val="20"/>
                <w:color w:val="auto"/>
              </w:rPr>
            </w:pPr>
            <w:r>
              <w:rPr>
                <w:rFonts w:ascii="Arial" w:cs="Arial" w:eastAsia="Arial" w:hAnsi="Arial"/>
                <w:sz w:val="16"/>
                <w:szCs w:val="16"/>
                <w:color w:val="auto"/>
                <w:w w:val="93"/>
              </w:rPr>
              <w:t>40%</w:t>
            </w:r>
          </w:p>
        </w:tc>
        <w:tc>
          <w:tcPr>
            <w:tcW w:w="200" w:type="dxa"/>
            <w:vAlign w:val="bottom"/>
            <w:shd w:val="clear" w:color="auto" w:fill="CDDAE6"/>
          </w:tcPr>
          <w:p>
            <w:pPr>
              <w:ind w:left="80"/>
              <w:spacing w:after="0"/>
              <w:rPr>
                <w:sz w:val="20"/>
                <w:szCs w:val="20"/>
                <w:color w:val="auto"/>
              </w:rPr>
            </w:pPr>
            <w:r>
              <w:rPr>
                <w:rFonts w:ascii="Arial" w:cs="Arial" w:eastAsia="Arial" w:hAnsi="Arial"/>
                <w:sz w:val="16"/>
                <w:szCs w:val="16"/>
                <w:color w:val="auto"/>
              </w:rPr>
              <w:t>•</w:t>
            </w:r>
          </w:p>
        </w:tc>
        <w:tc>
          <w:tcPr>
            <w:tcW w:w="2420" w:type="dxa"/>
            <w:vAlign w:val="bottom"/>
            <w:shd w:val="clear" w:color="auto" w:fill="CDDAE6"/>
          </w:tcPr>
          <w:p>
            <w:pPr>
              <w:ind w:left="60"/>
              <w:spacing w:after="0"/>
              <w:rPr>
                <w:sz w:val="20"/>
                <w:szCs w:val="20"/>
                <w:color w:val="auto"/>
              </w:rPr>
            </w:pPr>
            <w:r>
              <w:rPr>
                <w:rFonts w:ascii="Arial" w:cs="Arial" w:eastAsia="Arial" w:hAnsi="Arial"/>
                <w:sz w:val="16"/>
                <w:szCs w:val="16"/>
                <w:color w:val="auto"/>
              </w:rPr>
              <w:t>Stock price appreciation</w:t>
            </w:r>
          </w:p>
        </w:tc>
        <w:tc>
          <w:tcPr>
            <w:tcW w:w="160" w:type="dxa"/>
            <w:vAlign w:val="bottom"/>
            <w:shd w:val="clear" w:color="auto" w:fill="CDDAE6"/>
          </w:tcPr>
          <w:p>
            <w:pPr>
              <w:ind w:left="40"/>
              <w:spacing w:after="0"/>
              <w:rPr>
                <w:sz w:val="20"/>
                <w:szCs w:val="20"/>
                <w:color w:val="auto"/>
              </w:rPr>
            </w:pPr>
            <w:r>
              <w:rPr>
                <w:rFonts w:ascii="Arial" w:cs="Arial" w:eastAsia="Arial" w:hAnsi="Arial"/>
                <w:sz w:val="16"/>
                <w:szCs w:val="16"/>
                <w:color w:val="auto"/>
              </w:rPr>
              <w:t>•</w:t>
            </w:r>
          </w:p>
        </w:tc>
        <w:tc>
          <w:tcPr>
            <w:tcW w:w="4520" w:type="dxa"/>
            <w:vAlign w:val="bottom"/>
            <w:shd w:val="clear" w:color="auto" w:fill="CDDAE6"/>
          </w:tcPr>
          <w:p>
            <w:pPr>
              <w:ind w:left="60"/>
              <w:spacing w:after="0"/>
              <w:rPr>
                <w:sz w:val="20"/>
                <w:szCs w:val="20"/>
                <w:color w:val="auto"/>
              </w:rPr>
            </w:pPr>
            <w:r>
              <w:rPr>
                <w:rFonts w:ascii="Arial" w:cs="Arial" w:eastAsia="Arial" w:hAnsi="Arial"/>
                <w:sz w:val="16"/>
                <w:szCs w:val="16"/>
                <w:color w:val="auto"/>
                <w:w w:val="98"/>
              </w:rPr>
              <w:t>50% Performance Cash: vests at the end of a three-year period</w:t>
            </w:r>
          </w:p>
        </w:tc>
      </w:tr>
      <w:tr>
        <w:trPr>
          <w:trHeight w:val="203"/>
        </w:trPr>
        <w:tc>
          <w:tcPr>
            <w:tcW w:w="1580" w:type="dxa"/>
            <w:vAlign w:val="bottom"/>
            <w:shd w:val="clear" w:color="auto" w:fill="CDDAE6"/>
          </w:tcPr>
          <w:p>
            <w:pPr>
              <w:spacing w:after="0"/>
              <w:rPr>
                <w:sz w:val="17"/>
                <w:szCs w:val="17"/>
                <w:color w:val="auto"/>
              </w:rPr>
            </w:pPr>
          </w:p>
        </w:tc>
        <w:tc>
          <w:tcPr>
            <w:tcW w:w="680" w:type="dxa"/>
            <w:vAlign w:val="bottom"/>
            <w:shd w:val="clear" w:color="auto" w:fill="CDDAE6"/>
          </w:tcPr>
          <w:p>
            <w:pPr>
              <w:spacing w:after="0"/>
              <w:rPr>
                <w:sz w:val="17"/>
                <w:szCs w:val="17"/>
                <w:color w:val="auto"/>
              </w:rPr>
            </w:pPr>
          </w:p>
        </w:tc>
        <w:tc>
          <w:tcPr>
            <w:tcW w:w="2620" w:type="dxa"/>
            <w:vAlign w:val="bottom"/>
            <w:gridSpan w:val="2"/>
            <w:shd w:val="clear" w:color="auto" w:fill="CDDAE6"/>
          </w:tcPr>
          <w:p>
            <w:pPr>
              <w:ind w:left="80"/>
              <w:spacing w:after="0"/>
              <w:rPr>
                <w:sz w:val="20"/>
                <w:szCs w:val="20"/>
                <w:color w:val="auto"/>
              </w:rPr>
            </w:pPr>
            <w:r>
              <w:rPr>
                <w:rFonts w:ascii="Arial" w:cs="Arial" w:eastAsia="Arial" w:hAnsi="Arial"/>
                <w:sz w:val="16"/>
                <w:szCs w:val="16"/>
                <w:color w:val="auto"/>
              </w:rPr>
              <w:t>•  Stock ownership and capital</w:t>
            </w:r>
          </w:p>
        </w:tc>
        <w:tc>
          <w:tcPr>
            <w:tcW w:w="160" w:type="dxa"/>
            <w:vAlign w:val="bottom"/>
            <w:shd w:val="clear" w:color="auto" w:fill="CDDAE6"/>
          </w:tcPr>
          <w:p>
            <w:pPr>
              <w:spacing w:after="0"/>
              <w:rPr>
                <w:sz w:val="17"/>
                <w:szCs w:val="17"/>
                <w:color w:val="auto"/>
              </w:rPr>
            </w:pPr>
          </w:p>
        </w:tc>
        <w:tc>
          <w:tcPr>
            <w:tcW w:w="4520" w:type="dxa"/>
            <w:vAlign w:val="bottom"/>
            <w:shd w:val="clear" w:color="auto" w:fill="CDDAE6"/>
          </w:tcPr>
          <w:p>
            <w:pPr>
              <w:ind w:left="60"/>
              <w:spacing w:after="0"/>
              <w:rPr>
                <w:sz w:val="20"/>
                <w:szCs w:val="20"/>
                <w:color w:val="auto"/>
              </w:rPr>
            </w:pPr>
            <w:r>
              <w:rPr>
                <w:rFonts w:ascii="Arial" w:cs="Arial" w:eastAsia="Arial" w:hAnsi="Arial"/>
                <w:sz w:val="16"/>
                <w:szCs w:val="16"/>
                <w:color w:val="auto"/>
                <w:w w:val="98"/>
              </w:rPr>
              <w:t>based on TSR relative to performance peer group and is paid in</w:t>
            </w:r>
          </w:p>
        </w:tc>
      </w:tr>
      <w:tr>
        <w:trPr>
          <w:trHeight w:val="243"/>
        </w:trPr>
        <w:tc>
          <w:tcPr>
            <w:tcW w:w="1580" w:type="dxa"/>
            <w:vAlign w:val="bottom"/>
            <w:shd w:val="clear" w:color="auto" w:fill="CDDAE6"/>
          </w:tcPr>
          <w:p>
            <w:pPr>
              <w:spacing w:after="0"/>
              <w:rPr>
                <w:sz w:val="21"/>
                <w:szCs w:val="21"/>
                <w:color w:val="auto"/>
              </w:rPr>
            </w:pPr>
          </w:p>
        </w:tc>
        <w:tc>
          <w:tcPr>
            <w:tcW w:w="680" w:type="dxa"/>
            <w:vAlign w:val="bottom"/>
            <w:shd w:val="clear" w:color="auto" w:fill="CDDAE6"/>
          </w:tcPr>
          <w:p>
            <w:pPr>
              <w:spacing w:after="0"/>
              <w:rPr>
                <w:sz w:val="21"/>
                <w:szCs w:val="21"/>
                <w:color w:val="auto"/>
              </w:rPr>
            </w:pPr>
          </w:p>
        </w:tc>
        <w:tc>
          <w:tcPr>
            <w:tcW w:w="200" w:type="dxa"/>
            <w:vAlign w:val="bottom"/>
            <w:shd w:val="clear" w:color="auto" w:fill="CDDAE6"/>
          </w:tcPr>
          <w:p>
            <w:pPr>
              <w:spacing w:after="0"/>
              <w:rPr>
                <w:sz w:val="21"/>
                <w:szCs w:val="21"/>
                <w:color w:val="auto"/>
              </w:rPr>
            </w:pPr>
          </w:p>
        </w:tc>
        <w:tc>
          <w:tcPr>
            <w:tcW w:w="2420" w:type="dxa"/>
            <w:vAlign w:val="bottom"/>
            <w:shd w:val="clear" w:color="auto" w:fill="CDDAE6"/>
          </w:tcPr>
          <w:p>
            <w:pPr>
              <w:ind w:left="60"/>
              <w:spacing w:after="0"/>
              <w:rPr>
                <w:sz w:val="20"/>
                <w:szCs w:val="20"/>
                <w:color w:val="auto"/>
              </w:rPr>
            </w:pPr>
            <w:r>
              <w:rPr>
                <w:rFonts w:ascii="Arial" w:cs="Arial" w:eastAsia="Arial" w:hAnsi="Arial"/>
                <w:sz w:val="16"/>
                <w:szCs w:val="16"/>
                <w:color w:val="auto"/>
                <w:w w:val="93"/>
              </w:rPr>
              <w:t>accumulation for performance units</w:t>
            </w:r>
          </w:p>
        </w:tc>
        <w:tc>
          <w:tcPr>
            <w:tcW w:w="160" w:type="dxa"/>
            <w:vAlign w:val="bottom"/>
            <w:shd w:val="clear" w:color="auto" w:fill="CDDAE6"/>
          </w:tcPr>
          <w:p>
            <w:pPr>
              <w:spacing w:after="0"/>
              <w:rPr>
                <w:sz w:val="21"/>
                <w:szCs w:val="21"/>
                <w:color w:val="auto"/>
              </w:rPr>
            </w:pPr>
          </w:p>
        </w:tc>
        <w:tc>
          <w:tcPr>
            <w:tcW w:w="4520" w:type="dxa"/>
            <w:vAlign w:val="bottom"/>
            <w:shd w:val="clear" w:color="auto" w:fill="CDDAE6"/>
          </w:tcPr>
          <w:p>
            <w:pPr>
              <w:ind w:left="60"/>
              <w:spacing w:after="0"/>
              <w:rPr>
                <w:sz w:val="20"/>
                <w:szCs w:val="20"/>
                <w:color w:val="auto"/>
              </w:rPr>
            </w:pPr>
            <w:r>
              <w:rPr>
                <w:rFonts w:ascii="Arial" w:cs="Arial" w:eastAsia="Arial" w:hAnsi="Arial"/>
                <w:sz w:val="16"/>
                <w:szCs w:val="16"/>
                <w:color w:val="auto"/>
              </w:rPr>
              <w:t>cash</w:t>
            </w:r>
          </w:p>
        </w:tc>
      </w:tr>
      <w:tr>
        <w:trPr>
          <w:trHeight w:val="203"/>
        </w:trPr>
        <w:tc>
          <w:tcPr>
            <w:tcW w:w="1580" w:type="dxa"/>
            <w:vAlign w:val="bottom"/>
            <w:shd w:val="clear" w:color="auto" w:fill="CDDAE6"/>
          </w:tcPr>
          <w:p>
            <w:pPr>
              <w:spacing w:after="0"/>
              <w:rPr>
                <w:sz w:val="17"/>
                <w:szCs w:val="17"/>
                <w:color w:val="auto"/>
              </w:rPr>
            </w:pPr>
          </w:p>
        </w:tc>
        <w:tc>
          <w:tcPr>
            <w:tcW w:w="680" w:type="dxa"/>
            <w:vAlign w:val="bottom"/>
            <w:shd w:val="clear" w:color="auto" w:fill="CDDAE6"/>
          </w:tcPr>
          <w:p>
            <w:pPr>
              <w:spacing w:after="0"/>
              <w:rPr>
                <w:sz w:val="17"/>
                <w:szCs w:val="17"/>
                <w:color w:val="auto"/>
              </w:rPr>
            </w:pPr>
          </w:p>
        </w:tc>
        <w:tc>
          <w:tcPr>
            <w:tcW w:w="2780" w:type="dxa"/>
            <w:vAlign w:val="bottom"/>
            <w:gridSpan w:val="3"/>
            <w:shd w:val="clear" w:color="auto" w:fill="CDDAE6"/>
          </w:tcPr>
          <w:p>
            <w:pPr>
              <w:ind w:left="80"/>
              <w:spacing w:after="0" w:line="202" w:lineRule="exact"/>
              <w:rPr>
                <w:sz w:val="20"/>
                <w:szCs w:val="20"/>
                <w:color w:val="auto"/>
              </w:rPr>
            </w:pPr>
            <w:r>
              <w:rPr>
                <w:rFonts w:ascii="Arial" w:cs="Arial" w:eastAsia="Arial" w:hAnsi="Arial"/>
                <w:sz w:val="13"/>
                <w:szCs w:val="13"/>
                <w:color w:val="auto"/>
              </w:rPr>
              <w:t xml:space="preserve">•  Motivates achievement of long-term </w:t>
            </w:r>
            <w:r>
              <w:rPr>
                <w:rFonts w:ascii="Arial" w:cs="Arial" w:eastAsia="Arial" w:hAnsi="Arial"/>
                <w:sz w:val="23"/>
                <w:szCs w:val="23"/>
                <w:color w:val="auto"/>
                <w:vertAlign w:val="superscript"/>
              </w:rPr>
              <w:t>•</w:t>
            </w:r>
          </w:p>
        </w:tc>
        <w:tc>
          <w:tcPr>
            <w:tcW w:w="4520" w:type="dxa"/>
            <w:vAlign w:val="bottom"/>
            <w:shd w:val="clear" w:color="auto" w:fill="CDDAE6"/>
          </w:tcPr>
          <w:p>
            <w:pPr>
              <w:ind w:left="60"/>
              <w:spacing w:after="0"/>
              <w:rPr>
                <w:sz w:val="20"/>
                <w:szCs w:val="20"/>
                <w:color w:val="auto"/>
              </w:rPr>
            </w:pPr>
            <w:r>
              <w:rPr>
                <w:rFonts w:ascii="Arial" w:cs="Arial" w:eastAsia="Arial" w:hAnsi="Arial"/>
                <w:sz w:val="16"/>
                <w:szCs w:val="16"/>
                <w:color w:val="auto"/>
              </w:rPr>
              <w:t>50% Performance Units: vest at the end of a three-year period</w:t>
            </w:r>
          </w:p>
        </w:tc>
      </w:tr>
      <w:tr>
        <w:trPr>
          <w:trHeight w:val="203"/>
        </w:trPr>
        <w:tc>
          <w:tcPr>
            <w:tcW w:w="1580" w:type="dxa"/>
            <w:vAlign w:val="bottom"/>
            <w:shd w:val="clear" w:color="auto" w:fill="CDDAE6"/>
          </w:tcPr>
          <w:p>
            <w:pPr>
              <w:spacing w:after="0"/>
              <w:rPr>
                <w:sz w:val="17"/>
                <w:szCs w:val="17"/>
                <w:color w:val="auto"/>
              </w:rPr>
            </w:pPr>
          </w:p>
        </w:tc>
        <w:tc>
          <w:tcPr>
            <w:tcW w:w="680" w:type="dxa"/>
            <w:vAlign w:val="bottom"/>
            <w:shd w:val="clear" w:color="auto" w:fill="CDDAE6"/>
          </w:tcPr>
          <w:p>
            <w:pPr>
              <w:spacing w:after="0"/>
              <w:rPr>
                <w:sz w:val="17"/>
                <w:szCs w:val="17"/>
                <w:color w:val="auto"/>
              </w:rPr>
            </w:pPr>
          </w:p>
        </w:tc>
        <w:tc>
          <w:tcPr>
            <w:tcW w:w="200" w:type="dxa"/>
            <w:vAlign w:val="bottom"/>
            <w:shd w:val="clear" w:color="auto" w:fill="CDDAE6"/>
          </w:tcPr>
          <w:p>
            <w:pPr>
              <w:spacing w:after="0"/>
              <w:rPr>
                <w:sz w:val="17"/>
                <w:szCs w:val="17"/>
                <w:color w:val="auto"/>
              </w:rPr>
            </w:pPr>
          </w:p>
        </w:tc>
        <w:tc>
          <w:tcPr>
            <w:tcW w:w="2420" w:type="dxa"/>
            <w:vAlign w:val="bottom"/>
            <w:shd w:val="clear" w:color="auto" w:fill="CDDAE6"/>
          </w:tcPr>
          <w:p>
            <w:pPr>
              <w:ind w:left="60"/>
              <w:spacing w:after="0"/>
              <w:rPr>
                <w:sz w:val="20"/>
                <w:szCs w:val="20"/>
                <w:color w:val="auto"/>
              </w:rPr>
            </w:pPr>
            <w:r>
              <w:rPr>
                <w:rFonts w:ascii="Arial" w:cs="Arial" w:eastAsia="Arial" w:hAnsi="Arial"/>
                <w:sz w:val="16"/>
                <w:szCs w:val="16"/>
                <w:color w:val="auto"/>
              </w:rPr>
              <w:t>business strategy</w:t>
            </w:r>
          </w:p>
        </w:tc>
        <w:tc>
          <w:tcPr>
            <w:tcW w:w="160" w:type="dxa"/>
            <w:vAlign w:val="bottom"/>
            <w:shd w:val="clear" w:color="auto" w:fill="CDDAE6"/>
          </w:tcPr>
          <w:p>
            <w:pPr>
              <w:spacing w:after="0"/>
              <w:rPr>
                <w:sz w:val="17"/>
                <w:szCs w:val="17"/>
                <w:color w:val="auto"/>
              </w:rPr>
            </w:pPr>
          </w:p>
        </w:tc>
        <w:tc>
          <w:tcPr>
            <w:tcW w:w="4520" w:type="dxa"/>
            <w:vAlign w:val="bottom"/>
            <w:shd w:val="clear" w:color="auto" w:fill="CDDAE6"/>
          </w:tcPr>
          <w:p>
            <w:pPr>
              <w:ind w:left="60"/>
              <w:spacing w:after="0"/>
              <w:rPr>
                <w:sz w:val="20"/>
                <w:szCs w:val="20"/>
                <w:color w:val="auto"/>
              </w:rPr>
            </w:pPr>
            <w:r>
              <w:rPr>
                <w:rFonts w:ascii="Arial" w:cs="Arial" w:eastAsia="Arial" w:hAnsi="Arial"/>
                <w:sz w:val="16"/>
                <w:szCs w:val="16"/>
                <w:color w:val="auto"/>
                <w:w w:val="99"/>
              </w:rPr>
              <w:t>based on EPS performance and are paid in shares of Common</w:t>
            </w:r>
          </w:p>
        </w:tc>
      </w:tr>
      <w:tr>
        <w:trPr>
          <w:trHeight w:val="203"/>
        </w:trPr>
        <w:tc>
          <w:tcPr>
            <w:tcW w:w="1580" w:type="dxa"/>
            <w:vAlign w:val="bottom"/>
            <w:shd w:val="clear" w:color="auto" w:fill="CDDAE6"/>
          </w:tcPr>
          <w:p>
            <w:pPr>
              <w:spacing w:after="0"/>
              <w:rPr>
                <w:sz w:val="17"/>
                <w:szCs w:val="17"/>
                <w:color w:val="auto"/>
              </w:rPr>
            </w:pPr>
          </w:p>
        </w:tc>
        <w:tc>
          <w:tcPr>
            <w:tcW w:w="680" w:type="dxa"/>
            <w:vAlign w:val="bottom"/>
            <w:shd w:val="clear" w:color="auto" w:fill="CDDAE6"/>
          </w:tcPr>
          <w:p>
            <w:pPr>
              <w:spacing w:after="0"/>
              <w:rPr>
                <w:sz w:val="17"/>
                <w:szCs w:val="17"/>
                <w:color w:val="auto"/>
              </w:rPr>
            </w:pPr>
          </w:p>
        </w:tc>
        <w:tc>
          <w:tcPr>
            <w:tcW w:w="200" w:type="dxa"/>
            <w:vAlign w:val="bottom"/>
            <w:shd w:val="clear" w:color="auto" w:fill="CDDAE6"/>
          </w:tcPr>
          <w:p>
            <w:pPr>
              <w:spacing w:after="0"/>
              <w:rPr>
                <w:sz w:val="17"/>
                <w:szCs w:val="17"/>
                <w:color w:val="auto"/>
              </w:rPr>
            </w:pPr>
          </w:p>
        </w:tc>
        <w:tc>
          <w:tcPr>
            <w:tcW w:w="2420" w:type="dxa"/>
            <w:vAlign w:val="bottom"/>
            <w:shd w:val="clear" w:color="auto" w:fill="CDDAE6"/>
          </w:tcPr>
          <w:p>
            <w:pPr>
              <w:spacing w:after="0"/>
              <w:rPr>
                <w:sz w:val="17"/>
                <w:szCs w:val="17"/>
                <w:color w:val="auto"/>
              </w:rPr>
            </w:pPr>
          </w:p>
        </w:tc>
        <w:tc>
          <w:tcPr>
            <w:tcW w:w="160" w:type="dxa"/>
            <w:vAlign w:val="bottom"/>
            <w:shd w:val="clear" w:color="auto" w:fill="CDDAE6"/>
          </w:tcPr>
          <w:p>
            <w:pPr>
              <w:spacing w:after="0"/>
              <w:rPr>
                <w:sz w:val="17"/>
                <w:szCs w:val="17"/>
                <w:color w:val="auto"/>
              </w:rPr>
            </w:pPr>
          </w:p>
        </w:tc>
        <w:tc>
          <w:tcPr>
            <w:tcW w:w="4520" w:type="dxa"/>
            <w:vAlign w:val="bottom"/>
            <w:shd w:val="clear" w:color="auto" w:fill="CDDAE6"/>
          </w:tcPr>
          <w:p>
            <w:pPr>
              <w:ind w:left="60"/>
              <w:spacing w:after="0"/>
              <w:rPr>
                <w:sz w:val="20"/>
                <w:szCs w:val="20"/>
                <w:color w:val="auto"/>
              </w:rPr>
            </w:pPr>
            <w:r>
              <w:rPr>
                <w:rFonts w:ascii="Arial" w:cs="Arial" w:eastAsia="Arial" w:hAnsi="Arial"/>
                <w:sz w:val="16"/>
                <w:szCs w:val="16"/>
                <w:color w:val="auto"/>
                <w:w w:val="93"/>
              </w:rPr>
              <w:t>Stock (together with accrued cash dividends on shares of Common</w:t>
            </w:r>
          </w:p>
        </w:tc>
      </w:tr>
      <w:tr>
        <w:trPr>
          <w:trHeight w:val="206"/>
        </w:trPr>
        <w:tc>
          <w:tcPr>
            <w:tcW w:w="1580" w:type="dxa"/>
            <w:vAlign w:val="bottom"/>
            <w:shd w:val="clear" w:color="auto" w:fill="CDDAE6"/>
          </w:tcPr>
          <w:p>
            <w:pPr>
              <w:spacing w:after="0"/>
              <w:rPr>
                <w:sz w:val="17"/>
                <w:szCs w:val="17"/>
                <w:color w:val="auto"/>
              </w:rPr>
            </w:pPr>
          </w:p>
        </w:tc>
        <w:tc>
          <w:tcPr>
            <w:tcW w:w="680" w:type="dxa"/>
            <w:vAlign w:val="bottom"/>
            <w:shd w:val="clear" w:color="auto" w:fill="CDDAE6"/>
          </w:tcPr>
          <w:p>
            <w:pPr>
              <w:spacing w:after="0"/>
              <w:rPr>
                <w:sz w:val="17"/>
                <w:szCs w:val="17"/>
                <w:color w:val="auto"/>
              </w:rPr>
            </w:pPr>
          </w:p>
        </w:tc>
        <w:tc>
          <w:tcPr>
            <w:tcW w:w="200" w:type="dxa"/>
            <w:vAlign w:val="bottom"/>
            <w:shd w:val="clear" w:color="auto" w:fill="CDDAE6"/>
          </w:tcPr>
          <w:p>
            <w:pPr>
              <w:spacing w:after="0"/>
              <w:rPr>
                <w:sz w:val="17"/>
                <w:szCs w:val="17"/>
                <w:color w:val="auto"/>
              </w:rPr>
            </w:pPr>
          </w:p>
        </w:tc>
        <w:tc>
          <w:tcPr>
            <w:tcW w:w="2420" w:type="dxa"/>
            <w:vAlign w:val="bottom"/>
            <w:shd w:val="clear" w:color="auto" w:fill="CDDAE6"/>
          </w:tcPr>
          <w:p>
            <w:pPr>
              <w:spacing w:after="0"/>
              <w:rPr>
                <w:sz w:val="17"/>
                <w:szCs w:val="17"/>
                <w:color w:val="auto"/>
              </w:rPr>
            </w:pPr>
          </w:p>
        </w:tc>
        <w:tc>
          <w:tcPr>
            <w:tcW w:w="160" w:type="dxa"/>
            <w:vAlign w:val="bottom"/>
            <w:shd w:val="clear" w:color="auto" w:fill="CDDAE6"/>
          </w:tcPr>
          <w:p>
            <w:pPr>
              <w:spacing w:after="0"/>
              <w:rPr>
                <w:sz w:val="17"/>
                <w:szCs w:val="17"/>
                <w:color w:val="auto"/>
              </w:rPr>
            </w:pPr>
          </w:p>
        </w:tc>
        <w:tc>
          <w:tcPr>
            <w:tcW w:w="4520" w:type="dxa"/>
            <w:vAlign w:val="bottom"/>
            <w:shd w:val="clear" w:color="auto" w:fill="CDDAE6"/>
          </w:tcPr>
          <w:p>
            <w:pPr>
              <w:ind w:left="60"/>
              <w:spacing w:after="0"/>
              <w:rPr>
                <w:sz w:val="20"/>
                <w:szCs w:val="20"/>
                <w:color w:val="auto"/>
              </w:rPr>
            </w:pPr>
            <w:r>
              <w:rPr>
                <w:rFonts w:ascii="Arial" w:cs="Arial" w:eastAsia="Arial" w:hAnsi="Arial"/>
                <w:sz w:val="16"/>
                <w:szCs w:val="16"/>
                <w:color w:val="auto"/>
              </w:rPr>
              <w:t>Stock earned)</w:t>
            </w:r>
          </w:p>
        </w:tc>
      </w:tr>
      <w:tr>
        <w:trPr>
          <w:trHeight w:val="239"/>
        </w:trPr>
        <w:tc>
          <w:tcPr>
            <w:tcW w:w="1580" w:type="dxa"/>
            <w:vAlign w:val="bottom"/>
            <w:shd w:val="clear" w:color="auto" w:fill="CDDAE6"/>
          </w:tcPr>
          <w:p>
            <w:pPr>
              <w:spacing w:after="0"/>
              <w:rPr>
                <w:sz w:val="20"/>
                <w:szCs w:val="20"/>
                <w:color w:val="auto"/>
              </w:rPr>
            </w:pPr>
          </w:p>
        </w:tc>
        <w:tc>
          <w:tcPr>
            <w:tcW w:w="680" w:type="dxa"/>
            <w:vAlign w:val="bottom"/>
            <w:shd w:val="clear" w:color="auto" w:fill="CDDAE6"/>
          </w:tcPr>
          <w:p>
            <w:pPr>
              <w:spacing w:after="0"/>
              <w:rPr>
                <w:sz w:val="20"/>
                <w:szCs w:val="20"/>
                <w:color w:val="auto"/>
              </w:rPr>
            </w:pPr>
          </w:p>
        </w:tc>
        <w:tc>
          <w:tcPr>
            <w:tcW w:w="200" w:type="dxa"/>
            <w:vAlign w:val="bottom"/>
            <w:shd w:val="clear" w:color="auto" w:fill="CDDAE6"/>
          </w:tcPr>
          <w:p>
            <w:pPr>
              <w:spacing w:after="0"/>
              <w:rPr>
                <w:sz w:val="20"/>
                <w:szCs w:val="20"/>
                <w:color w:val="auto"/>
              </w:rPr>
            </w:pPr>
          </w:p>
        </w:tc>
        <w:tc>
          <w:tcPr>
            <w:tcW w:w="2420" w:type="dxa"/>
            <w:vAlign w:val="bottom"/>
            <w:shd w:val="clear" w:color="auto" w:fill="CDDAE6"/>
          </w:tcPr>
          <w:p>
            <w:pPr>
              <w:spacing w:after="0"/>
              <w:rPr>
                <w:sz w:val="20"/>
                <w:szCs w:val="20"/>
                <w:color w:val="auto"/>
              </w:rPr>
            </w:pPr>
          </w:p>
        </w:tc>
        <w:tc>
          <w:tcPr>
            <w:tcW w:w="160" w:type="dxa"/>
            <w:vAlign w:val="bottom"/>
            <w:shd w:val="clear" w:color="auto" w:fill="CDDAE6"/>
          </w:tcPr>
          <w:p>
            <w:pPr>
              <w:ind w:left="40"/>
              <w:spacing w:after="0"/>
              <w:rPr>
                <w:sz w:val="20"/>
                <w:szCs w:val="20"/>
                <w:color w:val="auto"/>
              </w:rPr>
            </w:pPr>
            <w:r>
              <w:rPr>
                <w:rFonts w:ascii="Arial" w:cs="Arial" w:eastAsia="Arial" w:hAnsi="Arial"/>
                <w:sz w:val="16"/>
                <w:szCs w:val="16"/>
                <w:color w:val="auto"/>
              </w:rPr>
              <w:t>•</w:t>
            </w:r>
          </w:p>
        </w:tc>
        <w:tc>
          <w:tcPr>
            <w:tcW w:w="4520" w:type="dxa"/>
            <w:vAlign w:val="bottom"/>
            <w:shd w:val="clear" w:color="auto" w:fill="CDDAE6"/>
          </w:tcPr>
          <w:p>
            <w:pPr>
              <w:ind w:left="60"/>
              <w:spacing w:after="0"/>
              <w:rPr>
                <w:sz w:val="20"/>
                <w:szCs w:val="20"/>
                <w:color w:val="auto"/>
              </w:rPr>
            </w:pPr>
            <w:r>
              <w:rPr>
                <w:rFonts w:ascii="Arial" w:cs="Arial" w:eastAsia="Arial" w:hAnsi="Arial"/>
                <w:sz w:val="16"/>
                <w:szCs w:val="16"/>
                <w:color w:val="auto"/>
                <w:w w:val="99"/>
              </w:rPr>
              <w:t>The actual percentages of the awards that vest range from 0 to</w:t>
            </w:r>
          </w:p>
        </w:tc>
      </w:tr>
      <w:tr>
        <w:trPr>
          <w:trHeight w:val="219"/>
        </w:trPr>
        <w:tc>
          <w:tcPr>
            <w:tcW w:w="1580" w:type="dxa"/>
            <w:vAlign w:val="bottom"/>
            <w:tcBorders>
              <w:bottom w:val="single" w:sz="8" w:color="005C7D"/>
            </w:tcBorders>
            <w:shd w:val="clear" w:color="auto" w:fill="CDDAE6"/>
          </w:tcPr>
          <w:p>
            <w:pPr>
              <w:spacing w:after="0"/>
              <w:rPr>
                <w:sz w:val="19"/>
                <w:szCs w:val="19"/>
                <w:color w:val="auto"/>
              </w:rPr>
            </w:pPr>
          </w:p>
        </w:tc>
        <w:tc>
          <w:tcPr>
            <w:tcW w:w="680" w:type="dxa"/>
            <w:vAlign w:val="bottom"/>
            <w:tcBorders>
              <w:bottom w:val="single" w:sz="8" w:color="005C7D"/>
            </w:tcBorders>
            <w:shd w:val="clear" w:color="auto" w:fill="CDDAE6"/>
          </w:tcPr>
          <w:p>
            <w:pPr>
              <w:spacing w:after="0"/>
              <w:rPr>
                <w:sz w:val="19"/>
                <w:szCs w:val="19"/>
                <w:color w:val="auto"/>
              </w:rPr>
            </w:pPr>
          </w:p>
        </w:tc>
        <w:tc>
          <w:tcPr>
            <w:tcW w:w="200" w:type="dxa"/>
            <w:vAlign w:val="bottom"/>
            <w:tcBorders>
              <w:bottom w:val="single" w:sz="8" w:color="005C7D"/>
            </w:tcBorders>
            <w:shd w:val="clear" w:color="auto" w:fill="CDDAE6"/>
          </w:tcPr>
          <w:p>
            <w:pPr>
              <w:spacing w:after="0"/>
              <w:rPr>
                <w:sz w:val="19"/>
                <w:szCs w:val="19"/>
                <w:color w:val="auto"/>
              </w:rPr>
            </w:pPr>
          </w:p>
        </w:tc>
        <w:tc>
          <w:tcPr>
            <w:tcW w:w="2420" w:type="dxa"/>
            <w:vAlign w:val="bottom"/>
            <w:tcBorders>
              <w:bottom w:val="single" w:sz="8" w:color="005C7D"/>
            </w:tcBorders>
            <w:shd w:val="clear" w:color="auto" w:fill="CDDAE6"/>
          </w:tcPr>
          <w:p>
            <w:pPr>
              <w:spacing w:after="0"/>
              <w:rPr>
                <w:sz w:val="19"/>
                <w:szCs w:val="19"/>
                <w:color w:val="auto"/>
              </w:rPr>
            </w:pPr>
          </w:p>
        </w:tc>
        <w:tc>
          <w:tcPr>
            <w:tcW w:w="160" w:type="dxa"/>
            <w:vAlign w:val="bottom"/>
            <w:tcBorders>
              <w:bottom w:val="single" w:sz="8" w:color="005C7D"/>
            </w:tcBorders>
            <w:shd w:val="clear" w:color="auto" w:fill="CDDAE6"/>
          </w:tcPr>
          <w:p>
            <w:pPr>
              <w:spacing w:after="0"/>
              <w:rPr>
                <w:sz w:val="19"/>
                <w:szCs w:val="19"/>
                <w:color w:val="auto"/>
              </w:rPr>
            </w:pPr>
          </w:p>
        </w:tc>
        <w:tc>
          <w:tcPr>
            <w:tcW w:w="4520" w:type="dxa"/>
            <w:vAlign w:val="bottom"/>
            <w:tcBorders>
              <w:bottom w:val="single" w:sz="8" w:color="005C7D"/>
            </w:tcBorders>
            <w:shd w:val="clear" w:color="auto" w:fill="CDDAE6"/>
          </w:tcPr>
          <w:p>
            <w:pPr>
              <w:ind w:left="60"/>
              <w:spacing w:after="0"/>
              <w:rPr>
                <w:sz w:val="20"/>
                <w:szCs w:val="20"/>
                <w:color w:val="auto"/>
              </w:rPr>
            </w:pPr>
            <w:r>
              <w:rPr>
                <w:rFonts w:ascii="Arial" w:cs="Arial" w:eastAsia="Arial" w:hAnsi="Arial"/>
                <w:sz w:val="16"/>
                <w:szCs w:val="16"/>
                <w:color w:val="auto"/>
              </w:rPr>
              <w:t>200% of target, based on performance</w:t>
            </w:r>
          </w:p>
        </w:tc>
      </w:tr>
    </w:tbl>
    <w:p>
      <w:pPr>
        <w:spacing w:after="0" w:line="14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For purposes of allocating the total grant date target value of long-term incentives approved by the Committee in accordance with the weightings listed above, stock options are valued based on their grant date fair value for financial reporting purposes, RSUs are valued based on the total number of units awarded multiplied by the closing price of our Common Stock on the grant date, performance cash is valued based on the target dollar value at the time the award is made, and performance units are valued based on the target number of units awarded multiplied by the closing price of our Common Stock on the grant date.</w:t>
      </w:r>
    </w:p>
    <w:p>
      <w:pPr>
        <w:spacing w:after="0" w:line="199" w:lineRule="exact"/>
        <w:rPr>
          <w:sz w:val="20"/>
          <w:szCs w:val="20"/>
          <w:color w:val="auto"/>
        </w:rPr>
      </w:pPr>
    </w:p>
    <w:p>
      <w:pPr>
        <w:ind w:left="7820"/>
        <w:spacing w:after="0"/>
        <w:tabs>
          <w:tab w:leader="none" w:pos="932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6071870" cy="431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-107315</wp:posOffset>
            </wp:positionV>
            <wp:extent cx="163195" cy="154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9" w:name="page60"/>
    <w:bookmarkEnd w:id="59"/>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7"/>
        <w:spacing w:after="0"/>
        <w:rPr>
          <w:sz w:val="20"/>
          <w:szCs w:val="20"/>
          <w:color w:val="auto"/>
        </w:rPr>
      </w:pPr>
      <w:r>
        <w:rPr>
          <w:rFonts w:ascii="Arial" w:cs="Arial" w:eastAsia="Arial" w:hAnsi="Arial"/>
          <w:sz w:val="14"/>
          <w:szCs w:val="14"/>
          <w:color w:val="005C7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0718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2" w:lineRule="exact"/>
        <w:rPr>
          <w:sz w:val="20"/>
          <w:szCs w:val="20"/>
          <w:color w:val="auto"/>
        </w:rPr>
      </w:pPr>
    </w:p>
    <w:p>
      <w:pPr>
        <w:ind w:left="7" w:right="120"/>
        <w:spacing w:after="0" w:line="342" w:lineRule="auto"/>
        <w:rPr>
          <w:sz w:val="20"/>
          <w:szCs w:val="20"/>
          <w:color w:val="auto"/>
        </w:rPr>
      </w:pPr>
      <w:r>
        <w:rPr>
          <w:rFonts w:ascii="Arial" w:cs="Arial" w:eastAsia="Arial" w:hAnsi="Arial"/>
          <w:sz w:val="16"/>
          <w:szCs w:val="16"/>
          <w:i w:val="1"/>
          <w:iCs w:val="1"/>
          <w:color w:val="auto"/>
        </w:rPr>
        <w:t xml:space="preserve">2016 Grant Date Target Values for Long-Term Incentive Awards. </w:t>
      </w:r>
      <w:r>
        <w:rPr>
          <w:rFonts w:ascii="Arial" w:cs="Arial" w:eastAsia="Arial" w:hAnsi="Arial"/>
          <w:sz w:val="16"/>
          <w:szCs w:val="16"/>
          <w:color w:val="auto"/>
        </w:rPr>
        <w:t>In connection with determining the total grant date target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long-term incentives awarded to each named executive officer, the Committee primarily considered the following factors:</w:t>
      </w:r>
    </w:p>
    <w:p>
      <w:pPr>
        <w:spacing w:after="0" w:line="16" w:lineRule="exact"/>
        <w:rPr>
          <w:sz w:val="20"/>
          <w:szCs w:val="20"/>
          <w:color w:val="auto"/>
        </w:rPr>
      </w:pPr>
    </w:p>
    <w:p>
      <w:pPr>
        <w:ind w:left="707" w:right="320" w:hanging="356"/>
        <w:spacing w:after="0" w:line="277" w:lineRule="auto"/>
        <w:tabs>
          <w:tab w:leader="none" w:pos="707"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Competitive market median pay levels in the context of target pay as described in the section “Use of Market Data and Competitive Compensation Positioning” beginning on page </w:t>
      </w:r>
      <w:hyperlink w:anchor="page51">
        <w:r>
          <w:rPr>
            <w:rFonts w:ascii="Arial" w:cs="Arial" w:eastAsia="Arial" w:hAnsi="Arial"/>
            <w:sz w:val="18"/>
            <w:szCs w:val="18"/>
            <w:u w:val="single" w:color="auto"/>
            <w:color w:val="0000EE"/>
          </w:rPr>
          <w:t>45</w:t>
        </w:r>
      </w:hyperlink>
      <w:r>
        <w:rPr>
          <w:rFonts w:ascii="Arial" w:cs="Arial" w:eastAsia="Arial" w:hAnsi="Arial"/>
          <w:sz w:val="18"/>
          <w:szCs w:val="18"/>
          <w:color w:val="005C7D"/>
        </w:rPr>
        <w:t>;</w:t>
      </w:r>
    </w:p>
    <w:p>
      <w:pPr>
        <w:spacing w:after="0" w:line="62" w:lineRule="exact"/>
        <w:rPr>
          <w:rFonts w:ascii="Arial" w:cs="Arial" w:eastAsia="Arial" w:hAnsi="Arial"/>
          <w:sz w:val="18"/>
          <w:szCs w:val="18"/>
          <w:color w:val="auto"/>
        </w:rPr>
      </w:pPr>
    </w:p>
    <w:p>
      <w:pPr>
        <w:ind w:left="707" w:right="420" w:hanging="356"/>
        <w:spacing w:after="0" w:line="277" w:lineRule="auto"/>
        <w:tabs>
          <w:tab w:leader="none" w:pos="707" w:val="left"/>
        </w:tabs>
        <w:numPr>
          <w:ilvl w:val="0"/>
          <w:numId w:val="61"/>
        </w:numPr>
        <w:rPr>
          <w:rFonts w:ascii="Arial" w:cs="Arial" w:eastAsia="Arial" w:hAnsi="Arial"/>
          <w:sz w:val="18"/>
          <w:szCs w:val="18"/>
          <w:color w:val="005C7D"/>
        </w:rPr>
      </w:pPr>
      <w:r>
        <w:rPr>
          <w:rFonts w:ascii="Arial" w:cs="Arial" w:eastAsia="Arial" w:hAnsi="Arial"/>
          <w:sz w:val="18"/>
          <w:szCs w:val="18"/>
          <w:color w:val="auto"/>
        </w:rPr>
        <w:t>The scope of responsibility of the named executive officer relative to the other participants in the long-term incentive program;</w:t>
      </w:r>
    </w:p>
    <w:p>
      <w:pPr>
        <w:spacing w:after="0" w:line="62" w:lineRule="exact"/>
        <w:rPr>
          <w:rFonts w:ascii="Arial" w:cs="Arial" w:eastAsia="Arial" w:hAnsi="Arial"/>
          <w:sz w:val="18"/>
          <w:szCs w:val="18"/>
          <w:color w:val="005C7D"/>
        </w:rPr>
      </w:pPr>
    </w:p>
    <w:p>
      <w:pPr>
        <w:ind w:left="707" w:hanging="356"/>
        <w:spacing w:after="0" w:line="277" w:lineRule="auto"/>
        <w:tabs>
          <w:tab w:leader="none" w:pos="707" w:val="left"/>
        </w:tabs>
        <w:numPr>
          <w:ilvl w:val="0"/>
          <w:numId w:val="61"/>
        </w:numPr>
        <w:rPr>
          <w:rFonts w:ascii="Arial" w:cs="Arial" w:eastAsia="Arial" w:hAnsi="Arial"/>
          <w:sz w:val="18"/>
          <w:szCs w:val="18"/>
          <w:color w:val="005C7D"/>
        </w:rPr>
      </w:pPr>
      <w:r>
        <w:rPr>
          <w:rFonts w:ascii="Arial" w:cs="Arial" w:eastAsia="Arial" w:hAnsi="Arial"/>
          <w:sz w:val="18"/>
          <w:szCs w:val="18"/>
          <w:color w:val="auto"/>
        </w:rPr>
        <w:t>In the case of the named executive officers other than Mr. Strianese, the long-term incentive award recommendation of Mr. Strianese; and</w:t>
      </w:r>
    </w:p>
    <w:p>
      <w:pPr>
        <w:spacing w:after="0" w:line="62" w:lineRule="exact"/>
        <w:rPr>
          <w:rFonts w:ascii="Arial" w:cs="Arial" w:eastAsia="Arial" w:hAnsi="Arial"/>
          <w:sz w:val="18"/>
          <w:szCs w:val="18"/>
          <w:color w:val="005C7D"/>
        </w:rPr>
      </w:pPr>
    </w:p>
    <w:p>
      <w:pPr>
        <w:ind w:left="707" w:right="20" w:hanging="356"/>
        <w:spacing w:after="0" w:line="277" w:lineRule="auto"/>
        <w:tabs>
          <w:tab w:leader="none" w:pos="707" w:val="left"/>
        </w:tabs>
        <w:numPr>
          <w:ilvl w:val="0"/>
          <w:numId w:val="61"/>
        </w:numPr>
        <w:rPr>
          <w:rFonts w:ascii="Arial" w:cs="Arial" w:eastAsia="Arial" w:hAnsi="Arial"/>
          <w:sz w:val="18"/>
          <w:szCs w:val="18"/>
          <w:color w:val="005C7D"/>
        </w:rPr>
      </w:pPr>
      <w:r>
        <w:rPr>
          <w:rFonts w:ascii="Arial" w:cs="Arial" w:eastAsia="Arial" w:hAnsi="Arial"/>
          <w:sz w:val="18"/>
          <w:szCs w:val="18"/>
          <w:color w:val="auto"/>
        </w:rPr>
        <w:t>In the case of the named executive officers other than Mr. Kubasik, the grant date target value of the prior year’s long-term incentive awards and the long-term performance of the 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07187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tcPr>
          <w:p>
            <w:pPr>
              <w:jc w:val="right"/>
              <w:ind w:right="155"/>
              <w:spacing w:after="0"/>
              <w:rPr>
                <w:sz w:val="20"/>
                <w:szCs w:val="20"/>
                <w:color w:val="auto"/>
              </w:rPr>
            </w:pPr>
            <w:r>
              <w:rPr>
                <w:rFonts w:ascii="Arial" w:cs="Arial" w:eastAsia="Arial" w:hAnsi="Arial"/>
                <w:sz w:val="14"/>
                <w:szCs w:val="14"/>
                <w:b w:val="1"/>
                <w:bCs w:val="1"/>
                <w:color w:val="auto"/>
                <w:w w:val="95"/>
              </w:rPr>
              <w:t>2016 Grant Date Target Value</w:t>
            </w:r>
          </w:p>
        </w:tc>
        <w:tc>
          <w:tcPr>
            <w:tcW w:w="220" w:type="dxa"/>
            <w:vAlign w:val="bottom"/>
          </w:tcPr>
          <w:p>
            <w:pPr>
              <w:spacing w:after="0"/>
              <w:rPr>
                <w:sz w:val="14"/>
                <w:szCs w:val="14"/>
                <w:color w:val="auto"/>
              </w:rPr>
            </w:pPr>
          </w:p>
        </w:tc>
        <w:tc>
          <w:tcPr>
            <w:tcW w:w="2360" w:type="dxa"/>
            <w:vAlign w:val="bottom"/>
          </w:tcPr>
          <w:p>
            <w:pPr>
              <w:jc w:val="right"/>
              <w:ind w:right="395"/>
              <w:spacing w:after="0"/>
              <w:rPr>
                <w:sz w:val="20"/>
                <w:szCs w:val="20"/>
                <w:color w:val="auto"/>
              </w:rPr>
            </w:pPr>
            <w:r>
              <w:rPr>
                <w:rFonts w:ascii="Arial" w:cs="Arial" w:eastAsia="Arial" w:hAnsi="Arial"/>
                <w:sz w:val="14"/>
                <w:szCs w:val="14"/>
                <w:b w:val="1"/>
                <w:bCs w:val="1"/>
                <w:color w:val="auto"/>
                <w:w w:val="95"/>
              </w:rPr>
              <w:t>2015 Grant Date Target Value</w:t>
            </w:r>
          </w:p>
        </w:tc>
        <w:tc>
          <w:tcPr>
            <w:tcW w:w="1360" w:type="dxa"/>
            <w:vAlign w:val="bottom"/>
          </w:tcPr>
          <w:p>
            <w:pPr>
              <w:jc w:val="right"/>
              <w:ind w:right="475"/>
              <w:spacing w:after="0"/>
              <w:rPr>
                <w:sz w:val="20"/>
                <w:szCs w:val="20"/>
                <w:color w:val="auto"/>
              </w:rPr>
            </w:pPr>
            <w:r>
              <w:rPr>
                <w:rFonts w:ascii="Arial" w:cs="Arial" w:eastAsia="Arial" w:hAnsi="Arial"/>
                <w:sz w:val="14"/>
                <w:szCs w:val="14"/>
                <w:b w:val="1"/>
                <w:bCs w:val="1"/>
                <w:color w:val="auto"/>
              </w:rPr>
              <w:t>Percent</w:t>
            </w:r>
          </w:p>
        </w:tc>
      </w:tr>
      <w:tr>
        <w:trPr>
          <w:trHeight w:val="185"/>
        </w:trPr>
        <w:tc>
          <w:tcPr>
            <w:tcW w:w="2680" w:type="dxa"/>
            <w:vAlign w:val="bottom"/>
            <w:tcBorders>
              <w:bottom w:val="single" w:sz="8" w:color="005C7D"/>
            </w:tcBorders>
          </w:tcPr>
          <w:p>
            <w:pPr>
              <w:spacing w:after="0"/>
              <w:rPr>
                <w:sz w:val="16"/>
                <w:szCs w:val="16"/>
                <w:color w:val="auto"/>
              </w:rPr>
            </w:pPr>
          </w:p>
        </w:tc>
        <w:tc>
          <w:tcPr>
            <w:tcW w:w="820" w:type="dxa"/>
            <w:vAlign w:val="bottom"/>
            <w:tcBorders>
              <w:bottom w:val="single" w:sz="8" w:color="005C7D"/>
            </w:tcBorders>
          </w:tcPr>
          <w:p>
            <w:pPr>
              <w:spacing w:after="0"/>
              <w:rPr>
                <w:sz w:val="16"/>
                <w:szCs w:val="16"/>
                <w:color w:val="auto"/>
              </w:rPr>
            </w:pPr>
          </w:p>
        </w:tc>
        <w:tc>
          <w:tcPr>
            <w:tcW w:w="2120" w:type="dxa"/>
            <w:vAlign w:val="bottom"/>
            <w:tcBorders>
              <w:bottom w:val="single" w:sz="8" w:color="005C7D"/>
            </w:tcBorders>
          </w:tcPr>
          <w:p>
            <w:pPr>
              <w:jc w:val="right"/>
              <w:ind w:right="655"/>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005C7D"/>
            </w:tcBorders>
          </w:tcPr>
          <w:p>
            <w:pPr>
              <w:spacing w:after="0"/>
              <w:rPr>
                <w:sz w:val="16"/>
                <w:szCs w:val="16"/>
                <w:color w:val="auto"/>
              </w:rPr>
            </w:pPr>
          </w:p>
        </w:tc>
        <w:tc>
          <w:tcPr>
            <w:tcW w:w="2360" w:type="dxa"/>
            <w:vAlign w:val="bottom"/>
            <w:tcBorders>
              <w:bottom w:val="single" w:sz="8" w:color="005C7D"/>
            </w:tcBorders>
          </w:tcPr>
          <w:p>
            <w:pPr>
              <w:jc w:val="right"/>
              <w:ind w:right="875"/>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Borders>
              <w:bottom w:val="single" w:sz="8" w:color="005C7D"/>
            </w:tcBorders>
          </w:tcPr>
          <w:p>
            <w:pPr>
              <w:jc w:val="right"/>
              <w:ind w:right="475"/>
              <w:spacing w:after="0"/>
              <w:rPr>
                <w:sz w:val="20"/>
                <w:szCs w:val="20"/>
                <w:color w:val="auto"/>
              </w:rPr>
            </w:pPr>
            <w:r>
              <w:rPr>
                <w:rFonts w:ascii="Arial" w:cs="Arial" w:eastAsia="Arial" w:hAnsi="Arial"/>
                <w:sz w:val="14"/>
                <w:szCs w:val="14"/>
                <w:b w:val="1"/>
                <w:bCs w:val="1"/>
                <w:color w:val="auto"/>
              </w:rPr>
              <w:t>Change</w:t>
            </w:r>
          </w:p>
        </w:tc>
      </w:tr>
      <w:tr>
        <w:trPr>
          <w:trHeight w:val="237"/>
        </w:trPr>
        <w:tc>
          <w:tcPr>
            <w:tcW w:w="2680" w:type="dxa"/>
            <w:vAlign w:val="bottom"/>
            <w:shd w:val="clear" w:color="auto" w:fill="CDDAE6"/>
          </w:tcPr>
          <w:p>
            <w:pPr>
              <w:ind w:left="20"/>
              <w:spacing w:after="0"/>
              <w:rPr>
                <w:sz w:val="20"/>
                <w:szCs w:val="20"/>
                <w:color w:val="auto"/>
              </w:rPr>
            </w:pPr>
            <w:r>
              <w:rPr>
                <w:rFonts w:ascii="Arial" w:cs="Arial" w:eastAsia="Arial" w:hAnsi="Arial"/>
                <w:sz w:val="18"/>
                <w:szCs w:val="18"/>
                <w:color w:val="auto"/>
              </w:rPr>
              <w:t>Michael T. Strianese</w:t>
            </w:r>
          </w:p>
        </w:tc>
        <w:tc>
          <w:tcPr>
            <w:tcW w:w="820" w:type="dxa"/>
            <w:vAlign w:val="bottom"/>
            <w:shd w:val="clear" w:color="auto" w:fill="CDDAE6"/>
          </w:tcPr>
          <w:p>
            <w:pPr>
              <w:jc w:val="right"/>
              <w:spacing w:after="0"/>
              <w:rPr>
                <w:sz w:val="20"/>
                <w:szCs w:val="20"/>
                <w:color w:val="auto"/>
              </w:rPr>
            </w:pPr>
            <w:r>
              <w:rPr>
                <w:rFonts w:ascii="Arial" w:cs="Arial" w:eastAsia="Arial" w:hAnsi="Arial"/>
                <w:sz w:val="18"/>
                <w:szCs w:val="18"/>
                <w:color w:val="auto"/>
              </w:rPr>
              <w:t>$</w:t>
            </w:r>
          </w:p>
        </w:tc>
        <w:tc>
          <w:tcPr>
            <w:tcW w:w="2120" w:type="dxa"/>
            <w:vAlign w:val="bottom"/>
            <w:shd w:val="clear" w:color="auto" w:fill="CDDAE6"/>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DDAE6"/>
          </w:tcPr>
          <w:p>
            <w:pPr>
              <w:jc w:val="right"/>
              <w:spacing w:after="0"/>
              <w:rPr>
                <w:sz w:val="20"/>
                <w:szCs w:val="20"/>
                <w:color w:val="auto"/>
              </w:rPr>
            </w:pPr>
            <w:r>
              <w:rPr>
                <w:rFonts w:ascii="Arial" w:cs="Arial" w:eastAsia="Arial" w:hAnsi="Arial"/>
                <w:sz w:val="18"/>
                <w:szCs w:val="18"/>
                <w:color w:val="auto"/>
              </w:rPr>
              <w:t>$</w:t>
            </w:r>
          </w:p>
        </w:tc>
        <w:tc>
          <w:tcPr>
            <w:tcW w:w="2360" w:type="dxa"/>
            <w:vAlign w:val="bottom"/>
            <w:shd w:val="clear" w:color="auto" w:fill="CDDAE6"/>
          </w:tcPr>
          <w:p>
            <w:pPr>
              <w:jc w:val="right"/>
              <w:ind w:right="235"/>
              <w:spacing w:after="0"/>
              <w:rPr>
                <w:sz w:val="20"/>
                <w:szCs w:val="20"/>
                <w:color w:val="auto"/>
              </w:rPr>
            </w:pPr>
            <w:r>
              <w:rPr>
                <w:rFonts w:ascii="Arial" w:cs="Arial" w:eastAsia="Arial" w:hAnsi="Arial"/>
                <w:sz w:val="18"/>
                <w:szCs w:val="18"/>
                <w:color w:val="auto"/>
              </w:rPr>
              <w:t>10,000</w:t>
            </w:r>
          </w:p>
        </w:tc>
        <w:tc>
          <w:tcPr>
            <w:tcW w:w="1360" w:type="dxa"/>
            <w:vAlign w:val="bottom"/>
            <w:shd w:val="clear" w:color="auto" w:fill="CDDAE6"/>
          </w:tcPr>
          <w:p>
            <w:pPr>
              <w:jc w:val="right"/>
              <w:ind w:right="75"/>
              <w:spacing w:after="0"/>
              <w:rPr>
                <w:sz w:val="20"/>
                <w:szCs w:val="20"/>
                <w:color w:val="auto"/>
              </w:rPr>
            </w:pPr>
            <w:r>
              <w:rPr>
                <w:rFonts w:ascii="Arial" w:cs="Arial" w:eastAsia="Arial" w:hAnsi="Arial"/>
                <w:sz w:val="18"/>
                <w:szCs w:val="18"/>
                <w:color w:val="auto"/>
              </w:rPr>
              <w:t>—</w:t>
            </w:r>
          </w:p>
        </w:tc>
      </w:tr>
      <w:tr>
        <w:trPr>
          <w:trHeight w:val="284"/>
        </w:trPr>
        <w:tc>
          <w:tcPr>
            <w:tcW w:w="2680" w:type="dxa"/>
            <w:vAlign w:val="bottom"/>
          </w:tcPr>
          <w:p>
            <w:pPr>
              <w:ind w:left="20"/>
              <w:spacing w:after="0" w:line="284" w:lineRule="exact"/>
              <w:rPr>
                <w:sz w:val="20"/>
                <w:szCs w:val="20"/>
                <w:color w:val="auto"/>
              </w:rPr>
            </w:pPr>
            <w:r>
              <w:rPr>
                <w:rFonts w:ascii="Arial" w:cs="Arial" w:eastAsia="Arial" w:hAnsi="Arial"/>
                <w:sz w:val="18"/>
                <w:szCs w:val="18"/>
                <w:color w:val="auto"/>
              </w:rPr>
              <w:t>Christopher E. Kubasik</w:t>
            </w:r>
            <w:r>
              <w:rPr>
                <w:rFonts w:ascii="Arial" w:cs="Arial" w:eastAsia="Arial" w:hAnsi="Arial"/>
                <w:sz w:val="29"/>
                <w:szCs w:val="29"/>
                <w:color w:val="auto"/>
                <w:vertAlign w:val="superscript"/>
              </w:rPr>
              <w:t>(1)</w:t>
            </w:r>
          </w:p>
        </w:tc>
        <w:tc>
          <w:tcPr>
            <w:tcW w:w="82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3,200</w:t>
            </w:r>
          </w:p>
        </w:tc>
        <w:tc>
          <w:tcPr>
            <w:tcW w:w="220" w:type="dxa"/>
            <w:vAlign w:val="bottom"/>
          </w:tcPr>
          <w:p>
            <w:pPr>
              <w:spacing w:after="0"/>
              <w:rPr>
                <w:sz w:val="24"/>
                <w:szCs w:val="24"/>
                <w:color w:val="auto"/>
              </w:rPr>
            </w:pPr>
          </w:p>
        </w:tc>
        <w:tc>
          <w:tcPr>
            <w:tcW w:w="2360" w:type="dxa"/>
            <w:vAlign w:val="bottom"/>
          </w:tcPr>
          <w:p>
            <w:pPr>
              <w:jc w:val="right"/>
              <w:ind w:right="235"/>
              <w:spacing w:after="0"/>
              <w:rPr>
                <w:sz w:val="20"/>
                <w:szCs w:val="20"/>
                <w:color w:val="auto"/>
              </w:rPr>
            </w:pPr>
            <w:r>
              <w:rPr>
                <w:rFonts w:ascii="Arial" w:cs="Arial" w:eastAsia="Arial" w:hAnsi="Arial"/>
                <w:sz w:val="18"/>
                <w:szCs w:val="18"/>
                <w:color w:val="auto"/>
              </w:rPr>
              <w:t>N/A</w:t>
            </w: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N/A</w:t>
            </w:r>
          </w:p>
        </w:tc>
      </w:tr>
      <w:tr>
        <w:trPr>
          <w:trHeight w:val="243"/>
        </w:trPr>
        <w:tc>
          <w:tcPr>
            <w:tcW w:w="2680" w:type="dxa"/>
            <w:vAlign w:val="bottom"/>
            <w:shd w:val="clear" w:color="auto" w:fill="CDDAE6"/>
          </w:tcPr>
          <w:p>
            <w:pPr>
              <w:ind w:left="20"/>
              <w:spacing w:after="0"/>
              <w:rPr>
                <w:sz w:val="20"/>
                <w:szCs w:val="20"/>
                <w:color w:val="auto"/>
              </w:rPr>
            </w:pPr>
            <w:r>
              <w:rPr>
                <w:rFonts w:ascii="Arial" w:cs="Arial" w:eastAsia="Arial" w:hAnsi="Arial"/>
                <w:sz w:val="18"/>
                <w:szCs w:val="18"/>
                <w:color w:val="auto"/>
              </w:rPr>
              <w:t>Ralph G. D’Ambrosio</w:t>
            </w:r>
          </w:p>
        </w:tc>
        <w:tc>
          <w:tcPr>
            <w:tcW w:w="820" w:type="dxa"/>
            <w:vAlign w:val="bottom"/>
            <w:shd w:val="clear" w:color="auto" w:fill="CDDAE6"/>
          </w:tcPr>
          <w:p>
            <w:pPr>
              <w:spacing w:after="0"/>
              <w:rPr>
                <w:sz w:val="21"/>
                <w:szCs w:val="21"/>
                <w:color w:val="auto"/>
              </w:rPr>
            </w:pPr>
          </w:p>
        </w:tc>
        <w:tc>
          <w:tcPr>
            <w:tcW w:w="2120" w:type="dxa"/>
            <w:vAlign w:val="bottom"/>
            <w:shd w:val="clear" w:color="auto" w:fill="CDDAE6"/>
          </w:tcPr>
          <w:p>
            <w:pPr>
              <w:jc w:val="right"/>
              <w:spacing w:after="0"/>
              <w:rPr>
                <w:sz w:val="20"/>
                <w:szCs w:val="20"/>
                <w:color w:val="auto"/>
              </w:rPr>
            </w:pPr>
            <w:r>
              <w:rPr>
                <w:rFonts w:ascii="Arial" w:cs="Arial" w:eastAsia="Arial" w:hAnsi="Arial"/>
                <w:sz w:val="18"/>
                <w:szCs w:val="18"/>
                <w:color w:val="auto"/>
              </w:rPr>
              <w:t>2,625</w:t>
            </w:r>
          </w:p>
        </w:tc>
        <w:tc>
          <w:tcPr>
            <w:tcW w:w="220" w:type="dxa"/>
            <w:vAlign w:val="bottom"/>
            <w:shd w:val="clear" w:color="auto" w:fill="CDDAE6"/>
          </w:tcPr>
          <w:p>
            <w:pPr>
              <w:spacing w:after="0"/>
              <w:rPr>
                <w:sz w:val="21"/>
                <w:szCs w:val="21"/>
                <w:color w:val="auto"/>
              </w:rPr>
            </w:pPr>
          </w:p>
        </w:tc>
        <w:tc>
          <w:tcPr>
            <w:tcW w:w="2360" w:type="dxa"/>
            <w:vAlign w:val="bottom"/>
            <w:shd w:val="clear" w:color="auto" w:fill="CDDAE6"/>
          </w:tcPr>
          <w:p>
            <w:pPr>
              <w:jc w:val="right"/>
              <w:ind w:right="235"/>
              <w:spacing w:after="0"/>
              <w:rPr>
                <w:sz w:val="20"/>
                <w:szCs w:val="20"/>
                <w:color w:val="auto"/>
              </w:rPr>
            </w:pPr>
            <w:r>
              <w:rPr>
                <w:rFonts w:ascii="Arial" w:cs="Arial" w:eastAsia="Arial" w:hAnsi="Arial"/>
                <w:sz w:val="18"/>
                <w:szCs w:val="18"/>
                <w:color w:val="auto"/>
              </w:rPr>
              <w:t>2,500</w:t>
            </w:r>
          </w:p>
        </w:tc>
        <w:tc>
          <w:tcPr>
            <w:tcW w:w="1360" w:type="dxa"/>
            <w:vAlign w:val="bottom"/>
            <w:shd w:val="clear" w:color="auto" w:fill="CDDAE6"/>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2680" w:type="dxa"/>
            <w:vAlign w:val="bottom"/>
          </w:tcPr>
          <w:p>
            <w:pPr>
              <w:ind w:left="20"/>
              <w:spacing w:after="0"/>
              <w:rPr>
                <w:sz w:val="20"/>
                <w:szCs w:val="20"/>
                <w:color w:val="auto"/>
              </w:rPr>
            </w:pPr>
            <w:r>
              <w:rPr>
                <w:rFonts w:ascii="Arial" w:cs="Arial" w:eastAsia="Arial" w:hAnsi="Arial"/>
                <w:sz w:val="18"/>
                <w:szCs w:val="18"/>
                <w:color w:val="auto"/>
              </w:rPr>
              <w:t>Curtis Brunson</w:t>
            </w:r>
          </w:p>
        </w:tc>
        <w:tc>
          <w:tcPr>
            <w:tcW w:w="82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2,700</w:t>
            </w:r>
          </w:p>
        </w:tc>
        <w:tc>
          <w:tcPr>
            <w:tcW w:w="220" w:type="dxa"/>
            <w:vAlign w:val="bottom"/>
          </w:tcPr>
          <w:p>
            <w:pPr>
              <w:spacing w:after="0"/>
              <w:rPr>
                <w:sz w:val="20"/>
                <w:szCs w:val="20"/>
                <w:color w:val="auto"/>
              </w:rPr>
            </w:pPr>
          </w:p>
        </w:tc>
        <w:tc>
          <w:tcPr>
            <w:tcW w:w="2360" w:type="dxa"/>
            <w:vAlign w:val="bottom"/>
          </w:tcPr>
          <w:p>
            <w:pPr>
              <w:jc w:val="right"/>
              <w:ind w:right="235"/>
              <w:spacing w:after="0"/>
              <w:rPr>
                <w:sz w:val="20"/>
                <w:szCs w:val="20"/>
                <w:color w:val="auto"/>
              </w:rPr>
            </w:pPr>
            <w:r>
              <w:rPr>
                <w:rFonts w:ascii="Arial" w:cs="Arial" w:eastAsia="Arial" w:hAnsi="Arial"/>
                <w:sz w:val="18"/>
                <w:szCs w:val="18"/>
                <w:color w:val="auto"/>
              </w:rPr>
              <w:t>2,700</w:t>
            </w: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w:t>
            </w:r>
          </w:p>
        </w:tc>
      </w:tr>
      <w:tr>
        <w:trPr>
          <w:trHeight w:val="243"/>
        </w:trPr>
        <w:tc>
          <w:tcPr>
            <w:tcW w:w="2680" w:type="dxa"/>
            <w:vAlign w:val="bottom"/>
            <w:tcBorders>
              <w:bottom w:val="single" w:sz="8" w:color="005C7D"/>
            </w:tcBorders>
            <w:shd w:val="clear" w:color="auto" w:fill="CDDAE6"/>
          </w:tcPr>
          <w:p>
            <w:pPr>
              <w:ind w:left="20"/>
              <w:spacing w:after="0"/>
              <w:rPr>
                <w:sz w:val="20"/>
                <w:szCs w:val="20"/>
                <w:color w:val="auto"/>
              </w:rPr>
            </w:pPr>
            <w:r>
              <w:rPr>
                <w:rFonts w:ascii="Arial" w:cs="Arial" w:eastAsia="Arial" w:hAnsi="Arial"/>
                <w:sz w:val="18"/>
                <w:szCs w:val="18"/>
                <w:color w:val="auto"/>
              </w:rPr>
              <w:t>Steve Kantor</w:t>
            </w:r>
          </w:p>
        </w:tc>
        <w:tc>
          <w:tcPr>
            <w:tcW w:w="820" w:type="dxa"/>
            <w:vAlign w:val="bottom"/>
            <w:tcBorders>
              <w:bottom w:val="single" w:sz="8" w:color="005C7D"/>
            </w:tcBorders>
            <w:shd w:val="clear" w:color="auto" w:fill="CDDAE6"/>
          </w:tcPr>
          <w:p>
            <w:pPr>
              <w:spacing w:after="0"/>
              <w:rPr>
                <w:sz w:val="21"/>
                <w:szCs w:val="21"/>
                <w:color w:val="auto"/>
              </w:rPr>
            </w:pPr>
          </w:p>
        </w:tc>
        <w:tc>
          <w:tcPr>
            <w:tcW w:w="2120" w:type="dxa"/>
            <w:vAlign w:val="bottom"/>
            <w:tcBorders>
              <w:bottom w:val="single" w:sz="8" w:color="005C7D"/>
            </w:tcBorders>
            <w:shd w:val="clear" w:color="auto" w:fill="CDDAE6"/>
          </w:tcPr>
          <w:p>
            <w:pPr>
              <w:jc w:val="right"/>
              <w:spacing w:after="0"/>
              <w:rPr>
                <w:sz w:val="20"/>
                <w:szCs w:val="20"/>
                <w:color w:val="auto"/>
              </w:rPr>
            </w:pPr>
            <w:r>
              <w:rPr>
                <w:rFonts w:ascii="Arial" w:cs="Arial" w:eastAsia="Arial" w:hAnsi="Arial"/>
                <w:sz w:val="18"/>
                <w:szCs w:val="18"/>
                <w:color w:val="auto"/>
              </w:rPr>
              <w:t>1,650</w:t>
            </w:r>
          </w:p>
        </w:tc>
        <w:tc>
          <w:tcPr>
            <w:tcW w:w="220" w:type="dxa"/>
            <w:vAlign w:val="bottom"/>
            <w:tcBorders>
              <w:bottom w:val="single" w:sz="8" w:color="005C7D"/>
            </w:tcBorders>
            <w:shd w:val="clear" w:color="auto" w:fill="CDDAE6"/>
          </w:tcPr>
          <w:p>
            <w:pPr>
              <w:spacing w:after="0"/>
              <w:rPr>
                <w:sz w:val="21"/>
                <w:szCs w:val="21"/>
                <w:color w:val="auto"/>
              </w:rPr>
            </w:pPr>
          </w:p>
        </w:tc>
        <w:tc>
          <w:tcPr>
            <w:tcW w:w="2360" w:type="dxa"/>
            <w:vAlign w:val="bottom"/>
            <w:tcBorders>
              <w:bottom w:val="single" w:sz="8" w:color="005C7D"/>
            </w:tcBorders>
            <w:shd w:val="clear" w:color="auto" w:fill="CDDAE6"/>
          </w:tcPr>
          <w:p>
            <w:pPr>
              <w:jc w:val="right"/>
              <w:ind w:right="235"/>
              <w:spacing w:after="0"/>
              <w:rPr>
                <w:sz w:val="20"/>
                <w:szCs w:val="20"/>
                <w:color w:val="auto"/>
              </w:rPr>
            </w:pPr>
            <w:r>
              <w:rPr>
                <w:rFonts w:ascii="Arial" w:cs="Arial" w:eastAsia="Arial" w:hAnsi="Arial"/>
                <w:sz w:val="18"/>
                <w:szCs w:val="18"/>
                <w:color w:val="auto"/>
              </w:rPr>
              <w:t>1,650</w:t>
            </w:r>
          </w:p>
        </w:tc>
        <w:tc>
          <w:tcPr>
            <w:tcW w:w="1360" w:type="dxa"/>
            <w:vAlign w:val="bottom"/>
            <w:tcBorders>
              <w:bottom w:val="single" w:sz="8" w:color="005C7D"/>
            </w:tcBorders>
            <w:shd w:val="clear" w:color="auto" w:fill="CDDAE6"/>
          </w:tcPr>
          <w:p>
            <w:pPr>
              <w:jc w:val="right"/>
              <w:ind w:right="75"/>
              <w:spacing w:after="0"/>
              <w:rPr>
                <w:sz w:val="20"/>
                <w:szCs w:val="20"/>
                <w:color w:val="auto"/>
              </w:rPr>
            </w:pPr>
            <w:r>
              <w:rPr>
                <w:rFonts w:ascii="Arial" w:cs="Arial" w:eastAsia="Arial" w:hAnsi="Arial"/>
                <w:sz w:val="18"/>
                <w:szCs w:val="18"/>
                <w:color w:val="auto"/>
              </w:rPr>
              <w:t>—</w:t>
            </w:r>
          </w:p>
        </w:tc>
      </w:tr>
      <w:tr>
        <w:trPr>
          <w:trHeight w:val="175"/>
        </w:trPr>
        <w:tc>
          <w:tcPr>
            <w:tcW w:w="2680" w:type="dxa"/>
            <w:vAlign w:val="bottom"/>
            <w:tcBorders>
              <w:bottom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360" w:type="dxa"/>
            <w:vAlign w:val="bottom"/>
          </w:tcPr>
          <w:p>
            <w:pPr>
              <w:spacing w:after="0"/>
              <w:rPr>
                <w:sz w:val="15"/>
                <w:szCs w:val="15"/>
                <w:color w:val="auto"/>
              </w:rPr>
            </w:pPr>
          </w:p>
        </w:tc>
      </w:tr>
    </w:tbl>
    <w:p>
      <w:pPr>
        <w:spacing w:after="0" w:line="98" w:lineRule="exact"/>
        <w:rPr>
          <w:sz w:val="20"/>
          <w:szCs w:val="20"/>
          <w:color w:val="auto"/>
        </w:rPr>
      </w:pPr>
    </w:p>
    <w:p>
      <w:pPr>
        <w:jc w:val="both"/>
        <w:ind w:left="347" w:right="20" w:hanging="347"/>
        <w:spacing w:after="0" w:line="278" w:lineRule="auto"/>
        <w:tabs>
          <w:tab w:leader="none" w:pos="347" w:val="left"/>
        </w:tabs>
        <w:numPr>
          <w:ilvl w:val="0"/>
          <w:numId w:val="62"/>
        </w:numPr>
        <w:rPr>
          <w:rFonts w:ascii="Arial" w:cs="Arial" w:eastAsia="Arial" w:hAnsi="Arial"/>
          <w:sz w:val="16"/>
          <w:szCs w:val="16"/>
          <w:color w:val="auto"/>
        </w:rPr>
      </w:pPr>
      <w:r>
        <w:rPr>
          <w:rFonts w:ascii="Arial" w:cs="Arial" w:eastAsia="Arial" w:hAnsi="Arial"/>
          <w:sz w:val="16"/>
          <w:szCs w:val="16"/>
          <w:color w:val="auto"/>
        </w:rPr>
        <w:t>Mr. Kubasik was hired by L3 on October 28, 2015. While the Committee approved a special, one-time grant of stock options for Mr. Kubasik in 2015 in connection with his hire, this award is excluded from this table because it was not relevant to the Committee’s determination of the long-term incentive awards that were granted to Mr. Kubasik for 2016.</w:t>
      </w:r>
    </w:p>
    <w:p>
      <w:pPr>
        <w:spacing w:after="0" w:line="126" w:lineRule="exact"/>
        <w:rPr>
          <w:sz w:val="20"/>
          <w:szCs w:val="20"/>
          <w:color w:val="auto"/>
        </w:rPr>
      </w:pPr>
    </w:p>
    <w:p>
      <w:pPr>
        <w:ind w:left="7"/>
        <w:spacing w:after="0" w:line="302"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Stock options are a regular component of our long-term incentive program. Stock options directly align the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of our executives with those of shareholders because they provide value only if the price of our Common Stock increases after the options are granted. Stock options are granted with an exercise price equal to the closing price of our Common Stock on the date of grant, vest in equal annual increments over a three-year period and expire ten years from the grant date.</w:t>
      </w:r>
    </w:p>
    <w:p>
      <w:pPr>
        <w:spacing w:after="0" w:line="100" w:lineRule="exact"/>
        <w:rPr>
          <w:sz w:val="20"/>
          <w:szCs w:val="20"/>
          <w:color w:val="auto"/>
        </w:rPr>
      </w:pPr>
    </w:p>
    <w:p>
      <w:pPr>
        <w:ind w:left="7" w:right="160"/>
        <w:spacing w:after="0" w:line="264" w:lineRule="auto"/>
        <w:rPr>
          <w:sz w:val="20"/>
          <w:szCs w:val="20"/>
          <w:color w:val="auto"/>
        </w:rPr>
      </w:pPr>
      <w:r>
        <w:rPr>
          <w:rFonts w:ascii="Arial" w:cs="Arial" w:eastAsia="Arial" w:hAnsi="Arial"/>
          <w:sz w:val="18"/>
          <w:szCs w:val="18"/>
          <w:color w:val="auto"/>
        </w:rPr>
        <w:t>Consistent with the efforts undertaken by the Committee since 2012 to strengthen the performance-based orientation of our executive compensation programs, the Committee continued to include performance-based vesting conditions on the stock options granted to our Chief Executive Officer in 2016. As a result,</w:t>
      </w:r>
    </w:p>
    <w:p>
      <w:pPr>
        <w:spacing w:after="0" w:line="73" w:lineRule="exact"/>
        <w:rPr>
          <w:sz w:val="20"/>
          <w:szCs w:val="20"/>
          <w:color w:val="auto"/>
        </w:rPr>
      </w:pPr>
    </w:p>
    <w:p>
      <w:pPr>
        <w:ind w:left="707" w:right="320" w:hanging="356"/>
        <w:spacing w:after="0" w:line="277" w:lineRule="auto"/>
        <w:tabs>
          <w:tab w:leader="none" w:pos="707" w:val="left"/>
        </w:tabs>
        <w:numPr>
          <w:ilvl w:val="0"/>
          <w:numId w:val="63"/>
        </w:numPr>
        <w:rPr>
          <w:rFonts w:ascii="Arial" w:cs="Arial" w:eastAsia="Arial" w:hAnsi="Arial"/>
          <w:sz w:val="18"/>
          <w:szCs w:val="18"/>
          <w:color w:val="005C7D"/>
        </w:rPr>
      </w:pPr>
      <w:r>
        <w:rPr>
          <w:rFonts w:ascii="Arial" w:cs="Arial" w:eastAsia="Arial" w:hAnsi="Arial"/>
          <w:sz w:val="18"/>
          <w:szCs w:val="18"/>
          <w:color w:val="auto"/>
        </w:rPr>
        <w:t>50% of these stock options would vest only if L3’s consolidated EPS for the fiscal year ended December 31, 2016 is at least $6.38; and</w:t>
      </w:r>
    </w:p>
    <w:p>
      <w:pPr>
        <w:spacing w:after="0" w:line="62" w:lineRule="exact"/>
        <w:rPr>
          <w:rFonts w:ascii="Arial" w:cs="Arial" w:eastAsia="Arial" w:hAnsi="Arial"/>
          <w:sz w:val="18"/>
          <w:szCs w:val="18"/>
          <w:color w:val="005C7D"/>
        </w:rPr>
      </w:pPr>
    </w:p>
    <w:p>
      <w:pPr>
        <w:ind w:left="707" w:right="300" w:hanging="356"/>
        <w:spacing w:after="0" w:line="277" w:lineRule="auto"/>
        <w:tabs>
          <w:tab w:leader="none" w:pos="707" w:val="left"/>
        </w:tabs>
        <w:numPr>
          <w:ilvl w:val="0"/>
          <w:numId w:val="63"/>
        </w:numPr>
        <w:rPr>
          <w:rFonts w:ascii="Arial" w:cs="Arial" w:eastAsia="Arial" w:hAnsi="Arial"/>
          <w:sz w:val="18"/>
          <w:szCs w:val="18"/>
          <w:color w:val="005C7D"/>
        </w:rPr>
      </w:pPr>
      <w:r>
        <w:rPr>
          <w:rFonts w:ascii="Arial" w:cs="Arial" w:eastAsia="Arial" w:hAnsi="Arial"/>
          <w:sz w:val="18"/>
          <w:szCs w:val="18"/>
          <w:color w:val="auto"/>
        </w:rPr>
        <w:t>50% of these stock options would vest only if L3’s consolidated FCF for the fiscal year ended December 31, 2016 is at least $701 million.</w:t>
      </w:r>
    </w:p>
    <w:p>
      <w:pPr>
        <w:spacing w:after="0" w:line="116" w:lineRule="exact"/>
        <w:rPr>
          <w:sz w:val="20"/>
          <w:szCs w:val="20"/>
          <w:color w:val="auto"/>
        </w:rPr>
      </w:pPr>
    </w:p>
    <w:p>
      <w:pPr>
        <w:ind w:left="7" w:right="100"/>
        <w:spacing w:after="0" w:line="277" w:lineRule="auto"/>
        <w:rPr>
          <w:sz w:val="20"/>
          <w:szCs w:val="20"/>
          <w:color w:val="auto"/>
        </w:rPr>
      </w:pPr>
      <w:r>
        <w:rPr>
          <w:rFonts w:ascii="Arial" w:cs="Arial" w:eastAsia="Arial" w:hAnsi="Arial"/>
          <w:sz w:val="18"/>
          <w:szCs w:val="18"/>
          <w:color w:val="auto"/>
        </w:rPr>
        <w:t>In the event that one or both of the performance conditions were not satisfied, the stock options that fail to vest as a result would be forfeited.</w:t>
      </w:r>
    </w:p>
    <w:p>
      <w:pPr>
        <w:spacing w:after="0" w:line="116" w:lineRule="exact"/>
        <w:rPr>
          <w:sz w:val="20"/>
          <w:szCs w:val="20"/>
          <w:color w:val="auto"/>
        </w:rPr>
      </w:pPr>
    </w:p>
    <w:p>
      <w:pPr>
        <w:ind w:left="7" w:right="160"/>
        <w:spacing w:after="0" w:line="264" w:lineRule="auto"/>
        <w:rPr>
          <w:sz w:val="20"/>
          <w:szCs w:val="20"/>
          <w:color w:val="auto"/>
        </w:rPr>
      </w:pPr>
      <w:r>
        <w:rPr>
          <w:rFonts w:ascii="Arial" w:cs="Arial" w:eastAsia="Arial" w:hAnsi="Arial"/>
          <w:sz w:val="18"/>
          <w:szCs w:val="18"/>
          <w:color w:val="auto"/>
        </w:rPr>
        <w:t>Consistent with the terms of last year’s CEO stock option grant, the performance-based vesting requirements for EPS and FCF under the CEO stock options granted in 2016 represent a 15% reduction from the corporate financial targets for these measures for 2016 established by the Committee in February 2016 under the annual incentive plan.</w:t>
      </w:r>
    </w:p>
    <w:p>
      <w:pPr>
        <w:spacing w:after="0" w:line="127" w:lineRule="exact"/>
        <w:rPr>
          <w:sz w:val="20"/>
          <w:szCs w:val="20"/>
          <w:color w:val="auto"/>
        </w:rPr>
      </w:pPr>
    </w:p>
    <w:p>
      <w:pPr>
        <w:ind w:left="7" w:right="20"/>
        <w:spacing w:after="0" w:line="259" w:lineRule="auto"/>
        <w:rPr>
          <w:sz w:val="20"/>
          <w:szCs w:val="20"/>
          <w:color w:val="auto"/>
        </w:rPr>
      </w:pPr>
      <w:r>
        <w:rPr>
          <w:rFonts w:ascii="Arial" w:cs="Arial" w:eastAsia="Arial" w:hAnsi="Arial"/>
          <w:sz w:val="18"/>
          <w:szCs w:val="18"/>
          <w:color w:val="auto"/>
        </w:rPr>
        <w:t>For purposes of evaluating whether the performance conditions have been satisfied, L3’s consolidated EPS and FCF results for 2016 are required to be calculated on the same basis as the methodology used to determine performance for these measures under L3’s annual incentive plan. In February 2017, the Committee determined that both the EPS and FCF performance conditions of the stock options granted to Mr. Strianese in 2016 were satisfied.</w:t>
      </w:r>
    </w:p>
    <w:p>
      <w:pPr>
        <w:spacing w:after="0" w:line="133" w:lineRule="exact"/>
        <w:rPr>
          <w:sz w:val="20"/>
          <w:szCs w:val="20"/>
          <w:color w:val="auto"/>
        </w:rPr>
      </w:pPr>
    </w:p>
    <w:p>
      <w:pPr>
        <w:ind w:left="7" w:right="20"/>
        <w:spacing w:after="0" w:line="342"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The performance awards granted by the Committee in 2016 were equally weighted between performance cash</w:t>
      </w:r>
      <w:r>
        <w:rPr>
          <w:rFonts w:ascii="Arial" w:cs="Arial" w:eastAsia="Arial" w:hAnsi="Arial"/>
          <w:sz w:val="16"/>
          <w:szCs w:val="16"/>
          <w:i w:val="1"/>
          <w:iCs w:val="1"/>
          <w:color w:val="auto"/>
        </w:rPr>
        <w:t xml:space="preserve"> </w:t>
      </w:r>
      <w:r>
        <w:rPr>
          <w:rFonts w:ascii="Arial" w:cs="Arial" w:eastAsia="Arial" w:hAnsi="Arial"/>
          <w:sz w:val="16"/>
          <w:szCs w:val="16"/>
          <w:color w:val="auto"/>
        </w:rPr>
        <w:t>earned on the basis of relative TSR and performance units earned on the basis of cumulative EPS results, in</w:t>
      </w:r>
    </w:p>
    <w:p>
      <w:pPr>
        <w:spacing w:after="0" w:line="194" w:lineRule="exact"/>
        <w:rPr>
          <w:sz w:val="20"/>
          <w:szCs w:val="20"/>
          <w:color w:val="auto"/>
        </w:rPr>
      </w:pPr>
    </w:p>
    <w:p>
      <w:pPr>
        <w:ind w:left="47"/>
        <w:spacing w:after="0"/>
        <w:tabs>
          <w:tab w:leader="none" w:pos="666" w:val="left"/>
        </w:tabs>
        <w:rPr>
          <w:sz w:val="20"/>
          <w:szCs w:val="20"/>
          <w:color w:val="auto"/>
        </w:rPr>
      </w:pPr>
      <w:r>
        <w:rPr>
          <w:rFonts w:ascii="Arial" w:cs="Arial" w:eastAsia="Arial" w:hAnsi="Arial"/>
          <w:sz w:val="18"/>
          <w:szCs w:val="18"/>
          <w:color w:val="005C7D"/>
        </w:rPr>
        <w:t>54</w:t>
      </w:r>
      <w:r>
        <w:rPr>
          <w:sz w:val="20"/>
          <w:szCs w:val="20"/>
          <w:color w:val="auto"/>
        </w:rPr>
        <w:tab/>
      </w: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382270</wp:posOffset>
            </wp:positionV>
            <wp:extent cx="6071870" cy="431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-106045</wp:posOffset>
            </wp:positionV>
            <wp:extent cx="154305"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each case for the three-year period ending December 31, 2018. The payout ultimately earned can range from zero to 200% of the target amount of cash or stock, in each case based on actual performance relative to the pre-determined goals. The Committee chose relative TSR and cumulative EPS because it believes that they are aligned with shareholder value creation, both directly (relative TSR) and indirectly (EPS).</w:t>
      </w:r>
    </w:p>
    <w:p>
      <w:pPr>
        <w:spacing w:after="0" w:line="19"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20" w:type="dxa"/>
            <w:vAlign w:val="bottom"/>
            <w:tcBorders>
              <w:top w:val="single" w:sz="8" w:color="005C7D"/>
              <w:left w:val="single" w:sz="8" w:color="005C7D"/>
            </w:tcBorders>
          </w:tcPr>
          <w:p>
            <w:pPr>
              <w:spacing w:after="0"/>
              <w:rPr>
                <w:sz w:val="15"/>
                <w:szCs w:val="15"/>
                <w:color w:val="auto"/>
              </w:rPr>
            </w:pPr>
          </w:p>
        </w:tc>
        <w:tc>
          <w:tcPr>
            <w:tcW w:w="280" w:type="dxa"/>
            <w:vAlign w:val="bottom"/>
            <w:tcBorders>
              <w:top w:val="single" w:sz="8" w:color="005C7D"/>
            </w:tcBorders>
          </w:tcPr>
          <w:p>
            <w:pPr>
              <w:spacing w:after="0"/>
              <w:rPr>
                <w:sz w:val="15"/>
                <w:szCs w:val="15"/>
                <w:color w:val="auto"/>
              </w:rPr>
            </w:pPr>
          </w:p>
        </w:tc>
        <w:tc>
          <w:tcPr>
            <w:tcW w:w="320" w:type="dxa"/>
            <w:vAlign w:val="bottom"/>
            <w:tcBorders>
              <w:top w:val="single" w:sz="8" w:color="005C7D"/>
            </w:tcBorders>
          </w:tcPr>
          <w:p>
            <w:pPr>
              <w:spacing w:after="0"/>
              <w:rPr>
                <w:sz w:val="15"/>
                <w:szCs w:val="15"/>
                <w:color w:val="auto"/>
              </w:rPr>
            </w:pPr>
          </w:p>
        </w:tc>
        <w:tc>
          <w:tcPr>
            <w:tcW w:w="2480" w:type="dxa"/>
            <w:vAlign w:val="bottom"/>
            <w:tcBorders>
              <w:top w:val="single" w:sz="8" w:color="005C7D"/>
            </w:tcBorders>
            <w:gridSpan w:val="5"/>
          </w:tcPr>
          <w:p>
            <w:pPr>
              <w:jc w:val="center"/>
              <w:ind w:left="168"/>
              <w:spacing w:after="0"/>
              <w:rPr>
                <w:sz w:val="20"/>
                <w:szCs w:val="20"/>
                <w:color w:val="auto"/>
              </w:rPr>
            </w:pPr>
            <w:r>
              <w:rPr>
                <w:rFonts w:ascii="Arial" w:cs="Arial" w:eastAsia="Arial" w:hAnsi="Arial"/>
                <w:sz w:val="14"/>
                <w:szCs w:val="14"/>
                <w:b w:val="1"/>
                <w:bCs w:val="1"/>
                <w:color w:val="auto"/>
                <w:w w:val="93"/>
              </w:rPr>
              <w:t>Performance Cash: Relative TSR</w:t>
            </w:r>
          </w:p>
        </w:tc>
        <w:tc>
          <w:tcPr>
            <w:tcW w:w="120" w:type="dxa"/>
            <w:vAlign w:val="bottom"/>
            <w:tcBorders>
              <w:top w:val="single" w:sz="8" w:color="005C7D"/>
            </w:tcBorders>
          </w:tcPr>
          <w:p>
            <w:pPr>
              <w:spacing w:after="0"/>
              <w:rPr>
                <w:sz w:val="15"/>
                <w:szCs w:val="15"/>
                <w:color w:val="auto"/>
              </w:rPr>
            </w:pPr>
          </w:p>
        </w:tc>
        <w:tc>
          <w:tcPr>
            <w:tcW w:w="480" w:type="dxa"/>
            <w:vAlign w:val="bottom"/>
            <w:tcBorders>
              <w:top w:val="single" w:sz="8" w:color="005C7D"/>
            </w:tcBorders>
          </w:tcPr>
          <w:p>
            <w:pPr>
              <w:spacing w:after="0"/>
              <w:rPr>
                <w:sz w:val="15"/>
                <w:szCs w:val="15"/>
                <w:color w:val="auto"/>
              </w:rPr>
            </w:pPr>
          </w:p>
        </w:tc>
        <w:tc>
          <w:tcPr>
            <w:tcW w:w="860" w:type="dxa"/>
            <w:vAlign w:val="bottom"/>
            <w:tcBorders>
              <w:top w:val="single" w:sz="8" w:color="005C7D"/>
              <w:right w:val="single" w:sz="8" w:color="005C7D"/>
            </w:tcBorders>
          </w:tcPr>
          <w:p>
            <w:pPr>
              <w:spacing w:after="0"/>
              <w:rPr>
                <w:sz w:val="15"/>
                <w:szCs w:val="15"/>
                <w:color w:val="auto"/>
              </w:rPr>
            </w:pPr>
          </w:p>
        </w:tc>
        <w:tc>
          <w:tcPr>
            <w:tcW w:w="600" w:type="dxa"/>
            <w:vAlign w:val="bottom"/>
            <w:tcBorders>
              <w:top w:val="single" w:sz="8" w:color="005C7D"/>
            </w:tcBorders>
          </w:tcPr>
          <w:p>
            <w:pPr>
              <w:spacing w:after="0"/>
              <w:rPr>
                <w:sz w:val="15"/>
                <w:szCs w:val="15"/>
                <w:color w:val="auto"/>
              </w:rPr>
            </w:pPr>
          </w:p>
        </w:tc>
        <w:tc>
          <w:tcPr>
            <w:tcW w:w="320" w:type="dxa"/>
            <w:vAlign w:val="bottom"/>
            <w:tcBorders>
              <w:top w:val="single" w:sz="8" w:color="005C7D"/>
            </w:tcBorders>
          </w:tcPr>
          <w:p>
            <w:pPr>
              <w:spacing w:after="0"/>
              <w:rPr>
                <w:sz w:val="15"/>
                <w:szCs w:val="15"/>
                <w:color w:val="auto"/>
              </w:rPr>
            </w:pPr>
          </w:p>
        </w:tc>
        <w:tc>
          <w:tcPr>
            <w:tcW w:w="300" w:type="dxa"/>
            <w:vAlign w:val="bottom"/>
            <w:tcBorders>
              <w:top w:val="single" w:sz="8" w:color="005C7D"/>
            </w:tcBorders>
          </w:tcPr>
          <w:p>
            <w:pPr>
              <w:spacing w:after="0"/>
              <w:rPr>
                <w:sz w:val="15"/>
                <w:szCs w:val="15"/>
                <w:color w:val="auto"/>
              </w:rPr>
            </w:pPr>
          </w:p>
        </w:tc>
        <w:tc>
          <w:tcPr>
            <w:tcW w:w="440" w:type="dxa"/>
            <w:vAlign w:val="bottom"/>
            <w:tcBorders>
              <w:top w:val="single" w:sz="8" w:color="005C7D"/>
            </w:tcBorders>
          </w:tcPr>
          <w:p>
            <w:pPr>
              <w:spacing w:after="0"/>
              <w:rPr>
                <w:sz w:val="15"/>
                <w:szCs w:val="15"/>
                <w:color w:val="auto"/>
              </w:rPr>
            </w:pPr>
          </w:p>
        </w:tc>
        <w:tc>
          <w:tcPr>
            <w:tcW w:w="1660" w:type="dxa"/>
            <w:vAlign w:val="bottom"/>
            <w:tcBorders>
              <w:top w:val="single" w:sz="8" w:color="005C7D"/>
            </w:tcBorders>
            <w:gridSpan w:val="3"/>
          </w:tcPr>
          <w:p>
            <w:pPr>
              <w:jc w:val="right"/>
              <w:ind w:right="80"/>
              <w:spacing w:after="0"/>
              <w:rPr>
                <w:sz w:val="20"/>
                <w:szCs w:val="20"/>
                <w:color w:val="auto"/>
              </w:rPr>
            </w:pPr>
            <w:r>
              <w:rPr>
                <w:rFonts w:ascii="Arial" w:cs="Arial" w:eastAsia="Arial" w:hAnsi="Arial"/>
                <w:sz w:val="14"/>
                <w:szCs w:val="14"/>
                <w:b w:val="1"/>
                <w:bCs w:val="1"/>
                <w:color w:val="auto"/>
                <w:w w:val="96"/>
              </w:rPr>
              <w:t>Performance Units: EPS</w:t>
            </w:r>
          </w:p>
        </w:tc>
        <w:tc>
          <w:tcPr>
            <w:tcW w:w="440" w:type="dxa"/>
            <w:vAlign w:val="bottom"/>
            <w:tcBorders>
              <w:top w:val="single" w:sz="8" w:color="005C7D"/>
            </w:tcBorders>
          </w:tcPr>
          <w:p>
            <w:pPr>
              <w:spacing w:after="0"/>
              <w:rPr>
                <w:sz w:val="15"/>
                <w:szCs w:val="15"/>
                <w:color w:val="auto"/>
              </w:rPr>
            </w:pPr>
          </w:p>
        </w:tc>
        <w:tc>
          <w:tcPr>
            <w:tcW w:w="480" w:type="dxa"/>
            <w:vAlign w:val="bottom"/>
            <w:tcBorders>
              <w:top w:val="single" w:sz="8" w:color="005C7D"/>
            </w:tcBorders>
          </w:tcPr>
          <w:p>
            <w:pPr>
              <w:spacing w:after="0"/>
              <w:rPr>
                <w:sz w:val="15"/>
                <w:szCs w:val="15"/>
                <w:color w:val="auto"/>
              </w:rPr>
            </w:pPr>
          </w:p>
        </w:tc>
        <w:tc>
          <w:tcPr>
            <w:tcW w:w="460" w:type="dxa"/>
            <w:vAlign w:val="bottom"/>
            <w:tcBorders>
              <w:top w:val="single" w:sz="8" w:color="005C7D"/>
              <w:right w:val="single" w:sz="8" w:color="005C7D"/>
            </w:tcBorders>
          </w:tcPr>
          <w:p>
            <w:pPr>
              <w:spacing w:after="0"/>
              <w:rPr>
                <w:sz w:val="15"/>
                <w:szCs w:val="15"/>
                <w:color w:val="auto"/>
              </w:rPr>
            </w:pPr>
          </w:p>
        </w:tc>
      </w:tr>
      <w:tr>
        <w:trPr>
          <w:trHeight w:val="181"/>
        </w:trPr>
        <w:tc>
          <w:tcPr>
            <w:tcW w:w="320" w:type="dxa"/>
            <w:vAlign w:val="bottom"/>
            <w:tcBorders>
              <w:left w:val="single" w:sz="8" w:color="005C7D"/>
              <w:bottom w:val="single" w:sz="8" w:color="005C7D"/>
            </w:tcBorders>
          </w:tcPr>
          <w:p>
            <w:pPr>
              <w:spacing w:after="0"/>
              <w:rPr>
                <w:sz w:val="15"/>
                <w:szCs w:val="15"/>
                <w:color w:val="auto"/>
              </w:rPr>
            </w:pPr>
          </w:p>
        </w:tc>
        <w:tc>
          <w:tcPr>
            <w:tcW w:w="280" w:type="dxa"/>
            <w:vAlign w:val="bottom"/>
            <w:tcBorders>
              <w:bottom w:val="single" w:sz="8" w:color="005C7D"/>
            </w:tcBorders>
          </w:tcPr>
          <w:p>
            <w:pPr>
              <w:spacing w:after="0"/>
              <w:rPr>
                <w:sz w:val="15"/>
                <w:szCs w:val="15"/>
                <w:color w:val="auto"/>
              </w:rPr>
            </w:pPr>
          </w:p>
        </w:tc>
        <w:tc>
          <w:tcPr>
            <w:tcW w:w="4260" w:type="dxa"/>
            <w:vAlign w:val="bottom"/>
            <w:tcBorders>
              <w:bottom w:val="single" w:sz="8" w:color="005C7D"/>
              <w:right w:val="single" w:sz="8" w:color="005C7D"/>
            </w:tcBorders>
            <w:gridSpan w:val="9"/>
          </w:tcPr>
          <w:p>
            <w:pPr>
              <w:jc w:val="center"/>
              <w:ind w:right="900"/>
              <w:spacing w:after="0"/>
              <w:rPr>
                <w:sz w:val="20"/>
                <w:szCs w:val="20"/>
                <w:color w:val="auto"/>
              </w:rPr>
            </w:pPr>
            <w:r>
              <w:rPr>
                <w:rFonts w:ascii="Arial" w:cs="Arial" w:eastAsia="Arial" w:hAnsi="Arial"/>
                <w:sz w:val="14"/>
                <w:szCs w:val="14"/>
                <w:color w:val="auto"/>
                <w:w w:val="93"/>
              </w:rPr>
              <w:t>(50% weighting; denominated and paid in cash)</w:t>
            </w:r>
          </w:p>
        </w:tc>
        <w:tc>
          <w:tcPr>
            <w:tcW w:w="600" w:type="dxa"/>
            <w:vAlign w:val="bottom"/>
            <w:tcBorders>
              <w:bottom w:val="single" w:sz="8" w:color="005C7D"/>
            </w:tcBorders>
          </w:tcPr>
          <w:p>
            <w:pPr>
              <w:spacing w:after="0"/>
              <w:rPr>
                <w:sz w:val="15"/>
                <w:szCs w:val="15"/>
                <w:color w:val="auto"/>
              </w:rPr>
            </w:pPr>
          </w:p>
        </w:tc>
        <w:tc>
          <w:tcPr>
            <w:tcW w:w="320" w:type="dxa"/>
            <w:vAlign w:val="bottom"/>
            <w:tcBorders>
              <w:bottom w:val="single" w:sz="8" w:color="005C7D"/>
            </w:tcBorders>
          </w:tcPr>
          <w:p>
            <w:pPr>
              <w:spacing w:after="0"/>
              <w:rPr>
                <w:sz w:val="15"/>
                <w:szCs w:val="15"/>
                <w:color w:val="auto"/>
              </w:rPr>
            </w:pPr>
          </w:p>
        </w:tc>
        <w:tc>
          <w:tcPr>
            <w:tcW w:w="3780" w:type="dxa"/>
            <w:vAlign w:val="bottom"/>
            <w:tcBorders>
              <w:bottom w:val="single" w:sz="8" w:color="005C7D"/>
              <w:right w:val="single" w:sz="8" w:color="005C7D"/>
            </w:tcBorders>
            <w:gridSpan w:val="8"/>
          </w:tcPr>
          <w:p>
            <w:pPr>
              <w:jc w:val="right"/>
              <w:ind w:right="820"/>
              <w:spacing w:after="0"/>
              <w:rPr>
                <w:sz w:val="20"/>
                <w:szCs w:val="20"/>
                <w:color w:val="auto"/>
              </w:rPr>
            </w:pPr>
            <w:r>
              <w:rPr>
                <w:rFonts w:ascii="Arial" w:cs="Arial" w:eastAsia="Arial" w:hAnsi="Arial"/>
                <w:sz w:val="14"/>
                <w:szCs w:val="14"/>
                <w:color w:val="auto"/>
                <w:w w:val="98"/>
              </w:rPr>
              <w:t>(50% weighting; denominated and paid in stock)</w:t>
            </w:r>
          </w:p>
        </w:tc>
      </w:tr>
      <w:tr>
        <w:trPr>
          <w:trHeight w:val="156"/>
        </w:trPr>
        <w:tc>
          <w:tcPr>
            <w:tcW w:w="320" w:type="dxa"/>
            <w:vAlign w:val="bottom"/>
            <w:tcBorders>
              <w:left w:val="single" w:sz="8" w:color="005C7D"/>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line="155" w:lineRule="exact"/>
              <w:rPr>
                <w:sz w:val="20"/>
                <w:szCs w:val="20"/>
                <w:color w:val="auto"/>
              </w:rPr>
            </w:pPr>
            <w:r>
              <w:rPr>
                <w:rFonts w:ascii="Arial" w:cs="Arial" w:eastAsia="Arial" w:hAnsi="Arial"/>
                <w:sz w:val="14"/>
                <w:szCs w:val="14"/>
                <w:i w:val="1"/>
                <w:iCs w:val="1"/>
                <w:color w:val="auto"/>
                <w:w w:val="89"/>
              </w:rPr>
              <w:t>Level</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line="155" w:lineRule="exact"/>
              <w:rPr>
                <w:sz w:val="20"/>
                <w:szCs w:val="20"/>
                <w:color w:val="auto"/>
              </w:rPr>
            </w:pPr>
            <w:r>
              <w:rPr>
                <w:rFonts w:ascii="Arial" w:cs="Arial" w:eastAsia="Arial" w:hAnsi="Arial"/>
                <w:sz w:val="14"/>
                <w:szCs w:val="14"/>
                <w:i w:val="1"/>
                <w:iCs w:val="1"/>
                <w:color w:val="auto"/>
                <w:w w:val="89"/>
              </w:rPr>
              <w:t>Relative TSR</w:t>
            </w:r>
          </w:p>
        </w:tc>
        <w:tc>
          <w:tcPr>
            <w:tcW w:w="780" w:type="dxa"/>
            <w:vAlign w:val="bottom"/>
            <w:gridSpan w:val="2"/>
          </w:tcPr>
          <w:p>
            <w:pPr>
              <w:spacing w:after="0"/>
              <w:rPr>
                <w:sz w:val="13"/>
                <w:szCs w:val="13"/>
                <w:color w:val="auto"/>
              </w:rPr>
            </w:pPr>
          </w:p>
        </w:tc>
        <w:tc>
          <w:tcPr>
            <w:tcW w:w="1460" w:type="dxa"/>
            <w:vAlign w:val="bottom"/>
            <w:tcBorders>
              <w:right w:val="single" w:sz="8" w:color="005C7D"/>
            </w:tcBorders>
            <w:gridSpan w:val="3"/>
          </w:tcPr>
          <w:p>
            <w:pPr>
              <w:jc w:val="right"/>
              <w:ind w:right="860"/>
              <w:spacing w:after="0" w:line="155" w:lineRule="exact"/>
              <w:rPr>
                <w:sz w:val="20"/>
                <w:szCs w:val="20"/>
                <w:color w:val="auto"/>
              </w:rPr>
            </w:pPr>
            <w:r>
              <w:rPr>
                <w:rFonts w:ascii="Arial" w:cs="Arial" w:eastAsia="Arial" w:hAnsi="Arial"/>
                <w:sz w:val="14"/>
                <w:szCs w:val="14"/>
                <w:i w:val="1"/>
                <w:iCs w:val="1"/>
                <w:color w:val="auto"/>
              </w:rPr>
              <w:t>Payout*</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Level</w:t>
            </w:r>
          </w:p>
        </w:tc>
        <w:tc>
          <w:tcPr>
            <w:tcW w:w="800" w:type="dxa"/>
            <w:vAlign w:val="bottom"/>
          </w:tcPr>
          <w:p>
            <w:pPr>
              <w:spacing w:after="0"/>
              <w:rPr>
                <w:sz w:val="13"/>
                <w:szCs w:val="13"/>
                <w:color w:val="auto"/>
              </w:rPr>
            </w:pPr>
          </w:p>
        </w:tc>
        <w:tc>
          <w:tcPr>
            <w:tcW w:w="860" w:type="dxa"/>
            <w:vAlign w:val="bottom"/>
            <w:gridSpan w:val="2"/>
          </w:tcPr>
          <w:p>
            <w:pPr>
              <w:jc w:val="right"/>
              <w:ind w:right="600"/>
              <w:spacing w:after="0" w:line="155" w:lineRule="exact"/>
              <w:rPr>
                <w:sz w:val="20"/>
                <w:szCs w:val="20"/>
                <w:color w:val="auto"/>
              </w:rPr>
            </w:pPr>
            <w:r>
              <w:rPr>
                <w:rFonts w:ascii="Arial" w:cs="Arial" w:eastAsia="Arial" w:hAnsi="Arial"/>
                <w:sz w:val="14"/>
                <w:szCs w:val="14"/>
                <w:i w:val="1"/>
                <w:iCs w:val="1"/>
                <w:color w:val="auto"/>
                <w:w w:val="85"/>
              </w:rPr>
              <w:t>EPS</w:t>
            </w:r>
          </w:p>
        </w:tc>
        <w:tc>
          <w:tcPr>
            <w:tcW w:w="1380" w:type="dxa"/>
            <w:vAlign w:val="bottom"/>
            <w:tcBorders>
              <w:right w:val="single" w:sz="8" w:color="005C7D"/>
            </w:tcBorders>
            <w:gridSpan w:val="3"/>
          </w:tcPr>
          <w:p>
            <w:pPr>
              <w:jc w:val="right"/>
              <w:ind w:right="460"/>
              <w:spacing w:after="0" w:line="155" w:lineRule="exact"/>
              <w:rPr>
                <w:sz w:val="20"/>
                <w:szCs w:val="20"/>
                <w:color w:val="auto"/>
              </w:rPr>
            </w:pPr>
            <w:r>
              <w:rPr>
                <w:rFonts w:ascii="Arial" w:cs="Arial" w:eastAsia="Arial" w:hAnsi="Arial"/>
                <w:sz w:val="14"/>
                <w:szCs w:val="14"/>
                <w:i w:val="1"/>
                <w:iCs w:val="1"/>
                <w:color w:val="auto"/>
              </w:rPr>
              <w:t>Payout*</w:t>
            </w:r>
          </w:p>
        </w:tc>
      </w:tr>
      <w:tr>
        <w:trPr>
          <w:trHeight w:val="27"/>
        </w:trPr>
        <w:tc>
          <w:tcPr>
            <w:tcW w:w="320" w:type="dxa"/>
            <w:vAlign w:val="bottom"/>
            <w:tcBorders>
              <w:left w:val="single" w:sz="8" w:color="005C7D"/>
            </w:tcBorders>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60" w:type="dxa"/>
            <w:vAlign w:val="bottom"/>
            <w:tcBorders>
              <w:right w:val="single" w:sz="8" w:color="005C7D"/>
            </w:tcBorders>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Borders>
              <w:right w:val="single" w:sz="8" w:color="005C7D"/>
            </w:tcBorders>
          </w:tcPr>
          <w:p>
            <w:pPr>
              <w:spacing w:after="0"/>
              <w:rPr>
                <w:sz w:val="2"/>
                <w:szCs w:val="2"/>
                <w:color w:val="auto"/>
              </w:rPr>
            </w:pPr>
          </w:p>
        </w:tc>
      </w:tr>
      <w:tr>
        <w:trPr>
          <w:trHeight w:val="216"/>
        </w:trPr>
        <w:tc>
          <w:tcPr>
            <w:tcW w:w="320" w:type="dxa"/>
            <w:vAlign w:val="bottom"/>
            <w:tcBorders>
              <w:left w:val="single" w:sz="8" w:color="005C7D"/>
            </w:tcBorders>
            <w:shd w:val="clear" w:color="auto" w:fill="CDDAE6"/>
          </w:tcPr>
          <w:p>
            <w:pPr>
              <w:spacing w:after="0"/>
              <w:rPr>
                <w:sz w:val="18"/>
                <w:szCs w:val="18"/>
                <w:color w:val="auto"/>
              </w:rPr>
            </w:pPr>
          </w:p>
        </w:tc>
        <w:tc>
          <w:tcPr>
            <w:tcW w:w="1280" w:type="dxa"/>
            <w:vAlign w:val="bottom"/>
            <w:gridSpan w:val="3"/>
            <w:shd w:val="clear" w:color="auto" w:fill="CDDAE6"/>
          </w:tcPr>
          <w:p>
            <w:pPr>
              <w:ind w:left="20"/>
              <w:spacing w:after="0"/>
              <w:rPr>
                <w:sz w:val="20"/>
                <w:szCs w:val="20"/>
                <w:color w:val="auto"/>
              </w:rPr>
            </w:pPr>
            <w:r>
              <w:rPr>
                <w:rFonts w:ascii="Arial" w:cs="Arial" w:eastAsia="Arial" w:hAnsi="Arial"/>
                <w:sz w:val="14"/>
                <w:szCs w:val="14"/>
                <w:color w:val="auto"/>
              </w:rPr>
              <w:t>Maximum</w:t>
            </w:r>
          </w:p>
        </w:tc>
        <w:tc>
          <w:tcPr>
            <w:tcW w:w="260" w:type="dxa"/>
            <w:vAlign w:val="bottom"/>
            <w:shd w:val="clear" w:color="auto" w:fill="CDDAE6"/>
          </w:tcPr>
          <w:p>
            <w:pPr>
              <w:spacing w:after="0"/>
              <w:rPr>
                <w:sz w:val="18"/>
                <w:szCs w:val="18"/>
                <w:color w:val="auto"/>
              </w:rPr>
            </w:pPr>
          </w:p>
        </w:tc>
        <w:tc>
          <w:tcPr>
            <w:tcW w:w="1540" w:type="dxa"/>
            <w:vAlign w:val="bottom"/>
            <w:gridSpan w:val="3"/>
            <w:shd w:val="clear" w:color="auto" w:fill="CDDAE6"/>
          </w:tcPr>
          <w:p>
            <w:pPr>
              <w:jc w:val="right"/>
              <w:ind w:right="540"/>
              <w:spacing w:after="0" w:line="216" w:lineRule="exact"/>
              <w:rPr>
                <w:sz w:val="20"/>
                <w:szCs w:val="20"/>
                <w:color w:val="auto"/>
              </w:rPr>
            </w:pPr>
            <w:r>
              <w:rPr>
                <w:rFonts w:ascii="Arial" w:cs="Arial" w:eastAsia="Arial" w:hAnsi="Arial"/>
                <w:sz w:val="14"/>
                <w:szCs w:val="14"/>
                <w:color w:val="auto"/>
                <w:w w:val="91"/>
              </w:rPr>
              <w:t>≥ 75</w:t>
            </w:r>
            <w:r>
              <w:rPr>
                <w:rFonts w:ascii="Arial" w:cs="Arial" w:eastAsia="Arial" w:hAnsi="Arial"/>
                <w:sz w:val="24"/>
                <w:szCs w:val="24"/>
                <w:color w:val="auto"/>
                <w:w w:val="91"/>
                <w:vertAlign w:val="superscript"/>
              </w:rPr>
              <w:t>th</w:t>
            </w:r>
            <w:r>
              <w:rPr>
                <w:rFonts w:ascii="Arial" w:cs="Arial" w:eastAsia="Arial" w:hAnsi="Arial"/>
                <w:sz w:val="14"/>
                <w:szCs w:val="14"/>
                <w:color w:val="auto"/>
                <w:w w:val="91"/>
              </w:rPr>
              <w:t xml:space="preserve"> Percentile</w:t>
            </w:r>
          </w:p>
        </w:tc>
        <w:tc>
          <w:tcPr>
            <w:tcW w:w="1460" w:type="dxa"/>
            <w:vAlign w:val="bottom"/>
            <w:tcBorders>
              <w:right w:val="single" w:sz="8" w:color="005C7D"/>
            </w:tcBorders>
            <w:gridSpan w:val="3"/>
            <w:shd w:val="clear" w:color="auto" w:fill="CDDAE6"/>
          </w:tcPr>
          <w:p>
            <w:pPr>
              <w:jc w:val="right"/>
              <w:ind w:right="340"/>
              <w:spacing w:after="0"/>
              <w:rPr>
                <w:sz w:val="20"/>
                <w:szCs w:val="20"/>
                <w:color w:val="auto"/>
              </w:rPr>
            </w:pPr>
            <w:r>
              <w:rPr>
                <w:rFonts w:ascii="Arial" w:cs="Arial" w:eastAsia="Arial" w:hAnsi="Arial"/>
                <w:sz w:val="14"/>
                <w:szCs w:val="14"/>
                <w:color w:val="auto"/>
              </w:rPr>
              <w:t>200%</w:t>
            </w:r>
          </w:p>
        </w:tc>
        <w:tc>
          <w:tcPr>
            <w:tcW w:w="600" w:type="dxa"/>
            <w:vAlign w:val="bottom"/>
            <w:shd w:val="clear" w:color="auto" w:fill="CDDAE6"/>
          </w:tcPr>
          <w:p>
            <w:pPr>
              <w:spacing w:after="0"/>
              <w:rPr>
                <w:sz w:val="18"/>
                <w:szCs w:val="18"/>
                <w:color w:val="auto"/>
              </w:rPr>
            </w:pPr>
          </w:p>
        </w:tc>
        <w:tc>
          <w:tcPr>
            <w:tcW w:w="1060" w:type="dxa"/>
            <w:vAlign w:val="bottom"/>
            <w:gridSpan w:val="3"/>
            <w:shd w:val="clear" w:color="auto" w:fill="CDDAE6"/>
          </w:tcPr>
          <w:p>
            <w:pPr>
              <w:spacing w:after="0"/>
              <w:rPr>
                <w:sz w:val="20"/>
                <w:szCs w:val="20"/>
                <w:color w:val="auto"/>
              </w:rPr>
            </w:pPr>
            <w:r>
              <w:rPr>
                <w:rFonts w:ascii="Arial" w:cs="Arial" w:eastAsia="Arial" w:hAnsi="Arial"/>
                <w:sz w:val="14"/>
                <w:szCs w:val="14"/>
                <w:color w:val="auto"/>
              </w:rPr>
              <w:t>Maximum</w:t>
            </w:r>
          </w:p>
        </w:tc>
        <w:tc>
          <w:tcPr>
            <w:tcW w:w="800" w:type="dxa"/>
            <w:vAlign w:val="bottom"/>
            <w:shd w:val="clear" w:color="auto" w:fill="CDDAE6"/>
          </w:tcPr>
          <w:p>
            <w:pPr>
              <w:spacing w:after="0"/>
              <w:rPr>
                <w:sz w:val="18"/>
                <w:szCs w:val="18"/>
                <w:color w:val="auto"/>
              </w:rPr>
            </w:pPr>
          </w:p>
        </w:tc>
        <w:tc>
          <w:tcPr>
            <w:tcW w:w="860" w:type="dxa"/>
            <w:vAlign w:val="bottom"/>
            <w:gridSpan w:val="2"/>
            <w:shd w:val="clear" w:color="auto" w:fill="CDDAE6"/>
          </w:tcPr>
          <w:p>
            <w:pPr>
              <w:jc w:val="right"/>
              <w:ind w:right="320"/>
              <w:spacing w:after="0"/>
              <w:rPr>
                <w:sz w:val="20"/>
                <w:szCs w:val="20"/>
                <w:color w:val="auto"/>
              </w:rPr>
            </w:pPr>
            <w:r>
              <w:rPr>
                <w:rFonts w:ascii="Arial" w:cs="Arial" w:eastAsia="Arial" w:hAnsi="Arial"/>
                <w:sz w:val="14"/>
                <w:szCs w:val="14"/>
                <w:color w:val="auto"/>
                <w:w w:val="95"/>
              </w:rPr>
              <w:t>≥ $27.50</w:t>
            </w:r>
          </w:p>
        </w:tc>
        <w:tc>
          <w:tcPr>
            <w:tcW w:w="1380" w:type="dxa"/>
            <w:vAlign w:val="bottom"/>
            <w:tcBorders>
              <w:right w:val="single" w:sz="8" w:color="005C7D"/>
            </w:tcBorders>
            <w:gridSpan w:val="3"/>
            <w:shd w:val="clear" w:color="auto" w:fill="CDDAE6"/>
          </w:tcPr>
          <w:p>
            <w:pPr>
              <w:jc w:val="right"/>
              <w:ind w:right="400"/>
              <w:spacing w:after="0"/>
              <w:rPr>
                <w:sz w:val="20"/>
                <w:szCs w:val="20"/>
                <w:color w:val="auto"/>
              </w:rPr>
            </w:pPr>
            <w:r>
              <w:rPr>
                <w:rFonts w:ascii="Arial" w:cs="Arial" w:eastAsia="Arial" w:hAnsi="Arial"/>
                <w:sz w:val="14"/>
                <w:szCs w:val="14"/>
                <w:color w:val="auto"/>
              </w:rPr>
              <w:t>200%</w:t>
            </w:r>
          </w:p>
        </w:tc>
      </w:tr>
      <w:tr>
        <w:trPr>
          <w:trHeight w:val="216"/>
        </w:trPr>
        <w:tc>
          <w:tcPr>
            <w:tcW w:w="320" w:type="dxa"/>
            <w:vAlign w:val="bottom"/>
            <w:tcBorders>
              <w:left w:val="single" w:sz="8" w:color="005C7D"/>
            </w:tcBorders>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color w:val="auto"/>
              </w:rPr>
              <w:t>Target</w:t>
            </w:r>
          </w:p>
        </w:tc>
        <w:tc>
          <w:tcPr>
            <w:tcW w:w="260" w:type="dxa"/>
            <w:vAlign w:val="bottom"/>
          </w:tcPr>
          <w:p>
            <w:pPr>
              <w:spacing w:after="0"/>
              <w:rPr>
                <w:sz w:val="18"/>
                <w:szCs w:val="18"/>
                <w:color w:val="auto"/>
              </w:rPr>
            </w:pPr>
          </w:p>
        </w:tc>
        <w:tc>
          <w:tcPr>
            <w:tcW w:w="1540" w:type="dxa"/>
            <w:vAlign w:val="bottom"/>
            <w:gridSpan w:val="3"/>
          </w:tcPr>
          <w:p>
            <w:pPr>
              <w:jc w:val="right"/>
              <w:ind w:right="540"/>
              <w:spacing w:after="0" w:line="216" w:lineRule="exact"/>
              <w:rPr>
                <w:sz w:val="20"/>
                <w:szCs w:val="20"/>
                <w:color w:val="auto"/>
              </w:rPr>
            </w:pPr>
            <w:r>
              <w:rPr>
                <w:rFonts w:ascii="Arial" w:cs="Arial" w:eastAsia="Arial" w:hAnsi="Arial"/>
                <w:sz w:val="14"/>
                <w:szCs w:val="14"/>
                <w:color w:val="auto"/>
              </w:rPr>
              <w:t>50</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Percentile</w:t>
            </w:r>
          </w:p>
        </w:tc>
        <w:tc>
          <w:tcPr>
            <w:tcW w:w="1460" w:type="dxa"/>
            <w:vAlign w:val="bottom"/>
            <w:tcBorders>
              <w:right w:val="single" w:sz="8" w:color="005C7D"/>
            </w:tcBorders>
            <w:gridSpan w:val="3"/>
          </w:tcPr>
          <w:p>
            <w:pPr>
              <w:jc w:val="right"/>
              <w:ind w:right="340"/>
              <w:spacing w:after="0"/>
              <w:rPr>
                <w:sz w:val="20"/>
                <w:szCs w:val="20"/>
                <w:color w:val="auto"/>
              </w:rPr>
            </w:pPr>
            <w:r>
              <w:rPr>
                <w:rFonts w:ascii="Arial" w:cs="Arial" w:eastAsia="Arial" w:hAnsi="Arial"/>
                <w:sz w:val="14"/>
                <w:szCs w:val="14"/>
                <w:color w:val="auto"/>
              </w:rPr>
              <w:t>100%</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3"/>
          </w:tcPr>
          <w:p>
            <w:pPr>
              <w:jc w:val="right"/>
              <w:ind w:right="320"/>
              <w:spacing w:after="0"/>
              <w:rPr>
                <w:sz w:val="20"/>
                <w:szCs w:val="20"/>
                <w:color w:val="auto"/>
              </w:rPr>
            </w:pPr>
            <w:r>
              <w:rPr>
                <w:rFonts w:ascii="Arial" w:cs="Arial" w:eastAsia="Arial" w:hAnsi="Arial"/>
                <w:sz w:val="14"/>
                <w:szCs w:val="14"/>
                <w:color w:val="auto"/>
              </w:rPr>
              <w:t>$26.25</w:t>
            </w:r>
          </w:p>
        </w:tc>
        <w:tc>
          <w:tcPr>
            <w:tcW w:w="1380" w:type="dxa"/>
            <w:vAlign w:val="bottom"/>
            <w:tcBorders>
              <w:right w:val="single" w:sz="8" w:color="005C7D"/>
            </w:tcBorders>
            <w:gridSpan w:val="3"/>
          </w:tcPr>
          <w:p>
            <w:pPr>
              <w:jc w:val="right"/>
              <w:ind w:right="400"/>
              <w:spacing w:after="0"/>
              <w:rPr>
                <w:sz w:val="20"/>
                <w:szCs w:val="20"/>
                <w:color w:val="auto"/>
              </w:rPr>
            </w:pPr>
            <w:r>
              <w:rPr>
                <w:rFonts w:ascii="Arial" w:cs="Arial" w:eastAsia="Arial" w:hAnsi="Arial"/>
                <w:sz w:val="14"/>
                <w:szCs w:val="14"/>
                <w:color w:val="auto"/>
              </w:rPr>
              <w:t>150%</w:t>
            </w:r>
          </w:p>
        </w:tc>
      </w:tr>
      <w:tr>
        <w:trPr>
          <w:trHeight w:val="216"/>
        </w:trPr>
        <w:tc>
          <w:tcPr>
            <w:tcW w:w="320" w:type="dxa"/>
            <w:vAlign w:val="bottom"/>
            <w:tcBorders>
              <w:left w:val="single" w:sz="8" w:color="005C7D"/>
            </w:tcBorders>
            <w:shd w:val="clear" w:color="auto" w:fill="CDDAE6"/>
          </w:tcPr>
          <w:p>
            <w:pPr>
              <w:spacing w:after="0"/>
              <w:rPr>
                <w:sz w:val="18"/>
                <w:szCs w:val="18"/>
                <w:color w:val="auto"/>
              </w:rPr>
            </w:pPr>
          </w:p>
        </w:tc>
        <w:tc>
          <w:tcPr>
            <w:tcW w:w="1280" w:type="dxa"/>
            <w:vAlign w:val="bottom"/>
            <w:gridSpan w:val="3"/>
            <w:shd w:val="clear" w:color="auto" w:fill="CDDAE6"/>
          </w:tcPr>
          <w:p>
            <w:pPr>
              <w:ind w:left="20"/>
              <w:spacing w:after="0"/>
              <w:rPr>
                <w:sz w:val="20"/>
                <w:szCs w:val="20"/>
                <w:color w:val="auto"/>
              </w:rPr>
            </w:pPr>
            <w:r>
              <w:rPr>
                <w:rFonts w:ascii="Arial" w:cs="Arial" w:eastAsia="Arial" w:hAnsi="Arial"/>
                <w:sz w:val="14"/>
                <w:szCs w:val="14"/>
                <w:color w:val="auto"/>
              </w:rPr>
              <w:t>Threshold</w:t>
            </w:r>
          </w:p>
        </w:tc>
        <w:tc>
          <w:tcPr>
            <w:tcW w:w="260" w:type="dxa"/>
            <w:vAlign w:val="bottom"/>
            <w:shd w:val="clear" w:color="auto" w:fill="CDDAE6"/>
          </w:tcPr>
          <w:p>
            <w:pPr>
              <w:spacing w:after="0"/>
              <w:rPr>
                <w:sz w:val="18"/>
                <w:szCs w:val="18"/>
                <w:color w:val="auto"/>
              </w:rPr>
            </w:pPr>
          </w:p>
        </w:tc>
        <w:tc>
          <w:tcPr>
            <w:tcW w:w="1540" w:type="dxa"/>
            <w:vAlign w:val="bottom"/>
            <w:gridSpan w:val="3"/>
            <w:shd w:val="clear" w:color="auto" w:fill="CDDAE6"/>
          </w:tcPr>
          <w:p>
            <w:pPr>
              <w:jc w:val="right"/>
              <w:ind w:right="540"/>
              <w:spacing w:after="0" w:line="216" w:lineRule="exact"/>
              <w:rPr>
                <w:sz w:val="20"/>
                <w:szCs w:val="20"/>
                <w:color w:val="auto"/>
              </w:rPr>
            </w:pPr>
            <w:r>
              <w:rPr>
                <w:rFonts w:ascii="Arial" w:cs="Arial" w:eastAsia="Arial" w:hAnsi="Arial"/>
                <w:sz w:val="14"/>
                <w:szCs w:val="14"/>
                <w:color w:val="auto"/>
              </w:rPr>
              <w:t>25</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Percentile</w:t>
            </w:r>
          </w:p>
        </w:tc>
        <w:tc>
          <w:tcPr>
            <w:tcW w:w="1460" w:type="dxa"/>
            <w:vAlign w:val="bottom"/>
            <w:tcBorders>
              <w:right w:val="single" w:sz="8" w:color="005C7D"/>
            </w:tcBorders>
            <w:gridSpan w:val="3"/>
            <w:shd w:val="clear" w:color="auto" w:fill="CDDAE6"/>
          </w:tcPr>
          <w:p>
            <w:pPr>
              <w:jc w:val="right"/>
              <w:ind w:right="340"/>
              <w:spacing w:after="0"/>
              <w:rPr>
                <w:sz w:val="20"/>
                <w:szCs w:val="20"/>
                <w:color w:val="auto"/>
              </w:rPr>
            </w:pPr>
            <w:r>
              <w:rPr>
                <w:rFonts w:ascii="Arial" w:cs="Arial" w:eastAsia="Arial" w:hAnsi="Arial"/>
                <w:sz w:val="14"/>
                <w:szCs w:val="14"/>
                <w:color w:val="auto"/>
              </w:rPr>
              <w:t>25%</w:t>
            </w:r>
          </w:p>
        </w:tc>
        <w:tc>
          <w:tcPr>
            <w:tcW w:w="600" w:type="dxa"/>
            <w:vAlign w:val="bottom"/>
            <w:shd w:val="clear" w:color="auto" w:fill="CDDAE6"/>
          </w:tcPr>
          <w:p>
            <w:pPr>
              <w:spacing w:after="0"/>
              <w:rPr>
                <w:sz w:val="18"/>
                <w:szCs w:val="18"/>
                <w:color w:val="auto"/>
              </w:rPr>
            </w:pPr>
          </w:p>
        </w:tc>
        <w:tc>
          <w:tcPr>
            <w:tcW w:w="1060" w:type="dxa"/>
            <w:vAlign w:val="bottom"/>
            <w:gridSpan w:val="3"/>
            <w:shd w:val="clear" w:color="auto" w:fill="CDDAE6"/>
          </w:tcPr>
          <w:p>
            <w:pPr>
              <w:spacing w:after="0"/>
              <w:rPr>
                <w:sz w:val="20"/>
                <w:szCs w:val="20"/>
                <w:color w:val="auto"/>
              </w:rPr>
            </w:pPr>
            <w:r>
              <w:rPr>
                <w:rFonts w:ascii="Arial" w:cs="Arial" w:eastAsia="Arial" w:hAnsi="Arial"/>
                <w:sz w:val="14"/>
                <w:szCs w:val="14"/>
                <w:color w:val="auto"/>
              </w:rPr>
              <w:t>Target</w:t>
            </w:r>
          </w:p>
        </w:tc>
        <w:tc>
          <w:tcPr>
            <w:tcW w:w="1660" w:type="dxa"/>
            <w:vAlign w:val="bottom"/>
            <w:gridSpan w:val="3"/>
            <w:shd w:val="clear" w:color="auto" w:fill="CDDAE6"/>
          </w:tcPr>
          <w:p>
            <w:pPr>
              <w:jc w:val="right"/>
              <w:ind w:right="320"/>
              <w:spacing w:after="0"/>
              <w:rPr>
                <w:sz w:val="20"/>
                <w:szCs w:val="20"/>
                <w:color w:val="auto"/>
              </w:rPr>
            </w:pPr>
            <w:r>
              <w:rPr>
                <w:rFonts w:ascii="Arial" w:cs="Arial" w:eastAsia="Arial" w:hAnsi="Arial"/>
                <w:sz w:val="14"/>
                <w:szCs w:val="14"/>
                <w:color w:val="auto"/>
              </w:rPr>
              <w:t>$25.00</w:t>
            </w:r>
          </w:p>
        </w:tc>
        <w:tc>
          <w:tcPr>
            <w:tcW w:w="1380" w:type="dxa"/>
            <w:vAlign w:val="bottom"/>
            <w:tcBorders>
              <w:right w:val="single" w:sz="8" w:color="005C7D"/>
            </w:tcBorders>
            <w:gridSpan w:val="3"/>
            <w:shd w:val="clear" w:color="auto" w:fill="CDDAE6"/>
          </w:tcPr>
          <w:p>
            <w:pPr>
              <w:jc w:val="right"/>
              <w:ind w:right="400"/>
              <w:spacing w:after="0"/>
              <w:rPr>
                <w:sz w:val="20"/>
                <w:szCs w:val="20"/>
                <w:color w:val="auto"/>
              </w:rPr>
            </w:pPr>
            <w:r>
              <w:rPr>
                <w:rFonts w:ascii="Arial" w:cs="Arial" w:eastAsia="Arial" w:hAnsi="Arial"/>
                <w:sz w:val="14"/>
                <w:szCs w:val="14"/>
                <w:color w:val="auto"/>
              </w:rPr>
              <w:t>100%</w:t>
            </w:r>
          </w:p>
        </w:tc>
      </w:tr>
      <w:tr>
        <w:trPr>
          <w:trHeight w:val="216"/>
        </w:trPr>
        <w:tc>
          <w:tcPr>
            <w:tcW w:w="320" w:type="dxa"/>
            <w:vAlign w:val="bottom"/>
            <w:tcBorders>
              <w:left w:val="single" w:sz="8" w:color="005C7D"/>
            </w:tcBorders>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color w:val="auto"/>
              </w:rPr>
              <w:t>Below Threshold</w:t>
            </w:r>
          </w:p>
        </w:tc>
        <w:tc>
          <w:tcPr>
            <w:tcW w:w="260" w:type="dxa"/>
            <w:vAlign w:val="bottom"/>
          </w:tcPr>
          <w:p>
            <w:pPr>
              <w:spacing w:after="0"/>
              <w:rPr>
                <w:sz w:val="18"/>
                <w:szCs w:val="18"/>
                <w:color w:val="auto"/>
              </w:rPr>
            </w:pPr>
          </w:p>
        </w:tc>
        <w:tc>
          <w:tcPr>
            <w:tcW w:w="1540" w:type="dxa"/>
            <w:vAlign w:val="bottom"/>
            <w:gridSpan w:val="3"/>
          </w:tcPr>
          <w:p>
            <w:pPr>
              <w:jc w:val="right"/>
              <w:ind w:right="540"/>
              <w:spacing w:after="0" w:line="216" w:lineRule="exact"/>
              <w:rPr>
                <w:sz w:val="20"/>
                <w:szCs w:val="20"/>
                <w:color w:val="auto"/>
              </w:rPr>
            </w:pPr>
            <w:r>
              <w:rPr>
                <w:rFonts w:ascii="Arial" w:cs="Arial" w:eastAsia="Arial" w:hAnsi="Arial"/>
                <w:sz w:val="14"/>
                <w:szCs w:val="14"/>
                <w:color w:val="auto"/>
                <w:w w:val="91"/>
              </w:rPr>
              <w:t>&lt; 25</w:t>
            </w:r>
            <w:r>
              <w:rPr>
                <w:rFonts w:ascii="Arial" w:cs="Arial" w:eastAsia="Arial" w:hAnsi="Arial"/>
                <w:sz w:val="24"/>
                <w:szCs w:val="24"/>
                <w:color w:val="auto"/>
                <w:w w:val="91"/>
                <w:vertAlign w:val="superscript"/>
              </w:rPr>
              <w:t>th</w:t>
            </w:r>
            <w:r>
              <w:rPr>
                <w:rFonts w:ascii="Arial" w:cs="Arial" w:eastAsia="Arial" w:hAnsi="Arial"/>
                <w:sz w:val="14"/>
                <w:szCs w:val="14"/>
                <w:color w:val="auto"/>
                <w:w w:val="91"/>
              </w:rPr>
              <w:t xml:space="preserve"> Percentile</w:t>
            </w:r>
          </w:p>
        </w:tc>
        <w:tc>
          <w:tcPr>
            <w:tcW w:w="1460" w:type="dxa"/>
            <w:vAlign w:val="bottom"/>
            <w:tcBorders>
              <w:right w:val="single" w:sz="8" w:color="005C7D"/>
            </w:tcBorders>
            <w:gridSpan w:val="3"/>
          </w:tcPr>
          <w:p>
            <w:pPr>
              <w:jc w:val="right"/>
              <w:ind w:right="340"/>
              <w:spacing w:after="0"/>
              <w:rPr>
                <w:sz w:val="20"/>
                <w:szCs w:val="20"/>
                <w:color w:val="auto"/>
              </w:rPr>
            </w:pPr>
            <w:r>
              <w:rPr>
                <w:rFonts w:ascii="Arial" w:cs="Arial" w:eastAsia="Arial" w:hAnsi="Arial"/>
                <w:sz w:val="14"/>
                <w:szCs w:val="14"/>
                <w:color w:val="auto"/>
              </w:rPr>
              <w:t>0%</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3"/>
          </w:tcPr>
          <w:p>
            <w:pPr>
              <w:jc w:val="right"/>
              <w:ind w:right="320"/>
              <w:spacing w:after="0"/>
              <w:rPr>
                <w:sz w:val="20"/>
                <w:szCs w:val="20"/>
                <w:color w:val="auto"/>
              </w:rPr>
            </w:pPr>
            <w:r>
              <w:rPr>
                <w:rFonts w:ascii="Arial" w:cs="Arial" w:eastAsia="Arial" w:hAnsi="Arial"/>
                <w:sz w:val="14"/>
                <w:szCs w:val="14"/>
                <w:color w:val="auto"/>
              </w:rPr>
              <w:t>$23.75</w:t>
            </w:r>
          </w:p>
        </w:tc>
        <w:tc>
          <w:tcPr>
            <w:tcW w:w="1380" w:type="dxa"/>
            <w:vAlign w:val="bottom"/>
            <w:tcBorders>
              <w:right w:val="single" w:sz="8" w:color="005C7D"/>
            </w:tcBorders>
            <w:gridSpan w:val="3"/>
          </w:tcPr>
          <w:p>
            <w:pPr>
              <w:jc w:val="right"/>
              <w:ind w:right="400"/>
              <w:spacing w:after="0"/>
              <w:rPr>
                <w:sz w:val="20"/>
                <w:szCs w:val="20"/>
                <w:color w:val="auto"/>
              </w:rPr>
            </w:pPr>
            <w:r>
              <w:rPr>
                <w:rFonts w:ascii="Arial" w:cs="Arial" w:eastAsia="Arial" w:hAnsi="Arial"/>
                <w:sz w:val="14"/>
                <w:szCs w:val="14"/>
                <w:color w:val="auto"/>
              </w:rPr>
              <w:t>75%</w:t>
            </w:r>
          </w:p>
        </w:tc>
      </w:tr>
      <w:tr>
        <w:trPr>
          <w:trHeight w:val="189"/>
        </w:trPr>
        <w:tc>
          <w:tcPr>
            <w:tcW w:w="320" w:type="dxa"/>
            <w:vAlign w:val="bottom"/>
            <w:tcBorders>
              <w:left w:val="single" w:sz="8" w:color="005C7D"/>
            </w:tcBorders>
            <w:shd w:val="clear" w:color="auto" w:fill="CDDAE6"/>
          </w:tcPr>
          <w:p>
            <w:pPr>
              <w:spacing w:after="0"/>
              <w:rPr>
                <w:sz w:val="16"/>
                <w:szCs w:val="16"/>
                <w:color w:val="auto"/>
              </w:rPr>
            </w:pPr>
          </w:p>
        </w:tc>
        <w:tc>
          <w:tcPr>
            <w:tcW w:w="280" w:type="dxa"/>
            <w:vAlign w:val="bottom"/>
            <w:shd w:val="clear" w:color="auto" w:fill="CDDAE6"/>
          </w:tcPr>
          <w:p>
            <w:pPr>
              <w:spacing w:after="0"/>
              <w:rPr>
                <w:sz w:val="16"/>
                <w:szCs w:val="16"/>
                <w:color w:val="auto"/>
              </w:rPr>
            </w:pPr>
          </w:p>
        </w:tc>
        <w:tc>
          <w:tcPr>
            <w:tcW w:w="320" w:type="dxa"/>
            <w:vAlign w:val="bottom"/>
            <w:shd w:val="clear" w:color="auto" w:fill="CDDAE6"/>
          </w:tcPr>
          <w:p>
            <w:pPr>
              <w:spacing w:after="0"/>
              <w:rPr>
                <w:sz w:val="16"/>
                <w:szCs w:val="16"/>
                <w:color w:val="auto"/>
              </w:rPr>
            </w:pPr>
          </w:p>
        </w:tc>
        <w:tc>
          <w:tcPr>
            <w:tcW w:w="680" w:type="dxa"/>
            <w:vAlign w:val="bottom"/>
            <w:shd w:val="clear" w:color="auto" w:fill="CDDAE6"/>
          </w:tcPr>
          <w:p>
            <w:pPr>
              <w:spacing w:after="0"/>
              <w:rPr>
                <w:sz w:val="16"/>
                <w:szCs w:val="16"/>
                <w:color w:val="auto"/>
              </w:rPr>
            </w:pPr>
          </w:p>
        </w:tc>
        <w:tc>
          <w:tcPr>
            <w:tcW w:w="260" w:type="dxa"/>
            <w:vAlign w:val="bottom"/>
            <w:shd w:val="clear" w:color="auto" w:fill="CDDAE6"/>
          </w:tcPr>
          <w:p>
            <w:pPr>
              <w:spacing w:after="0"/>
              <w:rPr>
                <w:sz w:val="16"/>
                <w:szCs w:val="16"/>
                <w:color w:val="auto"/>
              </w:rPr>
            </w:pPr>
          </w:p>
        </w:tc>
        <w:tc>
          <w:tcPr>
            <w:tcW w:w="760" w:type="dxa"/>
            <w:vAlign w:val="bottom"/>
            <w:shd w:val="clear" w:color="auto" w:fill="CDDAE6"/>
          </w:tcPr>
          <w:p>
            <w:pPr>
              <w:spacing w:after="0"/>
              <w:rPr>
                <w:sz w:val="16"/>
                <w:szCs w:val="16"/>
                <w:color w:val="auto"/>
              </w:rPr>
            </w:pPr>
          </w:p>
        </w:tc>
        <w:tc>
          <w:tcPr>
            <w:tcW w:w="360" w:type="dxa"/>
            <w:vAlign w:val="bottom"/>
            <w:shd w:val="clear" w:color="auto" w:fill="CDDAE6"/>
          </w:tcPr>
          <w:p>
            <w:pPr>
              <w:spacing w:after="0"/>
              <w:rPr>
                <w:sz w:val="16"/>
                <w:szCs w:val="16"/>
                <w:color w:val="auto"/>
              </w:rPr>
            </w:pPr>
          </w:p>
        </w:tc>
        <w:tc>
          <w:tcPr>
            <w:tcW w:w="420" w:type="dxa"/>
            <w:vAlign w:val="bottom"/>
            <w:shd w:val="clear" w:color="auto" w:fill="CDDAE6"/>
          </w:tcPr>
          <w:p>
            <w:pPr>
              <w:spacing w:after="0"/>
              <w:rPr>
                <w:sz w:val="16"/>
                <w:szCs w:val="16"/>
                <w:color w:val="auto"/>
              </w:rPr>
            </w:pPr>
          </w:p>
        </w:tc>
        <w:tc>
          <w:tcPr>
            <w:tcW w:w="120" w:type="dxa"/>
            <w:vAlign w:val="bottom"/>
            <w:shd w:val="clear" w:color="auto" w:fill="CDDAE6"/>
          </w:tcPr>
          <w:p>
            <w:pPr>
              <w:spacing w:after="0"/>
              <w:rPr>
                <w:sz w:val="16"/>
                <w:szCs w:val="16"/>
                <w:color w:val="auto"/>
              </w:rPr>
            </w:pPr>
          </w:p>
        </w:tc>
        <w:tc>
          <w:tcPr>
            <w:tcW w:w="480" w:type="dxa"/>
            <w:vAlign w:val="bottom"/>
            <w:shd w:val="clear" w:color="auto" w:fill="CDDAE6"/>
          </w:tcPr>
          <w:p>
            <w:pPr>
              <w:spacing w:after="0"/>
              <w:rPr>
                <w:sz w:val="16"/>
                <w:szCs w:val="16"/>
                <w:color w:val="auto"/>
              </w:rPr>
            </w:pPr>
          </w:p>
        </w:tc>
        <w:tc>
          <w:tcPr>
            <w:tcW w:w="860" w:type="dxa"/>
            <w:vAlign w:val="bottom"/>
            <w:tcBorders>
              <w:right w:val="single" w:sz="8" w:color="005C7D"/>
            </w:tcBorders>
            <w:shd w:val="clear" w:color="auto" w:fill="CDDAE6"/>
          </w:tcPr>
          <w:p>
            <w:pPr>
              <w:spacing w:after="0"/>
              <w:rPr>
                <w:sz w:val="16"/>
                <w:szCs w:val="16"/>
                <w:color w:val="auto"/>
              </w:rPr>
            </w:pPr>
          </w:p>
        </w:tc>
        <w:tc>
          <w:tcPr>
            <w:tcW w:w="600" w:type="dxa"/>
            <w:vAlign w:val="bottom"/>
            <w:shd w:val="clear" w:color="auto" w:fill="CDDAE6"/>
          </w:tcPr>
          <w:p>
            <w:pPr>
              <w:spacing w:after="0"/>
              <w:rPr>
                <w:sz w:val="16"/>
                <w:szCs w:val="16"/>
                <w:color w:val="auto"/>
              </w:rPr>
            </w:pPr>
          </w:p>
        </w:tc>
        <w:tc>
          <w:tcPr>
            <w:tcW w:w="1060" w:type="dxa"/>
            <w:vAlign w:val="bottom"/>
            <w:gridSpan w:val="3"/>
            <w:shd w:val="clear" w:color="auto" w:fill="CDDAE6"/>
          </w:tcPr>
          <w:p>
            <w:pPr>
              <w:spacing w:after="0"/>
              <w:rPr>
                <w:sz w:val="20"/>
                <w:szCs w:val="20"/>
                <w:color w:val="auto"/>
              </w:rPr>
            </w:pPr>
            <w:r>
              <w:rPr>
                <w:rFonts w:ascii="Arial" w:cs="Arial" w:eastAsia="Arial" w:hAnsi="Arial"/>
                <w:sz w:val="14"/>
                <w:szCs w:val="14"/>
                <w:color w:val="auto"/>
              </w:rPr>
              <w:t>Threshold</w:t>
            </w:r>
          </w:p>
        </w:tc>
        <w:tc>
          <w:tcPr>
            <w:tcW w:w="1660" w:type="dxa"/>
            <w:vAlign w:val="bottom"/>
            <w:gridSpan w:val="3"/>
            <w:shd w:val="clear" w:color="auto" w:fill="CDDAE6"/>
          </w:tcPr>
          <w:p>
            <w:pPr>
              <w:jc w:val="right"/>
              <w:ind w:right="320"/>
              <w:spacing w:after="0"/>
              <w:rPr>
                <w:sz w:val="20"/>
                <w:szCs w:val="20"/>
                <w:color w:val="auto"/>
              </w:rPr>
            </w:pPr>
            <w:r>
              <w:rPr>
                <w:rFonts w:ascii="Arial" w:cs="Arial" w:eastAsia="Arial" w:hAnsi="Arial"/>
                <w:sz w:val="14"/>
                <w:szCs w:val="14"/>
                <w:color w:val="auto"/>
              </w:rPr>
              <w:t>$22.50</w:t>
            </w:r>
          </w:p>
        </w:tc>
        <w:tc>
          <w:tcPr>
            <w:tcW w:w="1380" w:type="dxa"/>
            <w:vAlign w:val="bottom"/>
            <w:tcBorders>
              <w:right w:val="single" w:sz="8" w:color="005C7D"/>
            </w:tcBorders>
            <w:gridSpan w:val="3"/>
            <w:shd w:val="clear" w:color="auto" w:fill="CDDAE6"/>
          </w:tcPr>
          <w:p>
            <w:pPr>
              <w:jc w:val="right"/>
              <w:ind w:right="400"/>
              <w:spacing w:after="0"/>
              <w:rPr>
                <w:sz w:val="20"/>
                <w:szCs w:val="20"/>
                <w:color w:val="auto"/>
              </w:rPr>
            </w:pPr>
            <w:r>
              <w:rPr>
                <w:rFonts w:ascii="Arial" w:cs="Arial" w:eastAsia="Arial" w:hAnsi="Arial"/>
                <w:sz w:val="14"/>
                <w:szCs w:val="14"/>
                <w:color w:val="auto"/>
              </w:rPr>
              <w:t>50%</w:t>
            </w:r>
          </w:p>
        </w:tc>
      </w:tr>
      <w:tr>
        <w:trPr>
          <w:trHeight w:val="191"/>
        </w:trPr>
        <w:tc>
          <w:tcPr>
            <w:tcW w:w="320" w:type="dxa"/>
            <w:vAlign w:val="bottom"/>
            <w:tcBorders>
              <w:left w:val="single" w:sz="8" w:color="005C7D"/>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Borders>
              <w:right w:val="single" w:sz="8" w:color="005C7D"/>
            </w:tcBorders>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gridSpan w:val="3"/>
          </w:tcPr>
          <w:p>
            <w:pPr>
              <w:spacing w:after="0"/>
              <w:rPr>
                <w:sz w:val="20"/>
                <w:szCs w:val="20"/>
                <w:color w:val="auto"/>
              </w:rPr>
            </w:pPr>
            <w:r>
              <w:rPr>
                <w:rFonts w:ascii="Arial" w:cs="Arial" w:eastAsia="Arial" w:hAnsi="Arial"/>
                <w:sz w:val="14"/>
                <w:szCs w:val="14"/>
                <w:color w:val="auto"/>
                <w:w w:val="99"/>
              </w:rPr>
              <w:t>Below Threshold</w:t>
            </w:r>
          </w:p>
        </w:tc>
        <w:tc>
          <w:tcPr>
            <w:tcW w:w="1660" w:type="dxa"/>
            <w:vAlign w:val="bottom"/>
            <w:gridSpan w:val="3"/>
          </w:tcPr>
          <w:p>
            <w:pPr>
              <w:jc w:val="right"/>
              <w:ind w:right="320"/>
              <w:spacing w:after="0"/>
              <w:rPr>
                <w:sz w:val="20"/>
                <w:szCs w:val="20"/>
                <w:color w:val="auto"/>
              </w:rPr>
            </w:pPr>
            <w:r>
              <w:rPr>
                <w:rFonts w:ascii="Arial" w:cs="Arial" w:eastAsia="Arial" w:hAnsi="Arial"/>
                <w:sz w:val="14"/>
                <w:szCs w:val="14"/>
                <w:color w:val="auto"/>
              </w:rPr>
              <w:t>&lt; $22.50</w:t>
            </w:r>
          </w:p>
        </w:tc>
        <w:tc>
          <w:tcPr>
            <w:tcW w:w="1380" w:type="dxa"/>
            <w:vAlign w:val="bottom"/>
            <w:tcBorders>
              <w:right w:val="single" w:sz="8" w:color="005C7D"/>
            </w:tcBorders>
            <w:gridSpan w:val="3"/>
          </w:tcPr>
          <w:p>
            <w:pPr>
              <w:jc w:val="right"/>
              <w:ind w:right="400"/>
              <w:spacing w:after="0"/>
              <w:rPr>
                <w:sz w:val="20"/>
                <w:szCs w:val="20"/>
                <w:color w:val="auto"/>
              </w:rPr>
            </w:pPr>
            <w:r>
              <w:rPr>
                <w:rFonts w:ascii="Arial" w:cs="Arial" w:eastAsia="Arial" w:hAnsi="Arial"/>
                <w:sz w:val="14"/>
                <w:szCs w:val="14"/>
                <w:color w:val="auto"/>
              </w:rPr>
              <w:t>0%</w:t>
            </w:r>
          </w:p>
        </w:tc>
      </w:tr>
      <w:tr>
        <w:trPr>
          <w:trHeight w:val="174"/>
        </w:trPr>
        <w:tc>
          <w:tcPr>
            <w:tcW w:w="320" w:type="dxa"/>
            <w:vAlign w:val="bottom"/>
            <w:tcBorders>
              <w:left w:val="single" w:sz="8" w:color="005C7D"/>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Borders>
              <w:right w:val="single" w:sz="8" w:color="005C7D"/>
            </w:tcBorders>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Borders>
              <w:right w:val="single" w:sz="8" w:color="005C7D"/>
            </w:tcBorders>
          </w:tcPr>
          <w:p>
            <w:pPr>
              <w:spacing w:after="0"/>
              <w:rPr>
                <w:sz w:val="15"/>
                <w:szCs w:val="15"/>
                <w:color w:val="auto"/>
              </w:rPr>
            </w:pPr>
          </w:p>
        </w:tc>
      </w:tr>
      <w:tr>
        <w:trPr>
          <w:trHeight w:val="196"/>
        </w:trPr>
        <w:tc>
          <w:tcPr>
            <w:tcW w:w="3400" w:type="dxa"/>
            <w:vAlign w:val="bottom"/>
            <w:tcBorders>
              <w:left w:val="single" w:sz="8" w:color="005C7D"/>
              <w:bottom w:val="single" w:sz="8" w:color="005C7D"/>
            </w:tcBorders>
            <w:gridSpan w:val="8"/>
          </w:tcPr>
          <w:p>
            <w:pPr>
              <w:ind w:left="320"/>
              <w:spacing w:after="0"/>
              <w:rPr>
                <w:sz w:val="20"/>
                <w:szCs w:val="20"/>
                <w:color w:val="auto"/>
              </w:rPr>
            </w:pPr>
            <w:r>
              <w:rPr>
                <w:rFonts w:ascii="Arial" w:cs="Arial" w:eastAsia="Arial" w:hAnsi="Arial"/>
                <w:sz w:val="14"/>
                <w:szCs w:val="14"/>
                <w:color w:val="auto"/>
              </w:rPr>
              <w:t>*Interim points are interpolated.</w:t>
            </w:r>
          </w:p>
        </w:tc>
        <w:tc>
          <w:tcPr>
            <w:tcW w:w="120" w:type="dxa"/>
            <w:vAlign w:val="bottom"/>
            <w:tcBorders>
              <w:bottom w:val="single" w:sz="8" w:color="005C7D"/>
            </w:tcBorders>
          </w:tcPr>
          <w:p>
            <w:pPr>
              <w:spacing w:after="0"/>
              <w:rPr>
                <w:sz w:val="17"/>
                <w:szCs w:val="17"/>
                <w:color w:val="auto"/>
              </w:rPr>
            </w:pPr>
          </w:p>
        </w:tc>
        <w:tc>
          <w:tcPr>
            <w:tcW w:w="480" w:type="dxa"/>
            <w:vAlign w:val="bottom"/>
            <w:tcBorders>
              <w:bottom w:val="single" w:sz="8" w:color="005C7D"/>
            </w:tcBorders>
          </w:tcPr>
          <w:p>
            <w:pPr>
              <w:spacing w:after="0"/>
              <w:rPr>
                <w:sz w:val="17"/>
                <w:szCs w:val="17"/>
                <w:color w:val="auto"/>
              </w:rPr>
            </w:pPr>
          </w:p>
        </w:tc>
        <w:tc>
          <w:tcPr>
            <w:tcW w:w="860" w:type="dxa"/>
            <w:vAlign w:val="bottom"/>
            <w:tcBorders>
              <w:bottom w:val="single" w:sz="8" w:color="005C7D"/>
              <w:right w:val="single" w:sz="8" w:color="005C7D"/>
            </w:tcBorders>
          </w:tcPr>
          <w:p>
            <w:pPr>
              <w:spacing w:after="0"/>
              <w:rPr>
                <w:sz w:val="17"/>
                <w:szCs w:val="17"/>
                <w:color w:val="auto"/>
              </w:rPr>
            </w:pPr>
          </w:p>
        </w:tc>
        <w:tc>
          <w:tcPr>
            <w:tcW w:w="3320" w:type="dxa"/>
            <w:vAlign w:val="bottom"/>
            <w:tcBorders>
              <w:bottom w:val="single" w:sz="8" w:color="005C7D"/>
            </w:tcBorders>
            <w:gridSpan w:val="7"/>
          </w:tcPr>
          <w:p>
            <w:pPr>
              <w:ind w:left="580"/>
              <w:spacing w:after="0"/>
              <w:rPr>
                <w:sz w:val="20"/>
                <w:szCs w:val="20"/>
                <w:color w:val="auto"/>
              </w:rPr>
            </w:pPr>
            <w:r>
              <w:rPr>
                <w:rFonts w:ascii="Arial" w:cs="Arial" w:eastAsia="Arial" w:hAnsi="Arial"/>
                <w:sz w:val="14"/>
                <w:szCs w:val="14"/>
                <w:color w:val="auto"/>
              </w:rPr>
              <w:t>*Interim points are interpolated.</w:t>
            </w:r>
          </w:p>
        </w:tc>
        <w:tc>
          <w:tcPr>
            <w:tcW w:w="440" w:type="dxa"/>
            <w:vAlign w:val="bottom"/>
            <w:tcBorders>
              <w:bottom w:val="single" w:sz="8" w:color="005C7D"/>
            </w:tcBorders>
          </w:tcPr>
          <w:p>
            <w:pPr>
              <w:spacing w:after="0"/>
              <w:rPr>
                <w:sz w:val="17"/>
                <w:szCs w:val="17"/>
                <w:color w:val="auto"/>
              </w:rPr>
            </w:pPr>
          </w:p>
        </w:tc>
        <w:tc>
          <w:tcPr>
            <w:tcW w:w="480" w:type="dxa"/>
            <w:vAlign w:val="bottom"/>
            <w:tcBorders>
              <w:bottom w:val="single" w:sz="8" w:color="005C7D"/>
            </w:tcBorders>
          </w:tcPr>
          <w:p>
            <w:pPr>
              <w:spacing w:after="0"/>
              <w:rPr>
                <w:sz w:val="17"/>
                <w:szCs w:val="17"/>
                <w:color w:val="auto"/>
              </w:rPr>
            </w:pPr>
          </w:p>
        </w:tc>
        <w:tc>
          <w:tcPr>
            <w:tcW w:w="460" w:type="dxa"/>
            <w:vAlign w:val="bottom"/>
            <w:tcBorders>
              <w:bottom w:val="single" w:sz="8" w:color="005C7D"/>
              <w:right w:val="single" w:sz="8" w:color="005C7D"/>
            </w:tcBorders>
          </w:tcPr>
          <w:p>
            <w:pPr>
              <w:spacing w:after="0"/>
              <w:rPr>
                <w:sz w:val="17"/>
                <w:szCs w:val="17"/>
                <w:color w:val="auto"/>
              </w:rPr>
            </w:pPr>
          </w:p>
        </w:tc>
      </w:tr>
    </w:tbl>
    <w:p>
      <w:pPr>
        <w:spacing w:after="0" w:line="14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While the Committee has elected to use EPS as a performance measure for both the annual incentive plan and the long-term performance awards, the performance requirements under these plans are designed so that the resulting payouts under the plans reflect different and important aspects of Company performance that are not duplicative. Payouts under the annual incentive plan take into account EPS performance for a single fiscal year, while payouts under the long-term performance awards require EPS performance to be sustained and measured over a three-year period. The Committee believes it is appropriate to separately reward annual and long-term EPS performance achievements because of the importance of EPS in creating shareholder value.</w:t>
      </w:r>
    </w:p>
    <w:p>
      <w:pPr>
        <w:spacing w:after="0" w:line="11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Relative Benchmark for the TSR-Based Performance Awards. </w:t>
      </w:r>
      <w:r>
        <w:rPr>
          <w:rFonts w:ascii="Arial" w:cs="Arial" w:eastAsia="Arial" w:hAnsi="Arial"/>
          <w:sz w:val="16"/>
          <w:szCs w:val="16"/>
          <w:color w:val="auto"/>
        </w:rPr>
        <w:t>The benchmark used to assess the Company’s relative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TSR-based performance cash awards consists of a custom peer group of companies (the “performance peer group”) with a sales mix that is heavily weighted towards sales to the DoD and the defense industry, and which include the primary U.S. public company competitors for each of L3’s reporting segments. For the 2016 grant, the Committee changed the composition of the performance peer group (as compared to the group used for the 2015 grant) by removing three companies (CACI International, Leidos Holdings and ManTech International) that were originally selected because they were competitors to the Company’s National Security Solutions business (which was sold by the Company prior to the 2016 grant), and by adding four companies (Cubic, Esterline Technologies, FLIR Systems, and Teledyne Technologies) that are competitors of L3’s remaining segments. The companies included in the performance peer group for the 2016 TSR-based performance cash awards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07187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Peer Group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880" w:type="dxa"/>
            <w:vAlign w:val="bottom"/>
            <w:tcBorders>
              <w:top w:val="single" w:sz="8" w:color="005C7D"/>
            </w:tcBorders>
            <w:shd w:val="clear" w:color="auto" w:fill="CDDAE6"/>
          </w:tcPr>
          <w:p>
            <w:pPr>
              <w:ind w:left="40"/>
              <w:spacing w:after="0"/>
              <w:rPr>
                <w:sz w:val="20"/>
                <w:szCs w:val="20"/>
                <w:color w:val="auto"/>
              </w:rPr>
            </w:pPr>
            <w:r>
              <w:rPr>
                <w:rFonts w:ascii="Arial" w:cs="Arial" w:eastAsia="Arial" w:hAnsi="Arial"/>
                <w:sz w:val="18"/>
                <w:szCs w:val="18"/>
                <w:color w:val="auto"/>
              </w:rPr>
              <w:t>BAE Systems</w:t>
            </w:r>
          </w:p>
        </w:tc>
        <w:tc>
          <w:tcPr>
            <w:tcW w:w="3160" w:type="dxa"/>
            <w:vAlign w:val="bottom"/>
            <w:tcBorders>
              <w:top w:val="single" w:sz="8" w:color="005C7D"/>
            </w:tcBorders>
            <w:shd w:val="clear" w:color="auto" w:fill="CDDAE6"/>
          </w:tcPr>
          <w:p>
            <w:pPr>
              <w:ind w:left="280"/>
              <w:spacing w:after="0"/>
              <w:rPr>
                <w:sz w:val="20"/>
                <w:szCs w:val="20"/>
                <w:color w:val="auto"/>
              </w:rPr>
            </w:pPr>
            <w:r>
              <w:rPr>
                <w:rFonts w:ascii="Arial" w:cs="Arial" w:eastAsia="Arial" w:hAnsi="Arial"/>
                <w:sz w:val="18"/>
                <w:szCs w:val="18"/>
                <w:color w:val="auto"/>
              </w:rPr>
              <w:t>Harris Corporation</w:t>
            </w:r>
          </w:p>
        </w:tc>
        <w:tc>
          <w:tcPr>
            <w:tcW w:w="3520" w:type="dxa"/>
            <w:vAlign w:val="bottom"/>
            <w:tcBorders>
              <w:top w:val="single" w:sz="8" w:color="005C7D"/>
            </w:tcBorders>
            <w:shd w:val="clear" w:color="auto" w:fill="CDDAE6"/>
          </w:tcPr>
          <w:p>
            <w:pPr>
              <w:ind w:left="380"/>
              <w:spacing w:after="0"/>
              <w:rPr>
                <w:sz w:val="20"/>
                <w:szCs w:val="20"/>
                <w:color w:val="auto"/>
              </w:rPr>
            </w:pPr>
            <w:r>
              <w:rPr>
                <w:rFonts w:ascii="Arial" w:cs="Arial" w:eastAsia="Arial" w:hAnsi="Arial"/>
                <w:sz w:val="18"/>
                <w:szCs w:val="18"/>
                <w:color w:val="auto"/>
              </w:rPr>
              <w:t>Raytheon Company</w:t>
            </w: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color w:val="auto"/>
              </w:rPr>
              <w:t>Cubic Corporation</w:t>
            </w:r>
          </w:p>
        </w:tc>
        <w:tc>
          <w:tcPr>
            <w:tcW w:w="3160" w:type="dxa"/>
            <w:vAlign w:val="bottom"/>
          </w:tcPr>
          <w:p>
            <w:pPr>
              <w:ind w:left="280"/>
              <w:spacing w:after="0"/>
              <w:rPr>
                <w:sz w:val="20"/>
                <w:szCs w:val="20"/>
                <w:color w:val="auto"/>
              </w:rPr>
            </w:pPr>
            <w:r>
              <w:rPr>
                <w:rFonts w:ascii="Arial" w:cs="Arial" w:eastAsia="Arial" w:hAnsi="Arial"/>
                <w:sz w:val="18"/>
                <w:szCs w:val="18"/>
                <w:color w:val="auto"/>
              </w:rPr>
              <w:t>Huntington Ingalls Industries, Inc.</w:t>
            </w:r>
          </w:p>
        </w:tc>
        <w:tc>
          <w:tcPr>
            <w:tcW w:w="3520" w:type="dxa"/>
            <w:vAlign w:val="bottom"/>
          </w:tcPr>
          <w:p>
            <w:pPr>
              <w:ind w:left="380"/>
              <w:spacing w:after="0"/>
              <w:rPr>
                <w:sz w:val="20"/>
                <w:szCs w:val="20"/>
                <w:color w:val="auto"/>
              </w:rPr>
            </w:pPr>
            <w:r>
              <w:rPr>
                <w:rFonts w:ascii="Arial" w:cs="Arial" w:eastAsia="Arial" w:hAnsi="Arial"/>
                <w:sz w:val="18"/>
                <w:szCs w:val="18"/>
                <w:color w:val="auto"/>
              </w:rPr>
              <w:t>Rockwell Collins, Inc.</w:t>
            </w:r>
          </w:p>
        </w:tc>
      </w:tr>
      <w:tr>
        <w:trPr>
          <w:trHeight w:val="249"/>
        </w:trPr>
        <w:tc>
          <w:tcPr>
            <w:tcW w:w="2880" w:type="dxa"/>
            <w:vAlign w:val="bottom"/>
            <w:shd w:val="clear" w:color="auto" w:fill="CDDAE6"/>
          </w:tcPr>
          <w:p>
            <w:pPr>
              <w:ind w:left="40"/>
              <w:spacing w:after="0"/>
              <w:rPr>
                <w:sz w:val="20"/>
                <w:szCs w:val="20"/>
                <w:color w:val="auto"/>
              </w:rPr>
            </w:pPr>
            <w:r>
              <w:rPr>
                <w:rFonts w:ascii="Arial" w:cs="Arial" w:eastAsia="Arial" w:hAnsi="Arial"/>
                <w:sz w:val="18"/>
                <w:szCs w:val="18"/>
                <w:color w:val="auto"/>
              </w:rPr>
              <w:t>Esterline Technologies Corporation</w:t>
            </w:r>
          </w:p>
        </w:tc>
        <w:tc>
          <w:tcPr>
            <w:tcW w:w="3160" w:type="dxa"/>
            <w:vAlign w:val="bottom"/>
            <w:shd w:val="clear" w:color="auto" w:fill="CDDAE6"/>
          </w:tcPr>
          <w:p>
            <w:pPr>
              <w:ind w:left="280"/>
              <w:spacing w:after="0"/>
              <w:rPr>
                <w:sz w:val="20"/>
                <w:szCs w:val="20"/>
                <w:color w:val="auto"/>
              </w:rPr>
            </w:pPr>
            <w:r>
              <w:rPr>
                <w:rFonts w:ascii="Arial" w:cs="Arial" w:eastAsia="Arial" w:hAnsi="Arial"/>
                <w:sz w:val="18"/>
                <w:szCs w:val="18"/>
                <w:color w:val="auto"/>
              </w:rPr>
              <w:t>Lockheed Martin Corporation</w:t>
            </w:r>
          </w:p>
        </w:tc>
        <w:tc>
          <w:tcPr>
            <w:tcW w:w="3520" w:type="dxa"/>
            <w:vAlign w:val="bottom"/>
            <w:shd w:val="clear" w:color="auto" w:fill="CDDAE6"/>
          </w:tcPr>
          <w:p>
            <w:pPr>
              <w:ind w:left="380"/>
              <w:spacing w:after="0"/>
              <w:rPr>
                <w:sz w:val="20"/>
                <w:szCs w:val="20"/>
                <w:color w:val="auto"/>
              </w:rPr>
            </w:pPr>
            <w:r>
              <w:rPr>
                <w:rFonts w:ascii="Arial" w:cs="Arial" w:eastAsia="Arial" w:hAnsi="Arial"/>
                <w:sz w:val="18"/>
                <w:szCs w:val="18"/>
                <w:color w:val="auto"/>
              </w:rPr>
              <w:t>Teledyne Technologies Inc.</w:t>
            </w: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color w:val="auto"/>
              </w:rPr>
              <w:t>FLIR Systems, Inc.</w:t>
            </w:r>
          </w:p>
        </w:tc>
        <w:tc>
          <w:tcPr>
            <w:tcW w:w="3160" w:type="dxa"/>
            <w:vAlign w:val="bottom"/>
          </w:tcPr>
          <w:p>
            <w:pPr>
              <w:ind w:left="280"/>
              <w:spacing w:after="0"/>
              <w:rPr>
                <w:sz w:val="20"/>
                <w:szCs w:val="20"/>
                <w:color w:val="auto"/>
              </w:rPr>
            </w:pPr>
            <w:r>
              <w:rPr>
                <w:rFonts w:ascii="Arial" w:cs="Arial" w:eastAsia="Arial" w:hAnsi="Arial"/>
                <w:sz w:val="18"/>
                <w:szCs w:val="18"/>
                <w:color w:val="auto"/>
              </w:rPr>
              <w:t>Northrop Grumman Corporation</w:t>
            </w:r>
          </w:p>
        </w:tc>
        <w:tc>
          <w:tcPr>
            <w:tcW w:w="3520" w:type="dxa"/>
            <w:vAlign w:val="bottom"/>
          </w:tcPr>
          <w:p>
            <w:pPr>
              <w:ind w:left="380"/>
              <w:spacing w:after="0"/>
              <w:rPr>
                <w:sz w:val="20"/>
                <w:szCs w:val="20"/>
                <w:color w:val="auto"/>
              </w:rPr>
            </w:pPr>
            <w:r>
              <w:rPr>
                <w:rFonts w:ascii="Arial" w:cs="Arial" w:eastAsia="Arial" w:hAnsi="Arial"/>
                <w:sz w:val="18"/>
                <w:szCs w:val="18"/>
                <w:color w:val="auto"/>
              </w:rPr>
              <w:t>Textron Inc.</w:t>
            </w:r>
          </w:p>
        </w:tc>
      </w:tr>
      <w:tr>
        <w:trPr>
          <w:trHeight w:val="243"/>
        </w:trPr>
        <w:tc>
          <w:tcPr>
            <w:tcW w:w="2880" w:type="dxa"/>
            <w:vAlign w:val="bottom"/>
            <w:tcBorders>
              <w:bottom w:val="single" w:sz="8" w:color="005C7D"/>
            </w:tcBorders>
            <w:shd w:val="clear" w:color="auto" w:fill="CDDAE6"/>
          </w:tcPr>
          <w:p>
            <w:pPr>
              <w:ind w:left="40"/>
              <w:spacing w:after="0"/>
              <w:rPr>
                <w:sz w:val="20"/>
                <w:szCs w:val="20"/>
                <w:color w:val="auto"/>
              </w:rPr>
            </w:pPr>
            <w:r>
              <w:rPr>
                <w:rFonts w:ascii="Arial" w:cs="Arial" w:eastAsia="Arial" w:hAnsi="Arial"/>
                <w:sz w:val="18"/>
                <w:szCs w:val="18"/>
                <w:color w:val="auto"/>
              </w:rPr>
              <w:t>General Dynamics Corporation</w:t>
            </w:r>
          </w:p>
        </w:tc>
        <w:tc>
          <w:tcPr>
            <w:tcW w:w="3160" w:type="dxa"/>
            <w:vAlign w:val="bottom"/>
            <w:tcBorders>
              <w:bottom w:val="single" w:sz="8" w:color="005C7D"/>
            </w:tcBorders>
            <w:shd w:val="clear" w:color="auto" w:fill="CDDAE6"/>
          </w:tcPr>
          <w:p>
            <w:pPr>
              <w:ind w:left="280"/>
              <w:spacing w:after="0"/>
              <w:rPr>
                <w:sz w:val="20"/>
                <w:szCs w:val="20"/>
                <w:color w:val="auto"/>
              </w:rPr>
            </w:pPr>
            <w:r>
              <w:rPr>
                <w:rFonts w:ascii="Arial" w:cs="Arial" w:eastAsia="Arial" w:hAnsi="Arial"/>
                <w:sz w:val="18"/>
                <w:szCs w:val="18"/>
                <w:color w:val="auto"/>
              </w:rPr>
              <w:t>Orbital ATK, Inc.</w:t>
            </w:r>
          </w:p>
        </w:tc>
        <w:tc>
          <w:tcPr>
            <w:tcW w:w="3520" w:type="dxa"/>
            <w:vAlign w:val="bottom"/>
            <w:tcBorders>
              <w:bottom w:val="single" w:sz="8" w:color="005C7D"/>
            </w:tcBorders>
            <w:shd w:val="clear" w:color="auto" w:fill="CDDAE6"/>
          </w:tcPr>
          <w:p>
            <w:pPr>
              <w:spacing w:after="0"/>
              <w:rPr>
                <w:sz w:val="21"/>
                <w:szCs w:val="21"/>
                <w:color w:val="auto"/>
              </w:rPr>
            </w:pPr>
          </w:p>
        </w:tc>
      </w:tr>
    </w:tbl>
    <w:p>
      <w:pPr>
        <w:spacing w:after="0" w:line="14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Targets for 2016 EPS-Based Performance Awards. </w:t>
      </w:r>
      <w:r>
        <w:rPr>
          <w:rFonts w:ascii="Arial" w:cs="Arial" w:eastAsia="Arial" w:hAnsi="Arial"/>
          <w:sz w:val="16"/>
          <w:szCs w:val="16"/>
          <w:color w:val="auto"/>
        </w:rPr>
        <w:t>The performance targets for the 2016 EPS-based performance unit awards are</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a three-year forecast presented by management to the Committee in February 2016. The forecast was based on the DoD base budget enacted by Congress for the USG fiscal year ended September 30, 2016, and the Obama Administration’s fiscal 2017 budget request on February 9, 2016, including its most recent estimates for the DoD Overseas Contingency Operations budgets. The projected compound annual growth rate (“CAGR”) for these total DoD budgets was approximately 0.5% from the USG fiscal year ended September 30, 2015 to the USG fiscal year ended September 30, 2018. Projections for sales to international and commercial customers (non-U.S. Government customers) assumed a continued slow growth global economy.</w:t>
      </w:r>
    </w:p>
    <w:p>
      <w:pPr>
        <w:spacing w:after="0" w:line="208" w:lineRule="exact"/>
        <w:rPr>
          <w:sz w:val="20"/>
          <w:szCs w:val="20"/>
          <w:color w:val="auto"/>
        </w:rPr>
      </w:pPr>
    </w:p>
    <w:p>
      <w:pPr>
        <w:ind w:left="7820"/>
        <w:spacing w:after="0"/>
        <w:tabs>
          <w:tab w:leader="none" w:pos="932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6071870" cy="431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-107315</wp:posOffset>
            </wp:positionV>
            <wp:extent cx="163195" cy="154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005C7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2"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Given the outlook described above, management’s three-year forecast for cumulative EPS was $24.94 which represents average annual forecasted EPS of $8.31 (or a CAGR of approximately 9.7% from 2015 to 2018). The forecast assumed an average annual organic growth rate of approximately 0% for consolidated sales from 2015 to 2018, and average annual operating margin increases over the same period of 73 basis points, resulting in an average annual operating income growth rate of approximately 8% from 2015 to 2018. The Committee considered these assumptions to be meaningful and rigorous, and set the three-year cumulative EPS target for the 2016 EPS-based performance unit awards based on management’s forecast of $25.00 (rounded up from $24.94). The Committee set the threshold and maximum EPS performance goals under the 2016 performance unit awards based on a range of ±10% of the target three-year goal. This differs from 2015, which had a performance range of ±7.5% of the target three-year goal. The change in the performance range was due to the DoD budget beginning to grow in 2016, offset by increased risks for international and commercial business, including as a result of the slowing of the global economy, the peaking of the commercial aerospace cycle and declining commodity prices, including oil.</w:t>
      </w:r>
    </w:p>
    <w:p>
      <w:pPr>
        <w:spacing w:after="0" w:line="11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purposes of calculating actual financial results for the performance unit awards, EPS is required to be calculated on the same basis as the methodology used to determine EPS performance under L3’s annual incentive plan.</w:t>
      </w:r>
    </w:p>
    <w:p>
      <w:pPr>
        <w:spacing w:after="0" w:line="1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i w:val="1"/>
          <w:iCs w:val="1"/>
          <w:color w:val="auto"/>
        </w:rPr>
        <w:t xml:space="preserve">RSUs. </w:t>
      </w:r>
      <w:r>
        <w:rPr>
          <w:rFonts w:ascii="Arial" w:cs="Arial" w:eastAsia="Arial" w:hAnsi="Arial"/>
          <w:sz w:val="18"/>
          <w:szCs w:val="18"/>
          <w:color w:val="auto"/>
        </w:rPr>
        <w:t>RSUs are a regular component of our long-term incentive program. The Committee believes that RSUs enhance retention of</w:t>
      </w:r>
      <w:r>
        <w:rPr>
          <w:rFonts w:ascii="Arial" w:cs="Arial" w:eastAsia="Arial" w:hAnsi="Arial"/>
          <w:sz w:val="18"/>
          <w:szCs w:val="18"/>
          <w:i w:val="1"/>
          <w:iCs w:val="1"/>
          <w:color w:val="auto"/>
        </w:rPr>
        <w:t xml:space="preserve"> </w:t>
      </w:r>
      <w:r>
        <w:rPr>
          <w:rFonts w:ascii="Arial" w:cs="Arial" w:eastAsia="Arial" w:hAnsi="Arial"/>
          <w:sz w:val="18"/>
          <w:szCs w:val="18"/>
          <w:color w:val="auto"/>
        </w:rPr>
        <w:t>L3’s senior executives. The Committee may also make these awards to recognize increased responsibilities or special contributions, to attract new executives, to retain executives or to recognize other special circumstances. RSU grants generally have the following characteristics:</w:t>
      </w:r>
    </w:p>
    <w:p>
      <w:pPr>
        <w:spacing w:after="0" w:line="79" w:lineRule="exact"/>
        <w:rPr>
          <w:sz w:val="20"/>
          <w:szCs w:val="20"/>
          <w:color w:val="auto"/>
        </w:rPr>
      </w:pPr>
    </w:p>
    <w:p>
      <w:pPr>
        <w:ind w:left="700" w:hanging="356"/>
        <w:spacing w:after="0"/>
        <w:tabs>
          <w:tab w:leader="none" w:pos="700" w:val="left"/>
        </w:tabs>
        <w:numPr>
          <w:ilvl w:val="0"/>
          <w:numId w:val="64"/>
        </w:numPr>
        <w:rPr>
          <w:rFonts w:ascii="Arial" w:cs="Arial" w:eastAsia="Arial" w:hAnsi="Arial"/>
          <w:sz w:val="18"/>
          <w:szCs w:val="18"/>
          <w:color w:val="005C7D"/>
        </w:rPr>
      </w:pPr>
      <w:r>
        <w:rPr>
          <w:rFonts w:ascii="Arial" w:cs="Arial" w:eastAsia="Arial" w:hAnsi="Arial"/>
          <w:sz w:val="18"/>
          <w:szCs w:val="18"/>
          <w:color w:val="auto"/>
        </w:rPr>
        <w:t>automatically convert into shares of our Common Stock on the vesting date;</w:t>
      </w:r>
    </w:p>
    <w:p>
      <w:pPr>
        <w:spacing w:after="0" w:line="117" w:lineRule="exact"/>
        <w:rPr>
          <w:rFonts w:ascii="Arial" w:cs="Arial" w:eastAsia="Arial" w:hAnsi="Arial"/>
          <w:sz w:val="18"/>
          <w:szCs w:val="18"/>
          <w:color w:val="005C7D"/>
        </w:rPr>
      </w:pPr>
    </w:p>
    <w:p>
      <w:pPr>
        <w:ind w:left="700" w:hanging="356"/>
        <w:spacing w:after="0"/>
        <w:tabs>
          <w:tab w:leader="none" w:pos="700" w:val="left"/>
        </w:tabs>
        <w:numPr>
          <w:ilvl w:val="0"/>
          <w:numId w:val="64"/>
        </w:numPr>
        <w:rPr>
          <w:rFonts w:ascii="Arial" w:cs="Arial" w:eastAsia="Arial" w:hAnsi="Arial"/>
          <w:sz w:val="18"/>
          <w:szCs w:val="18"/>
          <w:color w:val="005C7D"/>
        </w:rPr>
      </w:pPr>
      <w:r>
        <w:rPr>
          <w:rFonts w:ascii="Arial" w:cs="Arial" w:eastAsia="Arial" w:hAnsi="Arial"/>
          <w:sz w:val="18"/>
          <w:szCs w:val="18"/>
          <w:color w:val="auto"/>
        </w:rPr>
        <w:t>vest three years from the grant date; and</w:t>
      </w:r>
    </w:p>
    <w:p>
      <w:pPr>
        <w:spacing w:after="0" w:line="117" w:lineRule="exact"/>
        <w:rPr>
          <w:rFonts w:ascii="Arial" w:cs="Arial" w:eastAsia="Arial" w:hAnsi="Arial"/>
          <w:sz w:val="18"/>
          <w:szCs w:val="18"/>
          <w:color w:val="005C7D"/>
        </w:rPr>
      </w:pPr>
    </w:p>
    <w:p>
      <w:pPr>
        <w:ind w:left="700" w:hanging="356"/>
        <w:spacing w:after="0"/>
        <w:tabs>
          <w:tab w:leader="none" w:pos="700" w:val="left"/>
        </w:tabs>
        <w:numPr>
          <w:ilvl w:val="0"/>
          <w:numId w:val="64"/>
        </w:numPr>
        <w:rPr>
          <w:rFonts w:ascii="Arial" w:cs="Arial" w:eastAsia="Arial" w:hAnsi="Arial"/>
          <w:sz w:val="18"/>
          <w:szCs w:val="18"/>
          <w:color w:val="005C7D"/>
        </w:rPr>
      </w:pPr>
      <w:r>
        <w:rPr>
          <w:rFonts w:ascii="Arial" w:cs="Arial" w:eastAsia="Arial" w:hAnsi="Arial"/>
          <w:sz w:val="18"/>
          <w:szCs w:val="18"/>
          <w:color w:val="auto"/>
        </w:rPr>
        <w:t>accumulate cash dividend equivalents payable in a lump sum contingent upon vesting.</w:t>
      </w:r>
    </w:p>
    <w:p>
      <w:pPr>
        <w:spacing w:after="0" w:line="171" w:lineRule="exact"/>
        <w:rPr>
          <w:sz w:val="20"/>
          <w:szCs w:val="20"/>
          <w:color w:val="auto"/>
        </w:rPr>
      </w:pPr>
    </w:p>
    <w:p>
      <w:pPr>
        <w:ind w:right="260"/>
        <w:spacing w:after="0" w:line="312" w:lineRule="auto"/>
        <w:rPr>
          <w:rFonts w:ascii="Arial" w:cs="Arial" w:eastAsia="Arial" w:hAnsi="Arial"/>
          <w:sz w:val="16"/>
          <w:szCs w:val="16"/>
          <w:color w:val="auto"/>
        </w:rPr>
      </w:pPr>
      <w:r>
        <w:rPr>
          <w:rFonts w:ascii="Arial" w:cs="Arial" w:eastAsia="Arial" w:hAnsi="Arial"/>
          <w:sz w:val="16"/>
          <w:szCs w:val="16"/>
          <w:color w:val="auto"/>
        </w:rPr>
        <w:t xml:space="preserve">RSU grants to senior executives are also subject to performance-based forfeiture conditions intended to qualify the compensation paid under these awards as performance-based compensation under Section 162(m) of the Internal Revenue Code. For a further discussion, see “— Tax Considerations” on page </w:t>
      </w:r>
      <w:hyperlink w:anchor="page65">
        <w:r>
          <w:rPr>
            <w:rFonts w:ascii="Arial" w:cs="Arial" w:eastAsia="Arial" w:hAnsi="Arial"/>
            <w:sz w:val="16"/>
            <w:szCs w:val="16"/>
            <w:u w:val="single" w:color="auto"/>
            <w:color w:val="0000EE"/>
          </w:rPr>
          <w:t>59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Note 4 to the “2016 Grants of Plan Based Awards” table on page </w:t>
      </w:r>
      <w:hyperlink w:anchor="page71">
        <w:r>
          <w:rPr>
            <w:rFonts w:ascii="Arial" w:cs="Arial" w:eastAsia="Arial" w:hAnsi="Arial"/>
            <w:sz w:val="16"/>
            <w:szCs w:val="16"/>
            <w:u w:val="single" w:color="auto"/>
            <w:color w:val="0000EE"/>
          </w:rPr>
          <w:t>65</w:t>
        </w:r>
      </w:hyperlink>
      <w:r>
        <w:rPr>
          <w:rFonts w:ascii="Arial" w:cs="Arial" w:eastAsia="Arial" w:hAnsi="Arial"/>
          <w:sz w:val="16"/>
          <w:szCs w:val="16"/>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PERFORMANCE AWARDS FOR THE 2014-2016 AWARD CYCLE</w:t>
      </w:r>
    </w:p>
    <w:p>
      <w:pPr>
        <w:spacing w:after="0" w:line="175" w:lineRule="exact"/>
        <w:rPr>
          <w:sz w:val="20"/>
          <w:szCs w:val="20"/>
          <w:color w:val="auto"/>
        </w:rPr>
      </w:pPr>
    </w:p>
    <w:p>
      <w:pPr>
        <w:ind w:right="360"/>
        <w:spacing w:after="0" w:line="269" w:lineRule="auto"/>
        <w:rPr>
          <w:sz w:val="20"/>
          <w:szCs w:val="20"/>
          <w:color w:val="auto"/>
        </w:rPr>
      </w:pPr>
      <w:r>
        <w:rPr>
          <w:rFonts w:ascii="Arial" w:cs="Arial" w:eastAsia="Arial" w:hAnsi="Arial"/>
          <w:sz w:val="16"/>
          <w:szCs w:val="16"/>
          <w:color w:val="auto"/>
        </w:rPr>
        <w:t>At its February 7, 2017 meeting, the Committee reviewed and certified the results for the performance awards granted to named executive officers in 2014. Payouts under the 2014 performance awards were contingent upon L3’s EPS and relative TSR achievements over the three-year performance period ending December 31, 2016. The Company achieved cumulative EPS of $22.86, which was below the threshold performance requirement of $24.10, and as a result, no payout was made with respect to these awards. With respect to the performance cash awards based on relative TSR performance, L3’s TSR was below the 40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 threshold performance requirement, and as a result, no payout was made with respect to these awards.</w:t>
      </w:r>
    </w:p>
    <w:p>
      <w:pPr>
        <w:spacing w:after="0" w:line="11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its evaluation of L3’s actual results under the EPS-based performance units, the Committee considered the impact of the Company’s share repurchase program on the Company’s cumulative EPS for the three-year performance period ending December 31, 2016, and concluded that the Company’s actual weighted average diluted shares outstanding for each of the three years of the performance period was materially consistent with the forecast assumptions upon which the performance goals for the awards were based.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BENEFITS AND PERQUISITES</w:t>
      </w:r>
    </w:p>
    <w:p>
      <w:pPr>
        <w:spacing w:after="0" w:line="175" w:lineRule="exact"/>
        <w:rPr>
          <w:sz w:val="20"/>
          <w:szCs w:val="20"/>
          <w:color w:val="auto"/>
        </w:rPr>
      </w:pPr>
    </w:p>
    <w:p>
      <w:pPr>
        <w:ind w:right="60"/>
        <w:spacing w:after="0" w:line="253" w:lineRule="auto"/>
        <w:rPr>
          <w:rFonts w:ascii="Arial" w:cs="Arial" w:eastAsia="Arial" w:hAnsi="Arial"/>
          <w:sz w:val="18"/>
          <w:szCs w:val="18"/>
          <w:color w:val="auto"/>
        </w:rPr>
      </w:pPr>
      <w:r>
        <w:rPr>
          <w:rFonts w:ascii="Arial" w:cs="Arial" w:eastAsia="Arial" w:hAnsi="Arial"/>
          <w:sz w:val="18"/>
          <w:szCs w:val="18"/>
          <w:i w:val="1"/>
          <w:iCs w:val="1"/>
          <w:color w:val="auto"/>
        </w:rPr>
        <w:t xml:space="preserve">Retirement Plans. </w:t>
      </w:r>
      <w:r>
        <w:rPr>
          <w:rFonts w:ascii="Arial" w:cs="Arial" w:eastAsia="Arial" w:hAnsi="Arial"/>
          <w:sz w:val="18"/>
          <w:szCs w:val="18"/>
          <w:color w:val="auto"/>
        </w:rPr>
        <w:t>L3 provides retirement benefits as part of a competitive compensation package to retain key employees. All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L3’s named executive officers other than Mr. Kubasik participate in the L3 Technologies, Inc. Pension Plan (the “Corporate Plan”), which is a tax-qualified defined benefit plan, and in a nonqualified supplemental executive retirement plan (the “Restoration SERP”). The Restoration SERP fills the gap in benefits that are not accrued under the Corporate Plan due to limits imposed by the Internal Revenue Code. The Corporate Pension Plan and the Restoration SERP are designed such that a named executive officer with 30 years of employment by L3 would receive a combined annual amount of up to approximately 45% to 55% of their final average cash compensation (base salary and annual incentive payouts). Mr. Kubasik does not participate in these plans because they were closed to new participants hired on or after January 1, 2007. See “2016 Pension Benefits” beginning on page </w:t>
      </w:r>
      <w:hyperlink w:anchor="page76">
        <w:r>
          <w:rPr>
            <w:rFonts w:ascii="Arial" w:cs="Arial" w:eastAsia="Arial" w:hAnsi="Arial"/>
            <w:sz w:val="18"/>
            <w:szCs w:val="18"/>
            <w:u w:val="single" w:color="auto"/>
            <w:color w:val="0000EE"/>
          </w:rPr>
          <w:t>70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details.</w:t>
      </w:r>
    </w:p>
    <w:p>
      <w:pPr>
        <w:spacing w:after="0" w:line="267"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005C7D"/>
        </w:rPr>
        <w:t>56</w:t>
      </w:r>
      <w:r>
        <w:rPr>
          <w:sz w:val="20"/>
          <w:szCs w:val="20"/>
          <w:color w:val="auto"/>
        </w:rPr>
        <w:tab/>
      </w: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6071870" cy="431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-106045</wp:posOffset>
            </wp:positionV>
            <wp:extent cx="154305" cy="1543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2" w:lineRule="exact"/>
        <w:rPr>
          <w:sz w:val="20"/>
          <w:szCs w:val="20"/>
          <w:color w:val="auto"/>
        </w:rPr>
      </w:pPr>
    </w:p>
    <w:p>
      <w:pPr>
        <w:ind w:right="220"/>
        <w:spacing w:after="0" w:line="297" w:lineRule="auto"/>
        <w:rPr>
          <w:rFonts w:ascii="Arial" w:cs="Arial" w:eastAsia="Arial" w:hAnsi="Arial"/>
          <w:sz w:val="16"/>
          <w:szCs w:val="16"/>
          <w:color w:val="auto"/>
        </w:rPr>
      </w:pPr>
      <w:r>
        <w:rPr>
          <w:rFonts w:ascii="Arial" w:cs="Arial" w:eastAsia="Arial" w:hAnsi="Arial"/>
          <w:sz w:val="16"/>
          <w:szCs w:val="16"/>
          <w:color w:val="auto"/>
        </w:rPr>
        <w:t xml:space="preserve">The amounts relating to our pension plans that are reported in the Summary Compensation Table on page </w:t>
      </w:r>
      <w:hyperlink w:anchor="page68">
        <w:r>
          <w:rPr>
            <w:rFonts w:ascii="Arial" w:cs="Arial" w:eastAsia="Arial" w:hAnsi="Arial"/>
            <w:sz w:val="16"/>
            <w:szCs w:val="16"/>
            <w:u w:val="single" w:color="auto"/>
            <w:color w:val="0000EE"/>
          </w:rPr>
          <w:t>62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under the heading “Change in Pension Value and Nonqualified Deferred Compensation Earnings” are strongly related to changes in actuarial assumptions made since 2013 that are required under GAAP, and are not the result of any arrangements entered into between the Company and any named executive officer that modify any of our pension plans or enhance any benefits accrued or to be accrued thereunder. For a further discussion, see Note 5 to the Summary Compensation Table on page </w:t>
      </w:r>
      <w:hyperlink w:anchor="page68">
        <w:r>
          <w:rPr>
            <w:rFonts w:ascii="Arial" w:cs="Arial" w:eastAsia="Arial" w:hAnsi="Arial"/>
            <w:sz w:val="16"/>
            <w:szCs w:val="16"/>
            <w:u w:val="single" w:color="auto"/>
            <w:color w:val="0000EE"/>
          </w:rPr>
          <w:t>62</w:t>
        </w:r>
      </w:hyperlink>
      <w:r>
        <w:rPr>
          <w:rFonts w:ascii="Arial" w:cs="Arial" w:eastAsia="Arial" w:hAnsi="Arial"/>
          <w:sz w:val="16"/>
          <w:szCs w:val="16"/>
          <w:color w:val="auto"/>
        </w:rPr>
        <w:t>.</w:t>
      </w:r>
    </w:p>
    <w:p>
      <w:pPr>
        <w:spacing w:after="0" w:line="104"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It is the Committee’s practice to periodically review the plan design and benefit levels of our retirement plans to ensure that they are consistent with the pay practices of our compensation peer group. The Committee most recently performed this review in 2014, and concluded that the benefits provided under these plans to our named executive officers were consistent with market median levels.</w:t>
      </w:r>
    </w:p>
    <w:p>
      <w:pPr>
        <w:spacing w:after="0" w:line="9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i w:val="1"/>
          <w:iCs w:val="1"/>
          <w:color w:val="auto"/>
        </w:rPr>
        <w:t xml:space="preserve">Deferred Compensation Plans. </w:t>
      </w:r>
      <w:r>
        <w:rPr>
          <w:rFonts w:ascii="Arial" w:cs="Arial" w:eastAsia="Arial" w:hAnsi="Arial"/>
          <w:sz w:val="18"/>
          <w:szCs w:val="18"/>
          <w:color w:val="auto"/>
        </w:rPr>
        <w:t>L3 sponsors two nonqualified deferred compensation plans, the L3 Technologies, Inc.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Plan I and the L3 Technologies, Inc. Deferred Compensation Plan II, to a select group of highly compensated executives, including our named executive officers, as a competitive practice. These plans allow for voluntary deferrals by executives, including the named executive officers, of up to 50% of base salary and 100% of annual incentive payouts into an unfunded, nonqualified account. There are no company contributions under these plans, and deferred amounts earn interest at the prime rate.</w:t>
      </w:r>
    </w:p>
    <w:p>
      <w:pPr>
        <w:spacing w:after="0" w:line="139" w:lineRule="exact"/>
        <w:rPr>
          <w:sz w:val="20"/>
          <w:szCs w:val="20"/>
          <w:color w:val="auto"/>
        </w:rPr>
      </w:pPr>
    </w:p>
    <w:p>
      <w:pPr>
        <w:ind w:right="80"/>
        <w:spacing w:after="0" w:line="271" w:lineRule="auto"/>
        <w:rPr>
          <w:rFonts w:ascii="Arial" w:cs="Arial" w:eastAsia="Arial" w:hAnsi="Arial"/>
          <w:sz w:val="17"/>
          <w:szCs w:val="17"/>
          <w:color w:val="auto"/>
        </w:rPr>
      </w:pPr>
      <w:r>
        <w:rPr>
          <w:rFonts w:ascii="Arial" w:cs="Arial" w:eastAsia="Arial" w:hAnsi="Arial"/>
          <w:sz w:val="17"/>
          <w:szCs w:val="17"/>
          <w:i w:val="1"/>
          <w:iCs w:val="1"/>
          <w:color w:val="auto"/>
        </w:rPr>
        <w:t xml:space="preserve">Employment, Severance and Change in Control Arrangements. </w:t>
      </w:r>
      <w:r>
        <w:rPr>
          <w:rFonts w:ascii="Arial" w:cs="Arial" w:eastAsia="Arial" w:hAnsi="Arial"/>
          <w:sz w:val="17"/>
          <w:szCs w:val="17"/>
          <w:color w:val="auto"/>
        </w:rPr>
        <w:t>L3 does not have any employment agreements with its named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executive officers nor do we have any severance arrangements other than in connection with a change in control. L3’s named executive officers are covered under the L3 Technologies, Inc. Change in Control Severance Plan (the “Change in Control Severance Plan”), which provides for specified severance benefits in the event of termination by the Company without cause or by the employee for good reason following a change of control. The purpose of these arrangements is to preserve morale and productivity, and encourage retention, in the face of the disruptive impact of a change in control. Severance benefits under the Change in Control Severance Plan are market competitive and do not provide tax gross-ups. See “Potential Payments Upon Change in Control or Termination of Employment” beginning on page </w:t>
      </w:r>
      <w:hyperlink w:anchor="page80">
        <w:r>
          <w:rPr>
            <w:rFonts w:ascii="Arial" w:cs="Arial" w:eastAsia="Arial" w:hAnsi="Arial"/>
            <w:sz w:val="17"/>
            <w:szCs w:val="17"/>
            <w:u w:val="single" w:color="auto"/>
            <w:color w:val="0000EE"/>
          </w:rPr>
          <w:t>74</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additional details.</w:t>
      </w:r>
    </w:p>
    <w:p>
      <w:pPr>
        <w:spacing w:after="0" w:line="125" w:lineRule="exact"/>
        <w:rPr>
          <w:sz w:val="20"/>
          <w:szCs w:val="20"/>
          <w:color w:val="auto"/>
        </w:rPr>
      </w:pPr>
    </w:p>
    <w:p>
      <w:pPr>
        <w:ind w:right="180"/>
        <w:spacing w:after="0" w:line="254" w:lineRule="auto"/>
        <w:rPr>
          <w:rFonts w:ascii="Arial" w:cs="Arial" w:eastAsia="Arial" w:hAnsi="Arial"/>
          <w:sz w:val="18"/>
          <w:szCs w:val="18"/>
          <w:color w:val="auto"/>
        </w:rPr>
      </w:pPr>
      <w:r>
        <w:rPr>
          <w:rFonts w:ascii="Arial" w:cs="Arial" w:eastAsia="Arial" w:hAnsi="Arial"/>
          <w:sz w:val="18"/>
          <w:szCs w:val="18"/>
          <w:i w:val="1"/>
          <w:iCs w:val="1"/>
          <w:color w:val="auto"/>
        </w:rPr>
        <w:t xml:space="preserve">Perquisites. </w:t>
      </w:r>
      <w:r>
        <w:rPr>
          <w:rFonts w:ascii="Arial" w:cs="Arial" w:eastAsia="Arial" w:hAnsi="Arial"/>
          <w:sz w:val="18"/>
          <w:szCs w:val="18"/>
          <w:color w:val="auto"/>
        </w:rPr>
        <w:t>L3 provides the named executive officers with modest perquisites consistent with competitive practices. In 2016,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named executive officers were eligible for an annual executive physical, supplemental life insurance and participation in an executive medical plan. We provide our Chief Executive Officer with a car and security driver, and access to L3’s fractionally-owned aircraft for occasional personal use. Our corporate aircraft policy requires that our Chief Executive Officer reimburse the Company for the incremental costs incurred in connection with his personal use of the aircraft. We also maintain a key employee relocation policy applicable to management employees generally. In 2016, Mr. Kubasik began to move his personal residence, and his relocation expenses were paid and/or reimbursed under this policy. For a further discussion, see Note 6 to the “Summary Compensation Table” beginning on page </w:t>
      </w:r>
      <w:hyperlink w:anchor="page68">
        <w:r>
          <w:rPr>
            <w:rFonts w:ascii="Arial" w:cs="Arial" w:eastAsia="Arial" w:hAnsi="Arial"/>
            <w:sz w:val="18"/>
            <w:szCs w:val="18"/>
            <w:u w:val="single" w:color="auto"/>
            <w:color w:val="0000EE"/>
          </w:rPr>
          <w:t>62</w:t>
        </w:r>
      </w:hyperlink>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 AND RETENTION REQUIREMENTS</w:t>
      </w:r>
    </w:p>
    <w:p>
      <w:pPr>
        <w:spacing w:after="0" w:line="17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L3’s stock ownership guidelines reflect the Committee’s belief that executives should accumulate a meaningful level of ownership in Company stock to align their interests with those of our shareholders. The Chief Executive Officer is required to maintain a level of ownership that is equivalent in value to at least six times his base salary. Ownership guidelines for senior executives, other than the Chief Executive Officer, range from one and a half to three times base salary depending on roles and organizational levels. The Committee reviews progress toward guideline achievement annually. Each executive subject to stock ownership guidelines is required to retain 75% of net shares (after payment of fees, taxes and exercise prices, if applicable) acquired upon the vesting of stock awards or the exercise of stock options until the required multiple of base salary is met.</w:t>
      </w:r>
    </w:p>
    <w:p>
      <w:pPr>
        <w:spacing w:after="0" w:line="208" w:lineRule="exact"/>
        <w:rPr>
          <w:sz w:val="20"/>
          <w:szCs w:val="20"/>
          <w:color w:val="auto"/>
        </w:rPr>
      </w:pPr>
    </w:p>
    <w:p>
      <w:pPr>
        <w:ind w:left="7820"/>
        <w:spacing w:after="0"/>
        <w:tabs>
          <w:tab w:leader="none" w:pos="932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6071870" cy="431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-107315</wp:posOffset>
            </wp:positionV>
            <wp:extent cx="163195" cy="1543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005C7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stock ownership of our named executive officers as of December 31, 2016, as compared to our guideline and retention requirements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7187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2340" w:type="dxa"/>
            <w:vAlign w:val="bottom"/>
          </w:tcPr>
          <w:p>
            <w:pPr>
              <w:jc w:val="right"/>
              <w:ind w:right="35"/>
              <w:spacing w:after="0"/>
              <w:rPr>
                <w:sz w:val="20"/>
                <w:szCs w:val="20"/>
                <w:color w:val="auto"/>
              </w:rPr>
            </w:pPr>
            <w:r>
              <w:rPr>
                <w:rFonts w:ascii="Arial" w:cs="Arial" w:eastAsia="Arial" w:hAnsi="Arial"/>
                <w:sz w:val="14"/>
                <w:szCs w:val="14"/>
                <w:b w:val="1"/>
                <w:bCs w:val="1"/>
                <w:color w:val="auto"/>
              </w:rPr>
              <w:t>Ownership Guideline</w:t>
            </w:r>
          </w:p>
        </w:tc>
        <w:tc>
          <w:tcPr>
            <w:tcW w:w="200" w:type="dxa"/>
            <w:vAlign w:val="bottom"/>
          </w:tcPr>
          <w:p>
            <w:pPr>
              <w:spacing w:after="0"/>
              <w:rPr>
                <w:sz w:val="14"/>
                <w:szCs w:val="14"/>
                <w:color w:val="auto"/>
              </w:rPr>
            </w:pPr>
          </w:p>
        </w:tc>
        <w:tc>
          <w:tcPr>
            <w:tcW w:w="1360" w:type="dxa"/>
            <w:vAlign w:val="bottom"/>
          </w:tcPr>
          <w:p>
            <w:pPr>
              <w:jc w:val="right"/>
              <w:ind w:right="195"/>
              <w:spacing w:after="0"/>
              <w:rPr>
                <w:sz w:val="20"/>
                <w:szCs w:val="20"/>
                <w:color w:val="auto"/>
              </w:rPr>
            </w:pPr>
            <w:r>
              <w:rPr>
                <w:rFonts w:ascii="Arial" w:cs="Arial" w:eastAsia="Arial" w:hAnsi="Arial"/>
                <w:sz w:val="14"/>
                <w:szCs w:val="14"/>
                <w:b w:val="1"/>
                <w:bCs w:val="1"/>
                <w:color w:val="auto"/>
                <w:w w:val="92"/>
              </w:rPr>
              <w:t>Stock Ownership</w:t>
            </w:r>
          </w:p>
        </w:tc>
        <w:tc>
          <w:tcPr>
            <w:tcW w:w="1580" w:type="dxa"/>
            <w:vAlign w:val="bottom"/>
          </w:tcPr>
          <w:p>
            <w:pPr>
              <w:jc w:val="right"/>
              <w:ind w:right="235"/>
              <w:spacing w:after="0"/>
              <w:rPr>
                <w:sz w:val="20"/>
                <w:szCs w:val="20"/>
                <w:color w:val="auto"/>
              </w:rPr>
            </w:pPr>
            <w:r>
              <w:rPr>
                <w:rFonts w:ascii="Arial" w:cs="Arial" w:eastAsia="Arial" w:hAnsi="Arial"/>
                <w:sz w:val="14"/>
                <w:szCs w:val="14"/>
                <w:b w:val="1"/>
                <w:bCs w:val="1"/>
                <w:color w:val="auto"/>
              </w:rPr>
              <w:t>Stock Ownership</w:t>
            </w:r>
          </w:p>
        </w:tc>
        <w:tc>
          <w:tcPr>
            <w:tcW w:w="1440" w:type="dxa"/>
            <w:vAlign w:val="bottom"/>
          </w:tcPr>
          <w:p>
            <w:pPr>
              <w:jc w:val="right"/>
              <w:ind w:right="375"/>
              <w:spacing w:after="0"/>
              <w:rPr>
                <w:sz w:val="20"/>
                <w:szCs w:val="20"/>
                <w:color w:val="auto"/>
              </w:rPr>
            </w:pPr>
            <w:r>
              <w:rPr>
                <w:rFonts w:ascii="Arial" w:cs="Arial" w:eastAsia="Arial" w:hAnsi="Arial"/>
                <w:sz w:val="14"/>
                <w:szCs w:val="14"/>
                <w:b w:val="1"/>
                <w:bCs w:val="1"/>
                <w:color w:val="auto"/>
              </w:rPr>
              <w:t>Subject to</w:t>
            </w:r>
          </w:p>
        </w:tc>
      </w:tr>
      <w:tr>
        <w:trPr>
          <w:trHeight w:val="185"/>
        </w:trPr>
        <w:tc>
          <w:tcPr>
            <w:tcW w:w="2640" w:type="dxa"/>
            <w:vAlign w:val="bottom"/>
            <w:tcBorders>
              <w:bottom w:val="single" w:sz="8" w:color="005C7D"/>
            </w:tcBorders>
          </w:tcPr>
          <w:p>
            <w:pPr>
              <w:spacing w:after="0"/>
              <w:rPr>
                <w:sz w:val="16"/>
                <w:szCs w:val="16"/>
                <w:color w:val="auto"/>
              </w:rPr>
            </w:pPr>
          </w:p>
        </w:tc>
        <w:tc>
          <w:tcPr>
            <w:tcW w:w="2340" w:type="dxa"/>
            <w:vAlign w:val="bottom"/>
            <w:tcBorders>
              <w:bottom w:val="single" w:sz="8" w:color="005C7D"/>
            </w:tcBorders>
          </w:tcPr>
          <w:p>
            <w:pPr>
              <w:jc w:val="right"/>
              <w:ind w:right="95"/>
              <w:spacing w:after="0"/>
              <w:rPr>
                <w:sz w:val="20"/>
                <w:szCs w:val="20"/>
                <w:color w:val="auto"/>
              </w:rPr>
            </w:pPr>
            <w:r>
              <w:rPr>
                <w:rFonts w:ascii="Arial" w:cs="Arial" w:eastAsia="Arial" w:hAnsi="Arial"/>
                <w:sz w:val="14"/>
                <w:szCs w:val="14"/>
                <w:b w:val="1"/>
                <w:bCs w:val="1"/>
                <w:color w:val="auto"/>
              </w:rPr>
              <w:t>(multiple of salary)</w:t>
            </w:r>
          </w:p>
        </w:tc>
        <w:tc>
          <w:tcPr>
            <w:tcW w:w="200" w:type="dxa"/>
            <w:vAlign w:val="bottom"/>
            <w:tcBorders>
              <w:bottom w:val="single" w:sz="8" w:color="005C7D"/>
            </w:tcBorders>
          </w:tcPr>
          <w:p>
            <w:pPr>
              <w:spacing w:after="0"/>
              <w:rPr>
                <w:sz w:val="16"/>
                <w:szCs w:val="16"/>
                <w:color w:val="auto"/>
              </w:rPr>
            </w:pPr>
          </w:p>
        </w:tc>
        <w:tc>
          <w:tcPr>
            <w:tcW w:w="1360" w:type="dxa"/>
            <w:vAlign w:val="bottom"/>
            <w:tcBorders>
              <w:bottom w:val="single" w:sz="8" w:color="005C7D"/>
            </w:tcBorders>
          </w:tcPr>
          <w:p>
            <w:pPr>
              <w:jc w:val="right"/>
              <w:ind w:right="375"/>
              <w:spacing w:after="0"/>
              <w:rPr>
                <w:sz w:val="20"/>
                <w:szCs w:val="20"/>
                <w:color w:val="auto"/>
              </w:rPr>
            </w:pPr>
            <w:r>
              <w:rPr>
                <w:rFonts w:ascii="Arial" w:cs="Arial" w:eastAsia="Arial" w:hAnsi="Arial"/>
                <w:sz w:val="14"/>
                <w:szCs w:val="14"/>
                <w:b w:val="1"/>
                <w:bCs w:val="1"/>
                <w:color w:val="auto"/>
              </w:rPr>
              <w:t>(in dollars)</w:t>
            </w:r>
          </w:p>
        </w:tc>
        <w:tc>
          <w:tcPr>
            <w:tcW w:w="1580" w:type="dxa"/>
            <w:vAlign w:val="bottom"/>
            <w:tcBorders>
              <w:bottom w:val="single" w:sz="8" w:color="005C7D"/>
            </w:tcBorders>
          </w:tcPr>
          <w:p>
            <w:pPr>
              <w:jc w:val="right"/>
              <w:ind w:right="175"/>
              <w:spacing w:after="0"/>
              <w:rPr>
                <w:sz w:val="20"/>
                <w:szCs w:val="20"/>
                <w:color w:val="auto"/>
              </w:rPr>
            </w:pPr>
            <w:r>
              <w:rPr>
                <w:rFonts w:ascii="Arial" w:cs="Arial" w:eastAsia="Arial" w:hAnsi="Arial"/>
                <w:sz w:val="14"/>
                <w:szCs w:val="14"/>
                <w:b w:val="1"/>
                <w:bCs w:val="1"/>
                <w:color w:val="auto"/>
              </w:rPr>
              <w:t>(multiple of salary)</w:t>
            </w:r>
          </w:p>
        </w:tc>
        <w:tc>
          <w:tcPr>
            <w:tcW w:w="1440" w:type="dxa"/>
            <w:vAlign w:val="bottom"/>
            <w:tcBorders>
              <w:bottom w:val="single" w:sz="8" w:color="005C7D"/>
            </w:tcBorders>
          </w:tcPr>
          <w:p>
            <w:pPr>
              <w:jc w:val="right"/>
              <w:ind w:right="195"/>
              <w:spacing w:after="0"/>
              <w:rPr>
                <w:sz w:val="20"/>
                <w:szCs w:val="20"/>
                <w:color w:val="auto"/>
              </w:rPr>
            </w:pPr>
            <w:r>
              <w:rPr>
                <w:rFonts w:ascii="Arial" w:cs="Arial" w:eastAsia="Arial" w:hAnsi="Arial"/>
                <w:sz w:val="14"/>
                <w:szCs w:val="14"/>
                <w:b w:val="1"/>
                <w:bCs w:val="1"/>
                <w:color w:val="auto"/>
              </w:rPr>
              <w:t>Retention Ratio</w:t>
            </w:r>
          </w:p>
        </w:tc>
      </w:tr>
      <w:tr>
        <w:trPr>
          <w:trHeight w:val="237"/>
        </w:trPr>
        <w:tc>
          <w:tcPr>
            <w:tcW w:w="2640" w:type="dxa"/>
            <w:vAlign w:val="bottom"/>
            <w:shd w:val="clear" w:color="auto" w:fill="CDDAE6"/>
          </w:tcPr>
          <w:p>
            <w:pPr>
              <w:ind w:left="20"/>
              <w:spacing w:after="0"/>
              <w:rPr>
                <w:sz w:val="20"/>
                <w:szCs w:val="20"/>
                <w:color w:val="auto"/>
              </w:rPr>
            </w:pPr>
            <w:r>
              <w:rPr>
                <w:rFonts w:ascii="Arial" w:cs="Arial" w:eastAsia="Arial" w:hAnsi="Arial"/>
                <w:sz w:val="18"/>
                <w:szCs w:val="18"/>
                <w:color w:val="auto"/>
              </w:rPr>
              <w:t>Michael T. Strianese</w:t>
            </w:r>
          </w:p>
        </w:tc>
        <w:tc>
          <w:tcPr>
            <w:tcW w:w="2340" w:type="dxa"/>
            <w:vAlign w:val="bottom"/>
            <w:shd w:val="clear" w:color="auto" w:fill="CDDAE6"/>
          </w:tcPr>
          <w:p>
            <w:pPr>
              <w:jc w:val="right"/>
              <w:ind w:right="15"/>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DDAE6"/>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DDAE6"/>
          </w:tcPr>
          <w:p>
            <w:pPr>
              <w:jc w:val="right"/>
              <w:ind w:right="55"/>
              <w:spacing w:after="0"/>
              <w:rPr>
                <w:sz w:val="20"/>
                <w:szCs w:val="20"/>
                <w:color w:val="auto"/>
              </w:rPr>
            </w:pPr>
            <w:r>
              <w:rPr>
                <w:rFonts w:ascii="Arial" w:cs="Arial" w:eastAsia="Arial" w:hAnsi="Arial"/>
                <w:sz w:val="18"/>
                <w:szCs w:val="18"/>
                <w:color w:val="auto"/>
              </w:rPr>
              <w:t>24,020,580</w:t>
            </w:r>
          </w:p>
        </w:tc>
        <w:tc>
          <w:tcPr>
            <w:tcW w:w="1580" w:type="dxa"/>
            <w:vAlign w:val="bottom"/>
            <w:shd w:val="clear" w:color="auto" w:fill="CDDAE6"/>
          </w:tcPr>
          <w:p>
            <w:pPr>
              <w:jc w:val="right"/>
              <w:ind w:right="95"/>
              <w:spacing w:after="0"/>
              <w:rPr>
                <w:sz w:val="20"/>
                <w:szCs w:val="20"/>
                <w:color w:val="auto"/>
              </w:rPr>
            </w:pPr>
            <w:r>
              <w:rPr>
                <w:rFonts w:ascii="Arial" w:cs="Arial" w:eastAsia="Arial" w:hAnsi="Arial"/>
                <w:sz w:val="18"/>
                <w:szCs w:val="18"/>
                <w:color w:val="auto"/>
              </w:rPr>
              <w:t>17.3</w:t>
            </w:r>
          </w:p>
        </w:tc>
        <w:tc>
          <w:tcPr>
            <w:tcW w:w="1440" w:type="dxa"/>
            <w:vAlign w:val="bottom"/>
            <w:shd w:val="clear" w:color="auto" w:fill="CDDAE6"/>
          </w:tcPr>
          <w:p>
            <w:pPr>
              <w:jc w:val="right"/>
              <w:ind w:right="15"/>
              <w:spacing w:after="0"/>
              <w:rPr>
                <w:sz w:val="20"/>
                <w:szCs w:val="20"/>
                <w:color w:val="auto"/>
              </w:rPr>
            </w:pPr>
            <w:r>
              <w:rPr>
                <w:rFonts w:ascii="Arial" w:cs="Arial" w:eastAsia="Arial" w:hAnsi="Arial"/>
                <w:sz w:val="18"/>
                <w:szCs w:val="18"/>
                <w:color w:val="auto"/>
              </w:rPr>
              <w:t>No</w:t>
            </w:r>
          </w:p>
        </w:tc>
      </w:tr>
      <w:tr>
        <w:trPr>
          <w:trHeight w:val="237"/>
        </w:trPr>
        <w:tc>
          <w:tcPr>
            <w:tcW w:w="2640" w:type="dxa"/>
            <w:vAlign w:val="bottom"/>
          </w:tcPr>
          <w:p>
            <w:pPr>
              <w:ind w:left="20"/>
              <w:spacing w:after="0"/>
              <w:rPr>
                <w:sz w:val="20"/>
                <w:szCs w:val="20"/>
                <w:color w:val="auto"/>
              </w:rPr>
            </w:pPr>
            <w:r>
              <w:rPr>
                <w:rFonts w:ascii="Arial" w:cs="Arial" w:eastAsia="Arial" w:hAnsi="Arial"/>
                <w:sz w:val="18"/>
                <w:szCs w:val="18"/>
                <w:color w:val="auto"/>
              </w:rPr>
              <w:t>Christopher E. Kubasik</w:t>
            </w:r>
          </w:p>
        </w:tc>
        <w:tc>
          <w:tcPr>
            <w:tcW w:w="2340" w:type="dxa"/>
            <w:vAlign w:val="bottom"/>
          </w:tcPr>
          <w:p>
            <w:pPr>
              <w:jc w:val="right"/>
              <w:ind w:right="15"/>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1,297,000</w:t>
            </w:r>
          </w:p>
        </w:tc>
        <w:tc>
          <w:tcPr>
            <w:tcW w:w="1580" w:type="dxa"/>
            <w:vAlign w:val="bottom"/>
          </w:tcPr>
          <w:p>
            <w:pPr>
              <w:jc w:val="right"/>
              <w:ind w:right="95"/>
              <w:spacing w:after="0"/>
              <w:rPr>
                <w:sz w:val="20"/>
                <w:szCs w:val="20"/>
                <w:color w:val="auto"/>
              </w:rPr>
            </w:pPr>
            <w:r>
              <w:rPr>
                <w:rFonts w:ascii="Arial" w:cs="Arial" w:eastAsia="Arial" w:hAnsi="Arial"/>
                <w:sz w:val="18"/>
                <w:szCs w:val="18"/>
                <w:color w:val="auto"/>
              </w:rPr>
              <w:t>1.4</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Yes</w:t>
            </w:r>
          </w:p>
        </w:tc>
      </w:tr>
      <w:tr>
        <w:trPr>
          <w:trHeight w:val="249"/>
        </w:trPr>
        <w:tc>
          <w:tcPr>
            <w:tcW w:w="2640" w:type="dxa"/>
            <w:vAlign w:val="bottom"/>
            <w:shd w:val="clear" w:color="auto" w:fill="CDDAE6"/>
          </w:tcPr>
          <w:p>
            <w:pPr>
              <w:ind w:left="20"/>
              <w:spacing w:after="0"/>
              <w:rPr>
                <w:sz w:val="20"/>
                <w:szCs w:val="20"/>
                <w:color w:val="auto"/>
              </w:rPr>
            </w:pPr>
            <w:r>
              <w:rPr>
                <w:rFonts w:ascii="Arial" w:cs="Arial" w:eastAsia="Arial" w:hAnsi="Arial"/>
                <w:sz w:val="18"/>
                <w:szCs w:val="18"/>
                <w:color w:val="auto"/>
              </w:rPr>
              <w:t>Ralph G. D’Ambrosio</w:t>
            </w:r>
          </w:p>
        </w:tc>
        <w:tc>
          <w:tcPr>
            <w:tcW w:w="2340" w:type="dxa"/>
            <w:vAlign w:val="bottom"/>
            <w:shd w:val="clear" w:color="auto" w:fill="CDDAE6"/>
          </w:tcPr>
          <w:p>
            <w:pPr>
              <w:jc w:val="right"/>
              <w:ind w:right="15"/>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DDAE6"/>
          </w:tcPr>
          <w:p>
            <w:pPr>
              <w:spacing w:after="0"/>
              <w:rPr>
                <w:sz w:val="21"/>
                <w:szCs w:val="21"/>
                <w:color w:val="auto"/>
              </w:rPr>
            </w:pPr>
          </w:p>
        </w:tc>
        <w:tc>
          <w:tcPr>
            <w:tcW w:w="1360" w:type="dxa"/>
            <w:vAlign w:val="bottom"/>
            <w:shd w:val="clear" w:color="auto" w:fill="CDDAE6"/>
          </w:tcPr>
          <w:p>
            <w:pPr>
              <w:jc w:val="right"/>
              <w:ind w:right="55"/>
              <w:spacing w:after="0"/>
              <w:rPr>
                <w:sz w:val="20"/>
                <w:szCs w:val="20"/>
                <w:color w:val="auto"/>
              </w:rPr>
            </w:pPr>
            <w:r>
              <w:rPr>
                <w:rFonts w:ascii="Arial" w:cs="Arial" w:eastAsia="Arial" w:hAnsi="Arial"/>
                <w:sz w:val="18"/>
                <w:szCs w:val="18"/>
                <w:color w:val="auto"/>
              </w:rPr>
              <w:t>7,695,157</w:t>
            </w:r>
          </w:p>
        </w:tc>
        <w:tc>
          <w:tcPr>
            <w:tcW w:w="1580" w:type="dxa"/>
            <w:vAlign w:val="bottom"/>
            <w:shd w:val="clear" w:color="auto" w:fill="CDDAE6"/>
          </w:tcPr>
          <w:p>
            <w:pPr>
              <w:jc w:val="right"/>
              <w:ind w:right="95"/>
              <w:spacing w:after="0"/>
              <w:rPr>
                <w:sz w:val="20"/>
                <w:szCs w:val="20"/>
                <w:color w:val="auto"/>
              </w:rPr>
            </w:pPr>
            <w:r>
              <w:rPr>
                <w:rFonts w:ascii="Arial" w:cs="Arial" w:eastAsia="Arial" w:hAnsi="Arial"/>
                <w:sz w:val="18"/>
                <w:szCs w:val="18"/>
                <w:color w:val="auto"/>
              </w:rPr>
              <w:t>10.9</w:t>
            </w:r>
          </w:p>
        </w:tc>
        <w:tc>
          <w:tcPr>
            <w:tcW w:w="1440" w:type="dxa"/>
            <w:vAlign w:val="bottom"/>
            <w:shd w:val="clear" w:color="auto" w:fill="CDDAE6"/>
          </w:tcPr>
          <w:p>
            <w:pPr>
              <w:jc w:val="right"/>
              <w:ind w:right="15"/>
              <w:spacing w:after="0"/>
              <w:rPr>
                <w:sz w:val="20"/>
                <w:szCs w:val="20"/>
                <w:color w:val="auto"/>
              </w:rPr>
            </w:pPr>
            <w:r>
              <w:rPr>
                <w:rFonts w:ascii="Arial" w:cs="Arial" w:eastAsia="Arial" w:hAnsi="Arial"/>
                <w:sz w:val="18"/>
                <w:szCs w:val="18"/>
                <w:color w:val="auto"/>
              </w:rPr>
              <w:t>No</w:t>
            </w:r>
          </w:p>
        </w:tc>
      </w:tr>
      <w:tr>
        <w:trPr>
          <w:trHeight w:val="237"/>
        </w:trPr>
        <w:tc>
          <w:tcPr>
            <w:tcW w:w="2640" w:type="dxa"/>
            <w:vAlign w:val="bottom"/>
          </w:tcPr>
          <w:p>
            <w:pPr>
              <w:ind w:left="20"/>
              <w:spacing w:after="0"/>
              <w:rPr>
                <w:sz w:val="20"/>
                <w:szCs w:val="20"/>
                <w:color w:val="auto"/>
              </w:rPr>
            </w:pPr>
            <w:r>
              <w:rPr>
                <w:rFonts w:ascii="Arial" w:cs="Arial" w:eastAsia="Arial" w:hAnsi="Arial"/>
                <w:sz w:val="18"/>
                <w:szCs w:val="18"/>
                <w:color w:val="auto"/>
              </w:rPr>
              <w:t>Curtis Brunson</w:t>
            </w:r>
          </w:p>
        </w:tc>
        <w:tc>
          <w:tcPr>
            <w:tcW w:w="2340" w:type="dxa"/>
            <w:vAlign w:val="bottom"/>
          </w:tcPr>
          <w:p>
            <w:pPr>
              <w:jc w:val="right"/>
              <w:ind w:right="15"/>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13,103,972</w:t>
            </w:r>
          </w:p>
        </w:tc>
        <w:tc>
          <w:tcPr>
            <w:tcW w:w="1580" w:type="dxa"/>
            <w:vAlign w:val="bottom"/>
          </w:tcPr>
          <w:p>
            <w:pPr>
              <w:jc w:val="right"/>
              <w:ind w:right="95"/>
              <w:spacing w:after="0"/>
              <w:rPr>
                <w:sz w:val="20"/>
                <w:szCs w:val="20"/>
                <w:color w:val="auto"/>
              </w:rPr>
            </w:pPr>
            <w:r>
              <w:rPr>
                <w:rFonts w:ascii="Arial" w:cs="Arial" w:eastAsia="Arial" w:hAnsi="Arial"/>
                <w:sz w:val="18"/>
                <w:szCs w:val="18"/>
                <w:color w:val="auto"/>
              </w:rPr>
              <w:t>19.2</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No</w:t>
            </w:r>
          </w:p>
        </w:tc>
      </w:tr>
      <w:tr>
        <w:trPr>
          <w:trHeight w:val="243"/>
        </w:trPr>
        <w:tc>
          <w:tcPr>
            <w:tcW w:w="2640" w:type="dxa"/>
            <w:vAlign w:val="bottom"/>
            <w:tcBorders>
              <w:bottom w:val="single" w:sz="8" w:color="005C7D"/>
            </w:tcBorders>
            <w:shd w:val="clear" w:color="auto" w:fill="CDDAE6"/>
          </w:tcPr>
          <w:p>
            <w:pPr>
              <w:ind w:left="20"/>
              <w:spacing w:after="0"/>
              <w:rPr>
                <w:sz w:val="20"/>
                <w:szCs w:val="20"/>
                <w:color w:val="auto"/>
              </w:rPr>
            </w:pPr>
            <w:r>
              <w:rPr>
                <w:rFonts w:ascii="Arial" w:cs="Arial" w:eastAsia="Arial" w:hAnsi="Arial"/>
                <w:sz w:val="18"/>
                <w:szCs w:val="18"/>
                <w:color w:val="auto"/>
              </w:rPr>
              <w:t>Steve Kantor</w:t>
            </w:r>
          </w:p>
        </w:tc>
        <w:tc>
          <w:tcPr>
            <w:tcW w:w="2340" w:type="dxa"/>
            <w:vAlign w:val="bottom"/>
            <w:tcBorders>
              <w:bottom w:val="single" w:sz="8" w:color="005C7D"/>
            </w:tcBorders>
            <w:shd w:val="clear" w:color="auto" w:fill="CDDAE6"/>
          </w:tcPr>
          <w:p>
            <w:pPr>
              <w:jc w:val="right"/>
              <w:ind w:right="15"/>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005C7D"/>
            </w:tcBorders>
            <w:shd w:val="clear" w:color="auto" w:fill="CDDAE6"/>
          </w:tcPr>
          <w:p>
            <w:pPr>
              <w:spacing w:after="0"/>
              <w:rPr>
                <w:sz w:val="21"/>
                <w:szCs w:val="21"/>
                <w:color w:val="auto"/>
              </w:rPr>
            </w:pPr>
          </w:p>
        </w:tc>
        <w:tc>
          <w:tcPr>
            <w:tcW w:w="1360" w:type="dxa"/>
            <w:vAlign w:val="bottom"/>
            <w:tcBorders>
              <w:bottom w:val="single" w:sz="8" w:color="005C7D"/>
            </w:tcBorders>
            <w:shd w:val="clear" w:color="auto" w:fill="CDDAE6"/>
          </w:tcPr>
          <w:p>
            <w:pPr>
              <w:jc w:val="right"/>
              <w:ind w:right="55"/>
              <w:spacing w:after="0"/>
              <w:rPr>
                <w:sz w:val="20"/>
                <w:szCs w:val="20"/>
                <w:color w:val="auto"/>
              </w:rPr>
            </w:pPr>
            <w:r>
              <w:rPr>
                <w:rFonts w:ascii="Arial" w:cs="Arial" w:eastAsia="Arial" w:hAnsi="Arial"/>
                <w:sz w:val="18"/>
                <w:szCs w:val="18"/>
                <w:color w:val="auto"/>
              </w:rPr>
              <w:t>5,995,615</w:t>
            </w:r>
          </w:p>
        </w:tc>
        <w:tc>
          <w:tcPr>
            <w:tcW w:w="1580" w:type="dxa"/>
            <w:vAlign w:val="bottom"/>
            <w:tcBorders>
              <w:bottom w:val="single" w:sz="8" w:color="005C7D"/>
            </w:tcBorders>
            <w:shd w:val="clear" w:color="auto" w:fill="CDDAE6"/>
          </w:tcPr>
          <w:p>
            <w:pPr>
              <w:jc w:val="right"/>
              <w:ind w:right="95"/>
              <w:spacing w:after="0"/>
              <w:rPr>
                <w:sz w:val="20"/>
                <w:szCs w:val="20"/>
                <w:color w:val="auto"/>
              </w:rPr>
            </w:pPr>
            <w:r>
              <w:rPr>
                <w:rFonts w:ascii="Arial" w:cs="Arial" w:eastAsia="Arial" w:hAnsi="Arial"/>
                <w:sz w:val="18"/>
                <w:szCs w:val="18"/>
                <w:color w:val="auto"/>
              </w:rPr>
              <w:t>8.5</w:t>
            </w:r>
          </w:p>
        </w:tc>
        <w:tc>
          <w:tcPr>
            <w:tcW w:w="1440" w:type="dxa"/>
            <w:vAlign w:val="bottom"/>
            <w:tcBorders>
              <w:bottom w:val="single" w:sz="8" w:color="005C7D"/>
            </w:tcBorders>
            <w:shd w:val="clear" w:color="auto" w:fill="CDDAE6"/>
          </w:tcPr>
          <w:p>
            <w:pPr>
              <w:jc w:val="right"/>
              <w:ind w:right="15"/>
              <w:spacing w:after="0"/>
              <w:rPr>
                <w:sz w:val="20"/>
                <w:szCs w:val="20"/>
                <w:color w:val="auto"/>
              </w:rPr>
            </w:pPr>
            <w:r>
              <w:rPr>
                <w:rFonts w:ascii="Arial" w:cs="Arial" w:eastAsia="Arial" w:hAnsi="Arial"/>
                <w:sz w:val="18"/>
                <w:szCs w:val="18"/>
                <w:color w:val="auto"/>
              </w:rPr>
              <w:t>No</w:t>
            </w:r>
          </w:p>
        </w:tc>
      </w:tr>
    </w:tbl>
    <w:p>
      <w:pPr>
        <w:spacing w:after="0" w:line="14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“Stock ownership” is defined to include shares of Common Stock held outright, shares and share equivalents held in benefit plans, and unvested RSUs. Unvested performance units and unexercised stock options are not included in this calculation.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CLAWBACK POLICY</w:t>
      </w:r>
    </w:p>
    <w:p>
      <w:pPr>
        <w:spacing w:after="0" w:line="17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Under L3’s clawback policy, the Company may recoup and/or cancel any incentive-based compensation, including equity-based compensation, awarded to executives on or after the effective date of the policy (January 1, 2012) under the following circumstances:</w:t>
      </w:r>
    </w:p>
    <w:p>
      <w:pPr>
        <w:spacing w:after="0" w:line="73" w:lineRule="exact"/>
        <w:rPr>
          <w:sz w:val="20"/>
          <w:szCs w:val="20"/>
          <w:color w:val="auto"/>
        </w:rPr>
      </w:pPr>
    </w:p>
    <w:p>
      <w:pPr>
        <w:ind w:left="700" w:right="500" w:hanging="356"/>
        <w:spacing w:after="0" w:line="277" w:lineRule="auto"/>
        <w:tabs>
          <w:tab w:leader="none" w:pos="700" w:val="left"/>
        </w:tabs>
        <w:numPr>
          <w:ilvl w:val="0"/>
          <w:numId w:val="65"/>
        </w:numPr>
        <w:rPr>
          <w:rFonts w:ascii="Arial" w:cs="Arial" w:eastAsia="Arial" w:hAnsi="Arial"/>
          <w:sz w:val="18"/>
          <w:szCs w:val="18"/>
          <w:color w:val="005C7D"/>
        </w:rPr>
      </w:pPr>
      <w:r>
        <w:rPr>
          <w:rFonts w:ascii="Arial" w:cs="Arial" w:eastAsia="Arial" w:hAnsi="Arial"/>
          <w:sz w:val="18"/>
          <w:szCs w:val="18"/>
          <w:color w:val="auto"/>
        </w:rPr>
        <w:t>The award was predicated upon the achievement of financial results that were subsequently the subject of a material restatement of L3’s financial statements;</w:t>
      </w:r>
    </w:p>
    <w:p>
      <w:pPr>
        <w:spacing w:after="0" w:line="62" w:lineRule="exact"/>
        <w:rPr>
          <w:rFonts w:ascii="Arial" w:cs="Arial" w:eastAsia="Arial" w:hAnsi="Arial"/>
          <w:sz w:val="18"/>
          <w:szCs w:val="18"/>
          <w:color w:val="005C7D"/>
        </w:rPr>
      </w:pPr>
    </w:p>
    <w:p>
      <w:pPr>
        <w:ind w:left="700" w:hanging="356"/>
        <w:spacing w:after="0"/>
        <w:tabs>
          <w:tab w:leader="none" w:pos="700" w:val="left"/>
        </w:tabs>
        <w:numPr>
          <w:ilvl w:val="0"/>
          <w:numId w:val="65"/>
        </w:numPr>
        <w:rPr>
          <w:rFonts w:ascii="Arial" w:cs="Arial" w:eastAsia="Arial" w:hAnsi="Arial"/>
          <w:sz w:val="17"/>
          <w:szCs w:val="17"/>
          <w:color w:val="005C7D"/>
        </w:rPr>
      </w:pPr>
      <w:r>
        <w:rPr>
          <w:rFonts w:ascii="Arial" w:cs="Arial" w:eastAsia="Arial" w:hAnsi="Arial"/>
          <w:sz w:val="17"/>
          <w:szCs w:val="17"/>
          <w:color w:val="auto"/>
        </w:rPr>
        <w:t>The executive’s fraud or willful misconduct was a significant contributing cause to the need for the restatement; and</w:t>
      </w:r>
    </w:p>
    <w:p>
      <w:pPr>
        <w:spacing w:after="0" w:line="128" w:lineRule="exact"/>
        <w:rPr>
          <w:rFonts w:ascii="Arial" w:cs="Arial" w:eastAsia="Arial" w:hAnsi="Arial"/>
          <w:sz w:val="17"/>
          <w:szCs w:val="17"/>
          <w:color w:val="005C7D"/>
        </w:rPr>
      </w:pPr>
    </w:p>
    <w:p>
      <w:pPr>
        <w:ind w:left="700" w:hanging="356"/>
        <w:spacing w:after="0"/>
        <w:tabs>
          <w:tab w:leader="none" w:pos="700" w:val="left"/>
        </w:tabs>
        <w:numPr>
          <w:ilvl w:val="0"/>
          <w:numId w:val="65"/>
        </w:numPr>
        <w:rPr>
          <w:rFonts w:ascii="Arial" w:cs="Arial" w:eastAsia="Arial" w:hAnsi="Arial"/>
          <w:sz w:val="18"/>
          <w:szCs w:val="18"/>
          <w:color w:val="005C7D"/>
        </w:rPr>
      </w:pPr>
      <w:r>
        <w:rPr>
          <w:rFonts w:ascii="Arial" w:cs="Arial" w:eastAsia="Arial" w:hAnsi="Arial"/>
          <w:sz w:val="18"/>
          <w:szCs w:val="18"/>
          <w:color w:val="auto"/>
        </w:rPr>
        <w:t>A smaller award would have been earned under the restated financial results.</w:t>
      </w:r>
    </w:p>
    <w:p>
      <w:pPr>
        <w:spacing w:after="0" w:line="17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Subject to the discretion and approval of the Board of Directors, the Company will, to the extent permitted by law, seek to recover the amount of incentive compensation paid or payable to the executive in excess of the amount that would have been paid based on the financial restatement.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AND ANTI-PLEDGING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Our policies prohibit the hedging or pledging of our Common Stock by all executives, employees and non-employee directors.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17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Committee reviews and discusses with management, on at least an annual basis, management’s assessment of whether risks arising from the Company’s compensation policies and practices for all employees, including executive officers, are reasonably likely to have a material adverse effect on the Company. As part of the 2016 assessment performed by L3, the following were determined on a collective basis for L3 and its subsidiaries:</w:t>
      </w:r>
    </w:p>
    <w:p>
      <w:pPr>
        <w:spacing w:after="0" w:line="79" w:lineRule="exact"/>
        <w:rPr>
          <w:sz w:val="20"/>
          <w:szCs w:val="20"/>
          <w:color w:val="auto"/>
        </w:rPr>
      </w:pPr>
    </w:p>
    <w:p>
      <w:pPr>
        <w:ind w:left="700" w:hanging="356"/>
        <w:spacing w:after="0"/>
        <w:tabs>
          <w:tab w:leader="none" w:pos="700" w:val="left"/>
        </w:tabs>
        <w:numPr>
          <w:ilvl w:val="0"/>
          <w:numId w:val="66"/>
        </w:numPr>
        <w:rPr>
          <w:rFonts w:ascii="Arial" w:cs="Arial" w:eastAsia="Arial" w:hAnsi="Arial"/>
          <w:sz w:val="18"/>
          <w:szCs w:val="18"/>
          <w:color w:val="005C7D"/>
        </w:rPr>
      </w:pPr>
      <w:r>
        <w:rPr>
          <w:rFonts w:ascii="Arial" w:cs="Arial" w:eastAsia="Arial" w:hAnsi="Arial"/>
          <w:sz w:val="18"/>
          <w:szCs w:val="18"/>
          <w:color w:val="auto"/>
        </w:rPr>
        <w:t>no business unit carries a significant portion of the Company’s risk profile;</w:t>
      </w:r>
    </w:p>
    <w:p>
      <w:pPr>
        <w:spacing w:after="0" w:line="117" w:lineRule="exact"/>
        <w:rPr>
          <w:rFonts w:ascii="Arial" w:cs="Arial" w:eastAsia="Arial" w:hAnsi="Arial"/>
          <w:sz w:val="18"/>
          <w:szCs w:val="18"/>
          <w:color w:val="005C7D"/>
        </w:rPr>
      </w:pPr>
    </w:p>
    <w:p>
      <w:pPr>
        <w:ind w:left="700" w:right="100" w:hanging="356"/>
        <w:spacing w:after="0" w:line="277" w:lineRule="auto"/>
        <w:tabs>
          <w:tab w:leader="none" w:pos="700" w:val="left"/>
        </w:tabs>
        <w:numPr>
          <w:ilvl w:val="0"/>
          <w:numId w:val="66"/>
        </w:numPr>
        <w:rPr>
          <w:rFonts w:ascii="Arial" w:cs="Arial" w:eastAsia="Arial" w:hAnsi="Arial"/>
          <w:sz w:val="18"/>
          <w:szCs w:val="18"/>
          <w:color w:val="005C7D"/>
        </w:rPr>
      </w:pPr>
      <w:r>
        <w:rPr>
          <w:rFonts w:ascii="Arial" w:cs="Arial" w:eastAsia="Arial" w:hAnsi="Arial"/>
          <w:sz w:val="18"/>
          <w:szCs w:val="18"/>
          <w:color w:val="auto"/>
        </w:rPr>
        <w:t>the Company’s compensation policies and practices are not structured differently from one business unit to another in any material respect;</w:t>
      </w:r>
    </w:p>
    <w:p>
      <w:pPr>
        <w:spacing w:after="0" w:line="62" w:lineRule="exact"/>
        <w:rPr>
          <w:rFonts w:ascii="Arial" w:cs="Arial" w:eastAsia="Arial" w:hAnsi="Arial"/>
          <w:sz w:val="18"/>
          <w:szCs w:val="18"/>
          <w:color w:val="005C7D"/>
        </w:rPr>
      </w:pPr>
    </w:p>
    <w:p>
      <w:pPr>
        <w:ind w:left="700" w:hanging="356"/>
        <w:spacing w:after="0"/>
        <w:tabs>
          <w:tab w:leader="none" w:pos="700" w:val="left"/>
        </w:tabs>
        <w:numPr>
          <w:ilvl w:val="0"/>
          <w:numId w:val="66"/>
        </w:numPr>
        <w:rPr>
          <w:rFonts w:ascii="Arial" w:cs="Arial" w:eastAsia="Arial" w:hAnsi="Arial"/>
          <w:sz w:val="18"/>
          <w:szCs w:val="18"/>
          <w:color w:val="005C7D"/>
        </w:rPr>
      </w:pPr>
      <w:r>
        <w:rPr>
          <w:rFonts w:ascii="Arial" w:cs="Arial" w:eastAsia="Arial" w:hAnsi="Arial"/>
          <w:sz w:val="18"/>
          <w:szCs w:val="18"/>
          <w:color w:val="auto"/>
        </w:rPr>
        <w:t>incentive compensation expense is not a significant percentage of the Company’s sales;</w:t>
      </w:r>
    </w:p>
    <w:p>
      <w:pPr>
        <w:spacing w:after="0" w:line="117" w:lineRule="exact"/>
        <w:rPr>
          <w:rFonts w:ascii="Arial" w:cs="Arial" w:eastAsia="Arial" w:hAnsi="Arial"/>
          <w:sz w:val="18"/>
          <w:szCs w:val="18"/>
          <w:color w:val="005C7D"/>
        </w:rPr>
      </w:pPr>
    </w:p>
    <w:p>
      <w:pPr>
        <w:ind w:left="700" w:right="700" w:hanging="356"/>
        <w:spacing w:after="0" w:line="277" w:lineRule="auto"/>
        <w:tabs>
          <w:tab w:leader="none" w:pos="700" w:val="left"/>
        </w:tabs>
        <w:numPr>
          <w:ilvl w:val="0"/>
          <w:numId w:val="66"/>
        </w:numPr>
        <w:rPr>
          <w:rFonts w:ascii="Arial" w:cs="Arial" w:eastAsia="Arial" w:hAnsi="Arial"/>
          <w:sz w:val="18"/>
          <w:szCs w:val="18"/>
          <w:color w:val="005C7D"/>
        </w:rPr>
      </w:pPr>
      <w:r>
        <w:rPr>
          <w:rFonts w:ascii="Arial" w:cs="Arial" w:eastAsia="Arial" w:hAnsi="Arial"/>
          <w:sz w:val="18"/>
          <w:szCs w:val="18"/>
          <w:color w:val="auto"/>
        </w:rPr>
        <w:t>the Company’s compensation programs do not vary significantly from the overall risk and reward structure of the Company;</w:t>
      </w:r>
    </w:p>
    <w:p>
      <w:pPr>
        <w:spacing w:after="0" w:line="62" w:lineRule="exact"/>
        <w:rPr>
          <w:rFonts w:ascii="Arial" w:cs="Arial" w:eastAsia="Arial" w:hAnsi="Arial"/>
          <w:sz w:val="18"/>
          <w:szCs w:val="18"/>
          <w:color w:val="005C7D"/>
        </w:rPr>
      </w:pPr>
    </w:p>
    <w:p>
      <w:pPr>
        <w:ind w:left="700" w:right="480" w:hanging="356"/>
        <w:spacing w:after="0" w:line="302" w:lineRule="auto"/>
        <w:tabs>
          <w:tab w:leader="none" w:pos="700" w:val="left"/>
        </w:tabs>
        <w:numPr>
          <w:ilvl w:val="0"/>
          <w:numId w:val="66"/>
        </w:numPr>
        <w:rPr>
          <w:rFonts w:ascii="Arial" w:cs="Arial" w:eastAsia="Arial" w:hAnsi="Arial"/>
          <w:sz w:val="16"/>
          <w:szCs w:val="16"/>
          <w:color w:val="005C7D"/>
        </w:rPr>
      </w:pPr>
      <w:r>
        <w:rPr>
          <w:rFonts w:ascii="Arial" w:cs="Arial" w:eastAsia="Arial" w:hAnsi="Arial"/>
          <w:sz w:val="16"/>
          <w:szCs w:val="16"/>
          <w:color w:val="auto"/>
        </w:rPr>
        <w:t>the Company’s long-term incentive awards are intended to align the interests of the Company’s executives and key employees with those of shareholders by linking a meaningful portion of their compensation to value creation over a multi-year period (and, with respect to senior executives, by utilizing overlapping performance periods and multiple performance measures such as relative TSR and cumulative EPS) to promote sustainable, long-term performance;</w:t>
      </w:r>
    </w:p>
    <w:p>
      <w:pPr>
        <w:spacing w:after="0" w:line="224"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005C7D"/>
        </w:rPr>
        <w:t>58</w:t>
      </w:r>
      <w:r>
        <w:rPr>
          <w:sz w:val="20"/>
          <w:szCs w:val="20"/>
          <w:color w:val="auto"/>
        </w:rPr>
        <w:tab/>
      </w: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6071870" cy="431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-106045</wp:posOffset>
            </wp:positionV>
            <wp:extent cx="154305" cy="1543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2" w:lineRule="exact"/>
        <w:rPr>
          <w:sz w:val="20"/>
          <w:szCs w:val="20"/>
          <w:color w:val="auto"/>
        </w:rPr>
      </w:pPr>
    </w:p>
    <w:p>
      <w:pPr>
        <w:ind w:left="700" w:right="20" w:hanging="356"/>
        <w:spacing w:after="0" w:line="264" w:lineRule="auto"/>
        <w:tabs>
          <w:tab w:leader="none" w:pos="700" w:val="left"/>
        </w:tabs>
        <w:numPr>
          <w:ilvl w:val="0"/>
          <w:numId w:val="67"/>
        </w:numPr>
        <w:rPr>
          <w:rFonts w:ascii="Arial" w:cs="Arial" w:eastAsia="Arial" w:hAnsi="Arial"/>
          <w:sz w:val="18"/>
          <w:szCs w:val="18"/>
          <w:color w:val="005C7D"/>
        </w:rPr>
      </w:pPr>
      <w:r>
        <w:rPr>
          <w:rFonts w:ascii="Arial" w:cs="Arial" w:eastAsia="Arial" w:hAnsi="Arial"/>
          <w:sz w:val="18"/>
          <w:szCs w:val="18"/>
          <w:color w:val="auto"/>
        </w:rPr>
        <w:t>the Company’s annual incentive awards, capped at 200% of target for corporate executives and 225% for group presidents, are based upon a variety of financial and nonfinancial performance measures, which, in the Company’s view, reward performance without incentivizing inappropriate risk-taking; and</w:t>
      </w:r>
    </w:p>
    <w:p>
      <w:pPr>
        <w:spacing w:after="0" w:line="73" w:lineRule="exact"/>
        <w:rPr>
          <w:rFonts w:ascii="Arial" w:cs="Arial" w:eastAsia="Arial" w:hAnsi="Arial"/>
          <w:sz w:val="18"/>
          <w:szCs w:val="18"/>
          <w:color w:val="005C7D"/>
        </w:rPr>
      </w:pPr>
    </w:p>
    <w:p>
      <w:pPr>
        <w:ind w:left="700" w:right="100" w:hanging="356"/>
        <w:spacing w:after="0" w:line="286" w:lineRule="auto"/>
        <w:tabs>
          <w:tab w:leader="none" w:pos="700" w:val="left"/>
        </w:tabs>
        <w:numPr>
          <w:ilvl w:val="0"/>
          <w:numId w:val="67"/>
        </w:numPr>
        <w:rPr>
          <w:rFonts w:ascii="Arial" w:cs="Arial" w:eastAsia="Arial" w:hAnsi="Arial"/>
          <w:sz w:val="17"/>
          <w:szCs w:val="17"/>
          <w:color w:val="005C7D"/>
        </w:rPr>
      </w:pPr>
      <w:r>
        <w:rPr>
          <w:rFonts w:ascii="Arial" w:cs="Arial" w:eastAsia="Arial" w:hAnsi="Arial"/>
          <w:sz w:val="17"/>
          <w:szCs w:val="17"/>
          <w:color w:val="auto"/>
        </w:rPr>
        <w:t>the Company has policies and procedures that require compensation programs adopted at the subsidiary and business unit level to be reviewed and approved by senior corporate management to, among other things, ensure that none of the Company’s or its subsidiaries’ compensation programs encourage inappropriate risk-taking.</w:t>
      </w:r>
    </w:p>
    <w:p>
      <w:pPr>
        <w:spacing w:after="0" w:line="111" w:lineRule="exact"/>
        <w:rPr>
          <w:sz w:val="20"/>
          <w:szCs w:val="20"/>
          <w:color w:val="auto"/>
        </w:rPr>
      </w:pPr>
    </w:p>
    <w:p>
      <w:pPr>
        <w:ind w:right="80"/>
        <w:spacing w:after="0" w:line="312" w:lineRule="auto"/>
        <w:rPr>
          <w:rFonts w:ascii="Arial" w:cs="Arial" w:eastAsia="Arial" w:hAnsi="Arial"/>
          <w:sz w:val="16"/>
          <w:szCs w:val="16"/>
          <w:color w:val="auto"/>
        </w:rPr>
      </w:pPr>
      <w:r>
        <w:rPr>
          <w:rFonts w:ascii="Arial" w:cs="Arial" w:eastAsia="Arial" w:hAnsi="Arial"/>
          <w:sz w:val="16"/>
          <w:szCs w:val="16"/>
          <w:color w:val="auto"/>
        </w:rPr>
        <w:t xml:space="preserve">The Committee has also adopted stock ownership guidelines for our senior executives, including our named executive officers, which are intended to align their long-term interests with those of our shareholders and to encourage a long-term focus in managing the Company. For a further discussion, see “Stock Ownership Guidelines and Retention Requirements” on page </w:t>
      </w:r>
      <w:hyperlink w:anchor="page63">
        <w:r>
          <w:rPr>
            <w:rFonts w:ascii="Arial" w:cs="Arial" w:eastAsia="Arial" w:hAnsi="Arial"/>
            <w:sz w:val="16"/>
            <w:szCs w:val="16"/>
            <w:u w:val="single" w:color="auto"/>
            <w:color w:val="0000EE"/>
          </w:rPr>
          <w:t>57</w:t>
        </w:r>
      </w:hyperlink>
      <w:r>
        <w:rPr>
          <w:rFonts w:ascii="Arial" w:cs="Arial" w:eastAsia="Arial" w:hAnsi="Arial"/>
          <w:sz w:val="16"/>
          <w:szCs w:val="16"/>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Section 162(m) of the Internal Revenue Code generally limits tax deductibility of compensation paid by a public company to its chief executive officer and certain other highly compensated executive officers to $1 million in the year compensation becomes taxable to the executive, subject to an exception for performance-based compensation that meets specified requirements. The Committee considers the impact of this rule when developing and implementing its executive compensation programs; however, the Committee reserves the right to provide compensation that is not tax deductible if it believes the value in doing so outweighs the value of the lost tax deduction.</w:t>
      </w:r>
    </w:p>
    <w:p>
      <w:pPr>
        <w:spacing w:after="0" w:line="13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intend that the compensation paid under our annual incentive plan and under our long-term incentive awards qualifies as performance-based compensation under Section 162(m) of the Internal Revenue Code. With respect to our annual incentive plan, we established maximum payment levels under the program in February 2016 using an objective formula based on our 2016 operating income. Similarly, with respect to RSUs awarded to our named executive officers in 2016, we included forfeiture conditions that established maximum grant date fair values using an objective formula based on our 2016 free cash flow. These formulas do not establish any entitlement to payments or awards at the calculated levels. The actual payments under our annual incentive plan for 2016 and the actual grant date fair values of RSUs awarded to our named executive officers in 2016 were less than the amounts generated by the applicable formulas.</w:t>
      </w:r>
    </w:p>
    <w:p>
      <w:pPr>
        <w:spacing w:after="0" w:line="1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2016, the portion of the base salary paid to Chief Executive Officer in excess of $1 million does not qualify as tax deductible compensation under Section 162(m). However, the Committee believes that the base salary awarded to our Chief Executive Officer in 2016 is appropriate in light of competitive market practices.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GRANT TIMING</w:t>
      </w:r>
    </w:p>
    <w:p>
      <w:pPr>
        <w:spacing w:after="0" w:line="17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Committee approves all long-term incentive awards to the named executive officers at in-person or telephonic meetings on an annual basis. We do not time the grant of equity awards, including stock options, to precede the release of non-public information. The Committee makes grants on an annual basis at a scheduled meeting in February, and may also approve the grant of long-term incentive awards in connection with or following new hires or promotions. Under the terms of the Company’s long-term equity incentive plans, the exercise price of each stock option granted is equal to the fair market value of the underlying Common Stock on the date of grant. The Committee does not grant discounted stock options and the Company’s long-term equity incentive plans do not permit stock option repricing without shareholder approval.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MEASURES TO GAAP MEASURES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EPS from continuing operations for the year ended December 31, 2015 includes the following items (the “2015 Items”): (1) non-cash goodwill impairment charges of $384 million ($264 million after income taxes, or $3.22 per diluted share) due to a decline in the estimated value of our Vertex Aerospace reporting unit and the re-allocation of goodwill of the business retained by L3 in connection with the sale of our National Security Solutions business, and (2) a loss on business divestitures of $31 million ($20 million after income taxes, or $0.25 per diluted share) relating to the 2015 divestitures of Marine Systems International, the Tinsley Product Line, Broadcast Sports, Inc. and Klein Associates, Inc.</w:t>
      </w:r>
    </w:p>
    <w:p>
      <w:pPr>
        <w:spacing w:after="0" w:line="234" w:lineRule="exact"/>
        <w:rPr>
          <w:sz w:val="20"/>
          <w:szCs w:val="20"/>
          <w:color w:val="auto"/>
        </w:rPr>
      </w:pPr>
    </w:p>
    <w:p>
      <w:pPr>
        <w:ind w:left="7820"/>
        <w:spacing w:after="0"/>
        <w:tabs>
          <w:tab w:leader="none" w:pos="932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6071870" cy="431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-107315</wp:posOffset>
            </wp:positionV>
            <wp:extent cx="163195" cy="1543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005C7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provides a reconciliation of EPS from continuing operations to EPS from continuing operations, excluding the 2015 Items, for the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7187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1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5"/>
        </w:trPr>
        <w:tc>
          <w:tcPr>
            <w:tcW w:w="5240" w:type="dxa"/>
            <w:vAlign w:val="bottom"/>
            <w:tcBorders>
              <w:bottom w:val="single" w:sz="8" w:color="005C7D"/>
            </w:tcBorders>
          </w:tcPr>
          <w:p>
            <w:pPr>
              <w:ind w:left="20"/>
              <w:spacing w:after="0"/>
              <w:rPr>
                <w:sz w:val="20"/>
                <w:szCs w:val="20"/>
                <w:color w:val="auto"/>
              </w:rPr>
            </w:pPr>
            <w:r>
              <w:rPr>
                <w:rFonts w:ascii="Arial" w:cs="Arial" w:eastAsia="Arial" w:hAnsi="Arial"/>
                <w:sz w:val="14"/>
                <w:szCs w:val="14"/>
                <w:b w:val="1"/>
                <w:bCs w:val="1"/>
                <w:color w:val="auto"/>
              </w:rPr>
              <w:t>(per share amounts)</w:t>
            </w:r>
          </w:p>
        </w:tc>
        <w:tc>
          <w:tcPr>
            <w:tcW w:w="1980" w:type="dxa"/>
            <w:vAlign w:val="bottom"/>
            <w:tcBorders>
              <w:bottom w:val="single" w:sz="8" w:color="005C7D"/>
            </w:tcBorders>
          </w:tcPr>
          <w:p>
            <w:pPr>
              <w:spacing w:after="0"/>
              <w:rPr>
                <w:sz w:val="16"/>
                <w:szCs w:val="16"/>
                <w:color w:val="auto"/>
              </w:rPr>
            </w:pPr>
          </w:p>
        </w:tc>
        <w:tc>
          <w:tcPr>
            <w:tcW w:w="980" w:type="dxa"/>
            <w:vAlign w:val="bottom"/>
            <w:tcBorders>
              <w:bottom w:val="single" w:sz="8" w:color="005C7D"/>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005C7D"/>
            </w:tcBorders>
          </w:tcPr>
          <w:p>
            <w:pPr>
              <w:spacing w:after="0"/>
              <w:rPr>
                <w:sz w:val="16"/>
                <w:szCs w:val="16"/>
                <w:color w:val="auto"/>
              </w:rPr>
            </w:pPr>
          </w:p>
        </w:tc>
        <w:tc>
          <w:tcPr>
            <w:tcW w:w="940" w:type="dxa"/>
            <w:vAlign w:val="bottom"/>
            <w:tcBorders>
              <w:bottom w:val="single" w:sz="8" w:color="005C7D"/>
            </w:tcBorders>
          </w:tcPr>
          <w:p>
            <w:pPr>
              <w:jc w:val="right"/>
              <w:ind w:right="354"/>
              <w:spacing w:after="0"/>
              <w:rPr>
                <w:sz w:val="20"/>
                <w:szCs w:val="20"/>
                <w:color w:val="auto"/>
              </w:rPr>
            </w:pPr>
            <w:r>
              <w:rPr>
                <w:rFonts w:ascii="Arial" w:cs="Arial" w:eastAsia="Arial" w:hAnsi="Arial"/>
                <w:sz w:val="14"/>
                <w:szCs w:val="14"/>
                <w:b w:val="1"/>
                <w:bCs w:val="1"/>
                <w:color w:val="auto"/>
              </w:rPr>
              <w:t>2015</w:t>
            </w:r>
          </w:p>
        </w:tc>
      </w:tr>
      <w:tr>
        <w:trPr>
          <w:trHeight w:val="237"/>
        </w:trPr>
        <w:tc>
          <w:tcPr>
            <w:tcW w:w="5240" w:type="dxa"/>
            <w:vAlign w:val="bottom"/>
            <w:shd w:val="clear" w:color="auto" w:fill="CDDAE6"/>
          </w:tcPr>
          <w:p>
            <w:pPr>
              <w:ind w:left="20"/>
              <w:spacing w:after="0"/>
              <w:rPr>
                <w:sz w:val="20"/>
                <w:szCs w:val="20"/>
                <w:color w:val="auto"/>
              </w:rPr>
            </w:pPr>
            <w:r>
              <w:rPr>
                <w:rFonts w:ascii="Arial" w:cs="Arial" w:eastAsia="Arial" w:hAnsi="Arial"/>
                <w:sz w:val="18"/>
                <w:szCs w:val="18"/>
                <w:color w:val="auto"/>
              </w:rPr>
              <w:t>Diluted earnings per share</w:t>
            </w:r>
          </w:p>
        </w:tc>
        <w:tc>
          <w:tcPr>
            <w:tcW w:w="1980" w:type="dxa"/>
            <w:vAlign w:val="bottom"/>
            <w:shd w:val="clear" w:color="auto" w:fill="CDDAE6"/>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DDAE6"/>
          </w:tcPr>
          <w:p>
            <w:pPr>
              <w:jc w:val="right"/>
              <w:spacing w:after="0"/>
              <w:rPr>
                <w:sz w:val="20"/>
                <w:szCs w:val="20"/>
                <w:color w:val="auto"/>
              </w:rPr>
            </w:pPr>
            <w:r>
              <w:rPr>
                <w:rFonts w:ascii="Arial" w:cs="Arial" w:eastAsia="Arial" w:hAnsi="Arial"/>
                <w:sz w:val="18"/>
                <w:szCs w:val="18"/>
                <w:color w:val="auto"/>
              </w:rPr>
              <w:t>8.21</w:t>
            </w:r>
          </w:p>
        </w:tc>
        <w:tc>
          <w:tcPr>
            <w:tcW w:w="420" w:type="dxa"/>
            <w:vAlign w:val="bottom"/>
            <w:shd w:val="clear" w:color="auto" w:fill="CDDAE6"/>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DDAE6"/>
          </w:tcPr>
          <w:p>
            <w:pPr>
              <w:jc w:val="right"/>
              <w:ind w:right="34"/>
              <w:spacing w:after="0"/>
              <w:rPr>
                <w:sz w:val="20"/>
                <w:szCs w:val="20"/>
                <w:color w:val="auto"/>
              </w:rPr>
            </w:pPr>
            <w:r>
              <w:rPr>
                <w:rFonts w:ascii="Arial" w:cs="Arial" w:eastAsia="Arial" w:hAnsi="Arial"/>
                <w:sz w:val="18"/>
                <w:szCs w:val="18"/>
                <w:color w:val="auto"/>
              </w:rPr>
              <w:t>3.44</w:t>
            </w: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color w:val="auto"/>
              </w:rPr>
              <w:t>2015 Items</w:t>
            </w:r>
          </w:p>
        </w:tc>
        <w:tc>
          <w:tcPr>
            <w:tcW w:w="19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3.47</w:t>
            </w:r>
          </w:p>
        </w:tc>
      </w:tr>
      <w:tr>
        <w:trPr>
          <w:trHeight w:val="243"/>
        </w:trPr>
        <w:tc>
          <w:tcPr>
            <w:tcW w:w="5240" w:type="dxa"/>
            <w:vAlign w:val="bottom"/>
            <w:tcBorders>
              <w:bottom w:val="single" w:sz="8" w:color="005C7D"/>
            </w:tcBorders>
            <w:shd w:val="clear" w:color="auto" w:fill="CDDAE6"/>
          </w:tcPr>
          <w:p>
            <w:pPr>
              <w:ind w:left="20"/>
              <w:spacing w:after="0"/>
              <w:rPr>
                <w:sz w:val="20"/>
                <w:szCs w:val="20"/>
                <w:color w:val="auto"/>
              </w:rPr>
            </w:pPr>
            <w:r>
              <w:rPr>
                <w:rFonts w:ascii="Arial" w:cs="Arial" w:eastAsia="Arial" w:hAnsi="Arial"/>
                <w:sz w:val="18"/>
                <w:szCs w:val="18"/>
                <w:color w:val="auto"/>
              </w:rPr>
              <w:t>Diluted earnings per share excluding 2015 Items</w:t>
            </w:r>
          </w:p>
        </w:tc>
        <w:tc>
          <w:tcPr>
            <w:tcW w:w="1980" w:type="dxa"/>
            <w:vAlign w:val="bottom"/>
            <w:tcBorders>
              <w:bottom w:val="single" w:sz="8" w:color="005C7D"/>
            </w:tcBorders>
            <w:shd w:val="clear" w:color="auto" w:fill="CDDAE6"/>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5C7D"/>
            </w:tcBorders>
            <w:shd w:val="clear" w:color="auto" w:fill="CDDAE6"/>
          </w:tcPr>
          <w:p>
            <w:pPr>
              <w:jc w:val="right"/>
              <w:spacing w:after="0"/>
              <w:rPr>
                <w:sz w:val="20"/>
                <w:szCs w:val="20"/>
                <w:color w:val="auto"/>
              </w:rPr>
            </w:pPr>
            <w:r>
              <w:rPr>
                <w:rFonts w:ascii="Arial" w:cs="Arial" w:eastAsia="Arial" w:hAnsi="Arial"/>
                <w:sz w:val="18"/>
                <w:szCs w:val="18"/>
                <w:color w:val="auto"/>
              </w:rPr>
              <w:t>8.21</w:t>
            </w:r>
          </w:p>
        </w:tc>
        <w:tc>
          <w:tcPr>
            <w:tcW w:w="420" w:type="dxa"/>
            <w:vAlign w:val="bottom"/>
            <w:tcBorders>
              <w:bottom w:val="single" w:sz="8" w:color="005C7D"/>
            </w:tcBorders>
            <w:shd w:val="clear" w:color="auto" w:fill="CDDAE6"/>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05C7D"/>
            </w:tcBorders>
            <w:shd w:val="clear" w:color="auto" w:fill="CDDAE6"/>
          </w:tcPr>
          <w:p>
            <w:pPr>
              <w:jc w:val="right"/>
              <w:ind w:right="34"/>
              <w:spacing w:after="0"/>
              <w:rPr>
                <w:sz w:val="20"/>
                <w:szCs w:val="20"/>
                <w:color w:val="auto"/>
              </w:rPr>
            </w:pPr>
            <w:r>
              <w:rPr>
                <w:rFonts w:ascii="Arial" w:cs="Arial" w:eastAsia="Arial" w:hAnsi="Arial"/>
                <w:sz w:val="18"/>
                <w:szCs w:val="18"/>
                <w:color w:val="auto"/>
              </w:rPr>
              <w:t>6.91</w:t>
            </w:r>
          </w:p>
        </w:tc>
      </w:tr>
    </w:tbl>
    <w:p>
      <w:pPr>
        <w:spacing w:after="0" w:line="1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Management believes that excluding the 2015 Items from EPS from continuing operations will allow shareholders to more easily compare the Company’s results from period to period. EPS from continuing operations, excluding the 2015 Items, is not intended to replace the most directly comparable GAAP measure.</w:t>
      </w:r>
    </w:p>
    <w:p>
      <w:pPr>
        <w:spacing w:after="0" w:line="251"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005C7D"/>
        </w:rPr>
        <w:t>60</w:t>
      </w:r>
      <w:r>
        <w:rPr>
          <w:sz w:val="20"/>
          <w:szCs w:val="20"/>
          <w:color w:val="auto"/>
        </w:rPr>
        <w:tab/>
      </w: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6071870" cy="431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-106045</wp:posOffset>
            </wp:positionV>
            <wp:extent cx="154305" cy="154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REPORT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149860</wp:posOffset>
            </wp:positionV>
            <wp:extent cx="6071870" cy="2057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71870" cy="205740"/>
                    </a:xfrm>
                    <a:prstGeom prst="rect">
                      <a:avLst/>
                    </a:prstGeom>
                    <a:noFill/>
                  </pic:spPr>
                </pic:pic>
              </a:graphicData>
            </a:graphic>
          </wp:anchor>
        </w:drawing>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05C7D"/>
        </w:rPr>
        <w:t>REPORT OF THE COMPENSATION COMMITTEE</w:t>
      </w:r>
    </w:p>
    <w:p>
      <w:pPr>
        <w:spacing w:after="0" w:line="20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management. Based on its review and discussion with management, the Compensation Committee recommended to L3’s Board of Directors that the Compensation Discussion and Analysis be included in L3’s proxy statement and Annual Report on Form 10-K for the fiscal year ended December 31, 2016.</w:t>
      </w:r>
    </w:p>
    <w:p>
      <w:pPr>
        <w:spacing w:after="0" w:line="13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During 2016, Robert B. Millard (Chairman), Lewis Kramer and Lloyd W. Newton served as members of the Compensation Committee.</w:t>
      </w:r>
    </w:p>
    <w:p>
      <w:pPr>
        <w:spacing w:after="0" w:line="11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Robert B. Millard (Chairman)</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Lewis Kramer</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Lloyd W. Newton</w:t>
      </w:r>
    </w:p>
    <w:p>
      <w:pPr>
        <w:spacing w:after="0" w:line="251" w:lineRule="exact"/>
        <w:rPr>
          <w:sz w:val="20"/>
          <w:szCs w:val="20"/>
          <w:color w:val="auto"/>
        </w:rPr>
      </w:pPr>
    </w:p>
    <w:p>
      <w:pPr>
        <w:ind w:left="7820"/>
        <w:spacing w:after="0"/>
        <w:tabs>
          <w:tab w:leader="none" w:pos="932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6071870" cy="431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-107315</wp:posOffset>
            </wp:positionV>
            <wp:extent cx="163195"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7" w:name="page68"/>
    <w:bookmarkEnd w:id="67"/>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7"/>
        <w:spacing w:after="0"/>
        <w:rPr>
          <w:sz w:val="20"/>
          <w:szCs w:val="20"/>
          <w:color w:val="auto"/>
        </w:rPr>
      </w:pPr>
      <w:r>
        <w:rPr>
          <w:rFonts w:ascii="Arial" w:cs="Arial" w:eastAsia="Arial" w:hAnsi="Arial"/>
          <w:sz w:val="14"/>
          <w:szCs w:val="14"/>
          <w:color w:val="005C7D"/>
        </w:rPr>
        <w:t>TABULAR EXECUTIVE COMPENSATION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07187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149860</wp:posOffset>
            </wp:positionV>
            <wp:extent cx="6071870" cy="2057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71870" cy="205740"/>
                    </a:xfrm>
                    <a:prstGeom prst="rect">
                      <a:avLst/>
                    </a:prstGeom>
                    <a:noFill/>
                  </pic:spPr>
                </pic:pic>
              </a:graphicData>
            </a:graphic>
          </wp:anchor>
        </w:drawing>
      </w:r>
    </w:p>
    <w:p>
      <w:pPr>
        <w:spacing w:after="0" w:line="229" w:lineRule="exact"/>
        <w:rPr>
          <w:sz w:val="20"/>
          <w:szCs w:val="20"/>
          <w:color w:val="auto"/>
        </w:rPr>
      </w:pPr>
    </w:p>
    <w:p>
      <w:pPr>
        <w:jc w:val="center"/>
        <w:ind w:right="53"/>
        <w:spacing w:after="0"/>
        <w:rPr>
          <w:sz w:val="20"/>
          <w:szCs w:val="20"/>
          <w:color w:val="auto"/>
        </w:rPr>
      </w:pPr>
      <w:r>
        <w:rPr>
          <w:rFonts w:ascii="Arial" w:cs="Arial" w:eastAsia="Arial" w:hAnsi="Arial"/>
          <w:sz w:val="22"/>
          <w:szCs w:val="22"/>
          <w:b w:val="1"/>
          <w:bCs w:val="1"/>
          <w:color w:val="005C7D"/>
        </w:rPr>
        <w:t>TABULAR EXECUTIVE COMPENSATION DISCLOSURE</w:t>
      </w:r>
    </w:p>
    <w:p>
      <w:pPr>
        <w:spacing w:after="0" w:line="229"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Summary Compensation Table</w:t>
      </w:r>
    </w:p>
    <w:p>
      <w:pPr>
        <w:spacing w:after="0" w:line="243" w:lineRule="exact"/>
        <w:rPr>
          <w:sz w:val="20"/>
          <w:szCs w:val="20"/>
          <w:color w:val="auto"/>
        </w:rPr>
      </w:pPr>
    </w:p>
    <w:p>
      <w:pPr>
        <w:ind w:left="7" w:right="60"/>
        <w:spacing w:after="0" w:line="259" w:lineRule="auto"/>
        <w:rPr>
          <w:sz w:val="20"/>
          <w:szCs w:val="20"/>
          <w:color w:val="auto"/>
        </w:rPr>
      </w:pPr>
      <w:r>
        <w:rPr>
          <w:rFonts w:ascii="Arial" w:cs="Arial" w:eastAsia="Arial" w:hAnsi="Arial"/>
          <w:sz w:val="18"/>
          <w:szCs w:val="18"/>
          <w:color w:val="auto"/>
        </w:rPr>
        <w:t>The following table provides summary information concerning compensation paid or accrued by us to or on behalf of our Chairman and Chief Executive Officer, our Senior Vice President and Chief Financial Officer, and each of our three other most highly compensated executive officers serving at our 2016 fiscal year-end. These officers are collectively referred to as the named executive officers.</w:t>
      </w:r>
    </w:p>
    <w:p>
      <w:pPr>
        <w:spacing w:after="0" w:line="19" w:lineRule="exact"/>
        <w:rPr>
          <w:sz w:val="20"/>
          <w:szCs w:val="20"/>
          <w:color w:val="auto"/>
        </w:rPr>
      </w:pPr>
    </w:p>
    <w:tbl>
      <w:tblPr>
        <w:tblLayout w:type="fixed"/>
        <w:tblInd w:w="7" w:type="dxa"/>
        <w:tblCellMar>
          <w:top w:w="0" w:type="dxa"/>
          <w:left w:w="0" w:type="dxa"/>
          <w:bottom w:w="0" w:type="dxa"/>
          <w:right w:w="0" w:type="dxa"/>
        </w:tblCellMar>
      </w:tblPr>
      <w:tr>
        <w:trPr>
          <w:trHeight w:val="155"/>
        </w:trPr>
        <w:tc>
          <w:tcPr>
            <w:tcW w:w="1980" w:type="dxa"/>
            <w:vAlign w:val="bottom"/>
            <w:tcBorders>
              <w:top w:val="single" w:sz="8" w:color="005C7D"/>
            </w:tcBorders>
          </w:tcPr>
          <w:p>
            <w:pPr>
              <w:spacing w:after="0"/>
              <w:rPr>
                <w:sz w:val="13"/>
                <w:szCs w:val="13"/>
                <w:color w:val="auto"/>
              </w:rPr>
            </w:pPr>
          </w:p>
        </w:tc>
        <w:tc>
          <w:tcPr>
            <w:tcW w:w="180" w:type="dxa"/>
            <w:vAlign w:val="bottom"/>
            <w:tcBorders>
              <w:top w:val="single" w:sz="8" w:color="005C7D"/>
            </w:tcBorders>
          </w:tcPr>
          <w:p>
            <w:pPr>
              <w:spacing w:after="0"/>
              <w:rPr>
                <w:sz w:val="13"/>
                <w:szCs w:val="13"/>
                <w:color w:val="auto"/>
              </w:rPr>
            </w:pPr>
          </w:p>
        </w:tc>
        <w:tc>
          <w:tcPr>
            <w:tcW w:w="520" w:type="dxa"/>
            <w:vAlign w:val="bottom"/>
            <w:tcBorders>
              <w:top w:val="single" w:sz="8" w:color="005C7D"/>
            </w:tcBorders>
          </w:tcPr>
          <w:p>
            <w:pPr>
              <w:spacing w:after="0"/>
              <w:rPr>
                <w:sz w:val="13"/>
                <w:szCs w:val="13"/>
                <w:color w:val="auto"/>
              </w:rPr>
            </w:pPr>
          </w:p>
        </w:tc>
        <w:tc>
          <w:tcPr>
            <w:tcW w:w="780" w:type="dxa"/>
            <w:vAlign w:val="bottom"/>
            <w:tcBorders>
              <w:top w:val="single" w:sz="8" w:color="005C7D"/>
            </w:tcBorders>
          </w:tcPr>
          <w:p>
            <w:pPr>
              <w:spacing w:after="0"/>
              <w:rPr>
                <w:sz w:val="13"/>
                <w:szCs w:val="13"/>
                <w:color w:val="auto"/>
              </w:rPr>
            </w:pPr>
          </w:p>
        </w:tc>
        <w:tc>
          <w:tcPr>
            <w:tcW w:w="880" w:type="dxa"/>
            <w:vAlign w:val="bottom"/>
            <w:tcBorders>
              <w:top w:val="single" w:sz="8" w:color="005C7D"/>
            </w:tcBorders>
          </w:tcPr>
          <w:p>
            <w:pPr>
              <w:spacing w:after="0"/>
              <w:rPr>
                <w:sz w:val="13"/>
                <w:szCs w:val="13"/>
                <w:color w:val="auto"/>
              </w:rPr>
            </w:pPr>
          </w:p>
        </w:tc>
        <w:tc>
          <w:tcPr>
            <w:tcW w:w="840" w:type="dxa"/>
            <w:vAlign w:val="bottom"/>
            <w:tcBorders>
              <w:top w:val="single" w:sz="8" w:color="005C7D"/>
            </w:tcBorders>
          </w:tcPr>
          <w:p>
            <w:pPr>
              <w:spacing w:after="0"/>
              <w:rPr>
                <w:sz w:val="13"/>
                <w:szCs w:val="13"/>
                <w:color w:val="auto"/>
              </w:rPr>
            </w:pPr>
          </w:p>
        </w:tc>
        <w:tc>
          <w:tcPr>
            <w:tcW w:w="1200" w:type="dxa"/>
            <w:vAlign w:val="bottom"/>
            <w:tcBorders>
              <w:top w:val="single" w:sz="8" w:color="005C7D"/>
            </w:tcBorders>
          </w:tcPr>
          <w:p>
            <w:pPr>
              <w:spacing w:after="0"/>
              <w:rPr>
                <w:sz w:val="13"/>
                <w:szCs w:val="13"/>
                <w:color w:val="auto"/>
              </w:rPr>
            </w:pPr>
          </w:p>
        </w:tc>
        <w:tc>
          <w:tcPr>
            <w:tcW w:w="1040" w:type="dxa"/>
            <w:vAlign w:val="bottom"/>
            <w:tcBorders>
              <w:top w:val="single" w:sz="8" w:color="005C7D"/>
            </w:tcBorders>
          </w:tcPr>
          <w:p>
            <w:pPr>
              <w:jc w:val="center"/>
              <w:spacing w:after="0" w:line="155" w:lineRule="exact"/>
              <w:rPr>
                <w:sz w:val="20"/>
                <w:szCs w:val="20"/>
                <w:color w:val="auto"/>
              </w:rPr>
            </w:pPr>
            <w:r>
              <w:rPr>
                <w:rFonts w:ascii="Arial" w:cs="Arial" w:eastAsia="Arial" w:hAnsi="Arial"/>
                <w:sz w:val="14"/>
                <w:szCs w:val="14"/>
                <w:b w:val="1"/>
                <w:bCs w:val="1"/>
                <w:color w:val="auto"/>
                <w:w w:val="91"/>
              </w:rPr>
              <w:t>Change in</w:t>
            </w:r>
          </w:p>
        </w:tc>
        <w:tc>
          <w:tcPr>
            <w:tcW w:w="1240" w:type="dxa"/>
            <w:vAlign w:val="bottom"/>
            <w:tcBorders>
              <w:top w:val="single" w:sz="8" w:color="005C7D"/>
            </w:tcBorders>
          </w:tcPr>
          <w:p>
            <w:pPr>
              <w:spacing w:after="0"/>
              <w:rPr>
                <w:sz w:val="13"/>
                <w:szCs w:val="13"/>
                <w:color w:val="auto"/>
              </w:rPr>
            </w:pPr>
          </w:p>
        </w:tc>
        <w:tc>
          <w:tcPr>
            <w:tcW w:w="900" w:type="dxa"/>
            <w:vAlign w:val="bottom"/>
            <w:tcBorders>
              <w:top w:val="single" w:sz="8" w:color="005C7D"/>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Pension Value</w:t>
            </w: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Nonqualified</w:t>
            </w: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Non-Equity</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Deferred</w:t>
            </w: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Incentive Plan</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Arial" w:cs="Arial" w:eastAsia="Arial" w:hAnsi="Arial"/>
                <w:sz w:val="14"/>
                <w:szCs w:val="14"/>
                <w:b w:val="1"/>
                <w:bCs w:val="1"/>
                <w:color w:val="auto"/>
              </w:rPr>
              <w:t>Salary</w:t>
            </w:r>
          </w:p>
        </w:tc>
        <w:tc>
          <w:tcPr>
            <w:tcW w:w="880" w:type="dxa"/>
            <w:vAlign w:val="bottom"/>
          </w:tcPr>
          <w:p>
            <w:pPr>
              <w:jc w:val="center"/>
              <w:ind w:right="5"/>
              <w:spacing w:after="0" w:line="178" w:lineRule="exact"/>
              <w:rPr>
                <w:sz w:val="20"/>
                <w:szCs w:val="20"/>
                <w:color w:val="auto"/>
              </w:rPr>
            </w:pPr>
            <w:r>
              <w:rPr>
                <w:rFonts w:ascii="Arial" w:cs="Arial" w:eastAsia="Arial" w:hAnsi="Arial"/>
                <w:sz w:val="13"/>
                <w:szCs w:val="13"/>
                <w:b w:val="1"/>
                <w:bCs w:val="1"/>
                <w:color w:val="auto"/>
                <w:w w:val="94"/>
              </w:rPr>
              <w:t>Awards</w:t>
            </w:r>
            <w:r>
              <w:rPr>
                <w:rFonts w:ascii="Arial" w:cs="Arial" w:eastAsia="Arial" w:hAnsi="Arial"/>
                <w:sz w:val="20"/>
                <w:szCs w:val="20"/>
                <w:b w:val="1"/>
                <w:bCs w:val="1"/>
                <w:color w:val="auto"/>
                <w:w w:val="94"/>
                <w:vertAlign w:val="superscript"/>
              </w:rPr>
              <w:t>(1)</w:t>
            </w:r>
          </w:p>
        </w:tc>
        <w:tc>
          <w:tcPr>
            <w:tcW w:w="840" w:type="dxa"/>
            <w:vAlign w:val="bottom"/>
          </w:tcPr>
          <w:p>
            <w:pPr>
              <w:jc w:val="center"/>
              <w:spacing w:after="0" w:line="178" w:lineRule="exact"/>
              <w:rPr>
                <w:sz w:val="20"/>
                <w:szCs w:val="20"/>
                <w:color w:val="auto"/>
              </w:rPr>
            </w:pPr>
            <w:r>
              <w:rPr>
                <w:rFonts w:ascii="Arial" w:cs="Arial" w:eastAsia="Arial" w:hAnsi="Arial"/>
                <w:sz w:val="13"/>
                <w:szCs w:val="13"/>
                <w:b w:val="1"/>
                <w:bCs w:val="1"/>
                <w:color w:val="auto"/>
                <w:w w:val="94"/>
              </w:rPr>
              <w:t>Awards</w:t>
            </w:r>
            <w:r>
              <w:rPr>
                <w:rFonts w:ascii="Arial" w:cs="Arial" w:eastAsia="Arial" w:hAnsi="Arial"/>
                <w:sz w:val="20"/>
                <w:szCs w:val="20"/>
                <w:b w:val="1"/>
                <w:bCs w:val="1"/>
                <w:color w:val="auto"/>
                <w:w w:val="94"/>
                <w:vertAlign w:val="superscript"/>
              </w:rPr>
              <w:t>(2)</w:t>
            </w:r>
          </w:p>
        </w:tc>
        <w:tc>
          <w:tcPr>
            <w:tcW w:w="1200" w:type="dxa"/>
            <w:vAlign w:val="bottom"/>
          </w:tcPr>
          <w:p>
            <w:pPr>
              <w:jc w:val="center"/>
              <w:spacing w:after="0" w:line="178" w:lineRule="exact"/>
              <w:rPr>
                <w:sz w:val="20"/>
                <w:szCs w:val="20"/>
                <w:color w:val="auto"/>
              </w:rPr>
            </w:pPr>
            <w:r>
              <w:rPr>
                <w:rFonts w:ascii="Arial" w:cs="Arial" w:eastAsia="Arial" w:hAnsi="Arial"/>
                <w:sz w:val="13"/>
                <w:szCs w:val="13"/>
                <w:b w:val="1"/>
                <w:bCs w:val="1"/>
                <w:color w:val="auto"/>
                <w:w w:val="93"/>
              </w:rPr>
              <w:t>Compensation</w:t>
            </w:r>
            <w:r>
              <w:rPr>
                <w:rFonts w:ascii="Arial" w:cs="Arial" w:eastAsia="Arial" w:hAnsi="Arial"/>
                <w:sz w:val="20"/>
                <w:szCs w:val="20"/>
                <w:b w:val="1"/>
                <w:bCs w:val="1"/>
                <w:color w:val="auto"/>
                <w:w w:val="93"/>
                <w:vertAlign w:val="superscript"/>
              </w:rPr>
              <w:t>(3)</w:t>
            </w:r>
          </w:p>
        </w:tc>
        <w:tc>
          <w:tcPr>
            <w:tcW w:w="1040" w:type="dxa"/>
            <w:vAlign w:val="bottom"/>
          </w:tcPr>
          <w:p>
            <w:pPr>
              <w:jc w:val="center"/>
              <w:spacing w:after="0" w:line="178" w:lineRule="exact"/>
              <w:rPr>
                <w:sz w:val="20"/>
                <w:szCs w:val="20"/>
                <w:color w:val="auto"/>
              </w:rPr>
            </w:pPr>
            <w:r>
              <w:rPr>
                <w:rFonts w:ascii="Arial" w:cs="Arial" w:eastAsia="Arial" w:hAnsi="Arial"/>
                <w:sz w:val="13"/>
                <w:szCs w:val="13"/>
                <w:b w:val="1"/>
                <w:bCs w:val="1"/>
                <w:color w:val="auto"/>
                <w:w w:val="92"/>
              </w:rPr>
              <w:t>Earnings</w:t>
            </w:r>
            <w:r>
              <w:rPr>
                <w:rFonts w:ascii="Arial" w:cs="Arial" w:eastAsia="Arial" w:hAnsi="Arial"/>
                <w:sz w:val="20"/>
                <w:szCs w:val="20"/>
                <w:b w:val="1"/>
                <w:bCs w:val="1"/>
                <w:color w:val="auto"/>
                <w:w w:val="92"/>
                <w:vertAlign w:val="superscript"/>
              </w:rPr>
              <w:t>(4)(5)</w:t>
            </w:r>
          </w:p>
        </w:tc>
        <w:tc>
          <w:tcPr>
            <w:tcW w:w="1240" w:type="dxa"/>
            <w:vAlign w:val="bottom"/>
          </w:tcPr>
          <w:p>
            <w:pPr>
              <w:jc w:val="center"/>
              <w:spacing w:after="0" w:line="178" w:lineRule="exact"/>
              <w:rPr>
                <w:sz w:val="20"/>
                <w:szCs w:val="20"/>
                <w:color w:val="auto"/>
              </w:rPr>
            </w:pPr>
            <w:r>
              <w:rPr>
                <w:rFonts w:ascii="Arial" w:cs="Arial" w:eastAsia="Arial" w:hAnsi="Arial"/>
                <w:sz w:val="13"/>
                <w:szCs w:val="13"/>
                <w:b w:val="1"/>
                <w:bCs w:val="1"/>
                <w:color w:val="auto"/>
                <w:w w:val="95"/>
              </w:rPr>
              <w:t>Compensation</w:t>
            </w:r>
            <w:r>
              <w:rPr>
                <w:rFonts w:ascii="Arial" w:cs="Arial" w:eastAsia="Arial" w:hAnsi="Arial"/>
                <w:sz w:val="20"/>
                <w:szCs w:val="20"/>
                <w:b w:val="1"/>
                <w:bCs w:val="1"/>
                <w:color w:val="auto"/>
                <w:w w:val="95"/>
                <w:vertAlign w:val="superscript"/>
              </w:rPr>
              <w:t>(6)</w:t>
            </w:r>
          </w:p>
        </w:tc>
        <w:tc>
          <w:tcPr>
            <w:tcW w:w="900" w:type="dxa"/>
            <w:vAlign w:val="bottom"/>
          </w:tcPr>
          <w:p>
            <w:pPr>
              <w:jc w:val="right"/>
              <w:ind w:right="165"/>
              <w:spacing w:after="0" w:line="178" w:lineRule="exact"/>
              <w:rPr>
                <w:sz w:val="20"/>
                <w:szCs w:val="20"/>
                <w:color w:val="auto"/>
              </w:rPr>
            </w:pPr>
            <w:r>
              <w:rPr>
                <w:rFonts w:ascii="Arial" w:cs="Arial" w:eastAsia="Arial" w:hAnsi="Arial"/>
                <w:sz w:val="13"/>
                <w:szCs w:val="13"/>
                <w:b w:val="1"/>
                <w:bCs w:val="1"/>
                <w:color w:val="auto"/>
              </w:rPr>
              <w:t>Total</w:t>
            </w:r>
            <w:r>
              <w:rPr>
                <w:rFonts w:ascii="Arial" w:cs="Arial" w:eastAsia="Arial" w:hAnsi="Arial"/>
                <w:sz w:val="20"/>
                <w:szCs w:val="20"/>
                <w:b w:val="1"/>
                <w:bCs w:val="1"/>
                <w:color w:val="auto"/>
                <w:vertAlign w:val="superscript"/>
              </w:rPr>
              <w:t>(7)</w:t>
            </w:r>
          </w:p>
        </w:tc>
        <w:tc>
          <w:tcPr>
            <w:tcW w:w="0" w:type="dxa"/>
            <w:vAlign w:val="bottom"/>
          </w:tcPr>
          <w:p>
            <w:pPr>
              <w:spacing w:after="0"/>
              <w:rPr>
                <w:sz w:val="1"/>
                <w:szCs w:val="1"/>
                <w:color w:val="auto"/>
              </w:rPr>
            </w:pPr>
          </w:p>
        </w:tc>
      </w:tr>
      <w:tr>
        <w:trPr>
          <w:trHeight w:val="183"/>
        </w:trPr>
        <w:tc>
          <w:tcPr>
            <w:tcW w:w="1980" w:type="dxa"/>
            <w:vAlign w:val="bottom"/>
            <w:tcBorders>
              <w:bottom w:val="single" w:sz="8" w:color="005C7D"/>
            </w:tcBorders>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700" w:type="dxa"/>
            <w:vAlign w:val="bottom"/>
            <w:tcBorders>
              <w:bottom w:val="single" w:sz="8" w:color="005C7D"/>
            </w:tcBorders>
            <w:gridSpan w:val="2"/>
          </w:tcPr>
          <w:p>
            <w:pPr>
              <w:jc w:val="right"/>
              <w:ind w:right="203"/>
              <w:spacing w:after="0"/>
              <w:rPr>
                <w:sz w:val="20"/>
                <w:szCs w:val="20"/>
                <w:color w:val="auto"/>
              </w:rPr>
            </w:pPr>
            <w:r>
              <w:rPr>
                <w:rFonts w:ascii="Arial" w:cs="Arial" w:eastAsia="Arial" w:hAnsi="Arial"/>
                <w:sz w:val="14"/>
                <w:szCs w:val="14"/>
                <w:b w:val="1"/>
                <w:bCs w:val="1"/>
                <w:color w:val="auto"/>
              </w:rPr>
              <w:t>Year</w:t>
            </w:r>
          </w:p>
        </w:tc>
        <w:tc>
          <w:tcPr>
            <w:tcW w:w="780" w:type="dxa"/>
            <w:vAlign w:val="bottom"/>
            <w:tcBorders>
              <w:bottom w:val="single" w:sz="8" w:color="005C7D"/>
            </w:tcBorders>
          </w:tcPr>
          <w:p>
            <w:pPr>
              <w:jc w:val="right"/>
              <w:ind w:right="324"/>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005C7D"/>
            </w:tcBorders>
          </w:tcPr>
          <w:p>
            <w:pPr>
              <w:jc w:val="center"/>
              <w:ind w:right="5"/>
              <w:spacing w:after="0"/>
              <w:rPr>
                <w:sz w:val="20"/>
                <w:szCs w:val="20"/>
                <w:color w:val="auto"/>
              </w:rPr>
            </w:pPr>
            <w:r>
              <w:rPr>
                <w:rFonts w:ascii="Arial" w:cs="Arial" w:eastAsia="Arial" w:hAnsi="Arial"/>
                <w:sz w:val="14"/>
                <w:szCs w:val="14"/>
                <w:b w:val="1"/>
                <w:bCs w:val="1"/>
                <w:color w:val="auto"/>
                <w:w w:val="93"/>
              </w:rPr>
              <w:t>($)</w:t>
            </w:r>
          </w:p>
        </w:tc>
        <w:tc>
          <w:tcPr>
            <w:tcW w:w="840" w:type="dxa"/>
            <w:vAlign w:val="bottom"/>
            <w:tcBorders>
              <w:bottom w:val="single" w:sz="8" w:color="005C7D"/>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0" w:type="dxa"/>
            <w:vAlign w:val="bottom"/>
            <w:tcBorders>
              <w:bottom w:val="single" w:sz="8" w:color="005C7D"/>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40" w:type="dxa"/>
            <w:vAlign w:val="bottom"/>
            <w:tcBorders>
              <w:bottom w:val="single" w:sz="8" w:color="005C7D"/>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40" w:type="dxa"/>
            <w:vAlign w:val="bottom"/>
            <w:tcBorders>
              <w:bottom w:val="single" w:sz="8" w:color="005C7D"/>
            </w:tcBorders>
          </w:tcPr>
          <w:p>
            <w:pPr>
              <w:jc w:val="center"/>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005C7D"/>
            </w:tcBorders>
          </w:tcPr>
          <w:p>
            <w:pPr>
              <w:jc w:val="right"/>
              <w:ind w:right="32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1980" w:type="dxa"/>
            <w:vAlign w:val="bottom"/>
            <w:shd w:val="clear" w:color="auto" w:fill="CDDAE6"/>
          </w:tcPr>
          <w:p>
            <w:pPr>
              <w:ind w:left="20"/>
              <w:spacing w:after="0" w:line="156" w:lineRule="exact"/>
              <w:rPr>
                <w:sz w:val="20"/>
                <w:szCs w:val="20"/>
                <w:color w:val="auto"/>
              </w:rPr>
            </w:pPr>
            <w:r>
              <w:rPr>
                <w:rFonts w:ascii="Arial" w:cs="Arial" w:eastAsia="Arial" w:hAnsi="Arial"/>
                <w:sz w:val="15"/>
                <w:szCs w:val="15"/>
                <w:color w:val="auto"/>
              </w:rPr>
              <w:t>Michael T. Strianese</w:t>
            </w:r>
          </w:p>
        </w:tc>
        <w:tc>
          <w:tcPr>
            <w:tcW w:w="180" w:type="dxa"/>
            <w:vAlign w:val="bottom"/>
            <w:shd w:val="clear" w:color="auto" w:fill="CDDAE6"/>
          </w:tcPr>
          <w:p>
            <w:pPr>
              <w:spacing w:after="0"/>
              <w:rPr>
                <w:sz w:val="13"/>
                <w:szCs w:val="13"/>
                <w:color w:val="auto"/>
              </w:rPr>
            </w:pPr>
          </w:p>
        </w:tc>
        <w:tc>
          <w:tcPr>
            <w:tcW w:w="520" w:type="dxa"/>
            <w:vAlign w:val="bottom"/>
            <w:shd w:val="clear" w:color="auto" w:fill="CDDAE6"/>
          </w:tcPr>
          <w:p>
            <w:pPr>
              <w:jc w:val="right"/>
              <w:ind w:right="143"/>
              <w:spacing w:after="0" w:line="156" w:lineRule="exact"/>
              <w:rPr>
                <w:sz w:val="20"/>
                <w:szCs w:val="20"/>
                <w:color w:val="auto"/>
              </w:rPr>
            </w:pPr>
            <w:r>
              <w:rPr>
                <w:rFonts w:ascii="Arial" w:cs="Arial" w:eastAsia="Arial" w:hAnsi="Arial"/>
                <w:sz w:val="15"/>
                <w:szCs w:val="15"/>
                <w:color w:val="auto"/>
                <w:w w:val="83"/>
              </w:rPr>
              <w:t>2016</w:t>
            </w:r>
          </w:p>
        </w:tc>
        <w:tc>
          <w:tcPr>
            <w:tcW w:w="780" w:type="dxa"/>
            <w:vAlign w:val="bottom"/>
            <w:shd w:val="clear" w:color="auto" w:fill="CDDAE6"/>
          </w:tcPr>
          <w:p>
            <w:pPr>
              <w:jc w:val="right"/>
              <w:ind w:right="44"/>
              <w:spacing w:after="0" w:line="156" w:lineRule="exact"/>
              <w:rPr>
                <w:sz w:val="20"/>
                <w:szCs w:val="20"/>
                <w:color w:val="auto"/>
              </w:rPr>
            </w:pPr>
            <w:r>
              <w:rPr>
                <w:rFonts w:ascii="Arial" w:cs="Arial" w:eastAsia="Arial" w:hAnsi="Arial"/>
                <w:sz w:val="15"/>
                <w:szCs w:val="15"/>
                <w:color w:val="auto"/>
                <w:w w:val="95"/>
              </w:rPr>
              <w:t>1,390,000</w:t>
            </w:r>
          </w:p>
        </w:tc>
        <w:tc>
          <w:tcPr>
            <w:tcW w:w="880" w:type="dxa"/>
            <w:vAlign w:val="bottom"/>
            <w:shd w:val="clear" w:color="auto" w:fill="CDDAE6"/>
          </w:tcPr>
          <w:p>
            <w:pPr>
              <w:jc w:val="right"/>
              <w:ind w:right="45"/>
              <w:spacing w:after="0" w:line="156" w:lineRule="exact"/>
              <w:rPr>
                <w:sz w:val="20"/>
                <w:szCs w:val="20"/>
                <w:color w:val="auto"/>
              </w:rPr>
            </w:pPr>
            <w:r>
              <w:rPr>
                <w:rFonts w:ascii="Arial" w:cs="Arial" w:eastAsia="Arial" w:hAnsi="Arial"/>
                <w:sz w:val="15"/>
                <w:szCs w:val="15"/>
                <w:color w:val="auto"/>
              </w:rPr>
              <w:t>5,000,086</w:t>
            </w:r>
          </w:p>
        </w:tc>
        <w:tc>
          <w:tcPr>
            <w:tcW w:w="840" w:type="dxa"/>
            <w:vAlign w:val="bottom"/>
            <w:shd w:val="clear" w:color="auto" w:fill="CDDAE6"/>
          </w:tcPr>
          <w:p>
            <w:pPr>
              <w:jc w:val="right"/>
              <w:ind w:right="5"/>
              <w:spacing w:after="0" w:line="156" w:lineRule="exact"/>
              <w:rPr>
                <w:sz w:val="20"/>
                <w:szCs w:val="20"/>
                <w:color w:val="auto"/>
              </w:rPr>
            </w:pPr>
            <w:r>
              <w:rPr>
                <w:rFonts w:ascii="Arial" w:cs="Arial" w:eastAsia="Arial" w:hAnsi="Arial"/>
                <w:sz w:val="15"/>
                <w:szCs w:val="15"/>
                <w:color w:val="auto"/>
              </w:rPr>
              <w:t>2,999,997</w:t>
            </w:r>
          </w:p>
        </w:tc>
        <w:tc>
          <w:tcPr>
            <w:tcW w:w="1200" w:type="dxa"/>
            <w:vAlign w:val="bottom"/>
            <w:shd w:val="clear" w:color="auto" w:fill="CDDAE6"/>
          </w:tcPr>
          <w:p>
            <w:pPr>
              <w:jc w:val="right"/>
              <w:ind w:right="25"/>
              <w:spacing w:after="0" w:line="156" w:lineRule="exact"/>
              <w:rPr>
                <w:sz w:val="20"/>
                <w:szCs w:val="20"/>
                <w:color w:val="auto"/>
              </w:rPr>
            </w:pPr>
            <w:r>
              <w:rPr>
                <w:rFonts w:ascii="Arial" w:cs="Arial" w:eastAsia="Arial" w:hAnsi="Arial"/>
                <w:sz w:val="15"/>
                <w:szCs w:val="15"/>
                <w:color w:val="auto"/>
              </w:rPr>
              <w:t>3,532,000</w:t>
            </w:r>
          </w:p>
        </w:tc>
        <w:tc>
          <w:tcPr>
            <w:tcW w:w="1040" w:type="dxa"/>
            <w:vAlign w:val="bottom"/>
            <w:shd w:val="clear" w:color="auto" w:fill="CDDAE6"/>
          </w:tcPr>
          <w:p>
            <w:pPr>
              <w:jc w:val="right"/>
              <w:ind w:right="26"/>
              <w:spacing w:after="0" w:line="156" w:lineRule="exact"/>
              <w:rPr>
                <w:sz w:val="20"/>
                <w:szCs w:val="20"/>
                <w:color w:val="auto"/>
              </w:rPr>
            </w:pPr>
            <w:r>
              <w:rPr>
                <w:rFonts w:ascii="Arial" w:cs="Arial" w:eastAsia="Arial" w:hAnsi="Arial"/>
                <w:sz w:val="15"/>
                <w:szCs w:val="15"/>
                <w:color w:val="auto"/>
              </w:rPr>
              <w:t>2,214,427</w:t>
            </w:r>
          </w:p>
        </w:tc>
        <w:tc>
          <w:tcPr>
            <w:tcW w:w="1240" w:type="dxa"/>
            <w:vAlign w:val="bottom"/>
            <w:shd w:val="clear" w:color="auto" w:fill="CDDAE6"/>
          </w:tcPr>
          <w:p>
            <w:pPr>
              <w:jc w:val="right"/>
              <w:ind w:right="65"/>
              <w:spacing w:after="0" w:line="156" w:lineRule="exact"/>
              <w:rPr>
                <w:sz w:val="20"/>
                <w:szCs w:val="20"/>
                <w:color w:val="auto"/>
              </w:rPr>
            </w:pPr>
            <w:r>
              <w:rPr>
                <w:rFonts w:ascii="Arial" w:cs="Arial" w:eastAsia="Arial" w:hAnsi="Arial"/>
                <w:sz w:val="15"/>
                <w:szCs w:val="15"/>
                <w:color w:val="auto"/>
              </w:rPr>
              <w:t>113,250</w:t>
            </w:r>
          </w:p>
        </w:tc>
        <w:tc>
          <w:tcPr>
            <w:tcW w:w="900" w:type="dxa"/>
            <w:vAlign w:val="bottom"/>
            <w:shd w:val="clear" w:color="auto" w:fill="CDDAE6"/>
          </w:tcPr>
          <w:p>
            <w:pPr>
              <w:jc w:val="right"/>
              <w:ind w:right="5"/>
              <w:spacing w:after="0" w:line="156" w:lineRule="exact"/>
              <w:rPr>
                <w:sz w:val="20"/>
                <w:szCs w:val="20"/>
                <w:color w:val="auto"/>
              </w:rPr>
            </w:pPr>
            <w:r>
              <w:rPr>
                <w:rFonts w:ascii="Arial" w:cs="Arial" w:eastAsia="Arial" w:hAnsi="Arial"/>
                <w:sz w:val="15"/>
                <w:szCs w:val="15"/>
                <w:color w:val="auto"/>
              </w:rPr>
              <w:t>15,249,760</w:t>
            </w:r>
          </w:p>
        </w:tc>
        <w:tc>
          <w:tcPr>
            <w:tcW w:w="0" w:type="dxa"/>
            <w:vAlign w:val="bottom"/>
          </w:tcPr>
          <w:p>
            <w:pPr>
              <w:spacing w:after="0"/>
              <w:rPr>
                <w:sz w:val="1"/>
                <w:szCs w:val="1"/>
                <w:color w:val="auto"/>
              </w:rPr>
            </w:pPr>
          </w:p>
        </w:tc>
      </w:tr>
      <w:tr>
        <w:trPr>
          <w:trHeight w:val="162"/>
        </w:trPr>
        <w:tc>
          <w:tcPr>
            <w:tcW w:w="1980" w:type="dxa"/>
            <w:vAlign w:val="bottom"/>
            <w:shd w:val="clear" w:color="auto" w:fill="CDDAE6"/>
          </w:tcPr>
          <w:p>
            <w:pPr>
              <w:ind w:left="300"/>
              <w:spacing w:after="0" w:line="162" w:lineRule="exact"/>
              <w:rPr>
                <w:sz w:val="20"/>
                <w:szCs w:val="20"/>
                <w:color w:val="auto"/>
              </w:rPr>
            </w:pPr>
            <w:r>
              <w:rPr>
                <w:rFonts w:ascii="Arial" w:cs="Arial" w:eastAsia="Arial" w:hAnsi="Arial"/>
                <w:sz w:val="15"/>
                <w:szCs w:val="15"/>
                <w:color w:val="auto"/>
              </w:rPr>
              <w:t>(Chairman and Chief</w:t>
            </w:r>
          </w:p>
        </w:tc>
        <w:tc>
          <w:tcPr>
            <w:tcW w:w="180" w:type="dxa"/>
            <w:vAlign w:val="bottom"/>
            <w:shd w:val="clear" w:color="auto" w:fill="CDDAE6"/>
          </w:tcPr>
          <w:p>
            <w:pPr>
              <w:spacing w:after="0"/>
              <w:rPr>
                <w:sz w:val="14"/>
                <w:szCs w:val="14"/>
                <w:color w:val="auto"/>
              </w:rPr>
            </w:pPr>
          </w:p>
        </w:tc>
        <w:tc>
          <w:tcPr>
            <w:tcW w:w="520" w:type="dxa"/>
            <w:vAlign w:val="bottom"/>
            <w:vMerge w:val="restart"/>
            <w:shd w:val="clear" w:color="auto" w:fill="CDDAE6"/>
          </w:tcPr>
          <w:p>
            <w:pPr>
              <w:jc w:val="right"/>
              <w:ind w:right="143"/>
              <w:spacing w:after="0"/>
              <w:rPr>
                <w:sz w:val="20"/>
                <w:szCs w:val="20"/>
                <w:color w:val="auto"/>
              </w:rPr>
            </w:pPr>
            <w:r>
              <w:rPr>
                <w:rFonts w:ascii="Arial" w:cs="Arial" w:eastAsia="Arial" w:hAnsi="Arial"/>
                <w:sz w:val="15"/>
                <w:szCs w:val="15"/>
                <w:color w:val="auto"/>
                <w:w w:val="83"/>
              </w:rPr>
              <w:t>2015</w:t>
            </w:r>
          </w:p>
        </w:tc>
        <w:tc>
          <w:tcPr>
            <w:tcW w:w="780" w:type="dxa"/>
            <w:vAlign w:val="bottom"/>
            <w:vMerge w:val="restart"/>
            <w:shd w:val="clear" w:color="auto" w:fill="CDDAE6"/>
          </w:tcPr>
          <w:p>
            <w:pPr>
              <w:jc w:val="right"/>
              <w:ind w:right="44"/>
              <w:spacing w:after="0"/>
              <w:rPr>
                <w:sz w:val="20"/>
                <w:szCs w:val="20"/>
                <w:color w:val="auto"/>
              </w:rPr>
            </w:pPr>
            <w:r>
              <w:rPr>
                <w:rFonts w:ascii="Arial" w:cs="Arial" w:eastAsia="Arial" w:hAnsi="Arial"/>
                <w:sz w:val="15"/>
                <w:szCs w:val="15"/>
                <w:color w:val="auto"/>
                <w:w w:val="95"/>
              </w:rPr>
              <w:t>1,378,923</w:t>
            </w:r>
          </w:p>
        </w:tc>
        <w:tc>
          <w:tcPr>
            <w:tcW w:w="880" w:type="dxa"/>
            <w:vAlign w:val="bottom"/>
            <w:vMerge w:val="restart"/>
            <w:shd w:val="clear" w:color="auto" w:fill="CDDAE6"/>
          </w:tcPr>
          <w:p>
            <w:pPr>
              <w:jc w:val="right"/>
              <w:ind w:right="45"/>
              <w:spacing w:after="0"/>
              <w:rPr>
                <w:sz w:val="20"/>
                <w:szCs w:val="20"/>
                <w:color w:val="auto"/>
              </w:rPr>
            </w:pPr>
            <w:r>
              <w:rPr>
                <w:rFonts w:ascii="Arial" w:cs="Arial" w:eastAsia="Arial" w:hAnsi="Arial"/>
                <w:sz w:val="15"/>
                <w:szCs w:val="15"/>
                <w:color w:val="auto"/>
              </w:rPr>
              <w:t>5,000,030</w:t>
            </w:r>
          </w:p>
        </w:tc>
        <w:tc>
          <w:tcPr>
            <w:tcW w:w="840" w:type="dxa"/>
            <w:vAlign w:val="bottom"/>
            <w:vMerge w:val="restart"/>
            <w:shd w:val="clear" w:color="auto" w:fill="CDDAE6"/>
          </w:tcPr>
          <w:p>
            <w:pPr>
              <w:jc w:val="right"/>
              <w:ind w:right="5"/>
              <w:spacing w:after="0"/>
              <w:rPr>
                <w:sz w:val="20"/>
                <w:szCs w:val="20"/>
                <w:color w:val="auto"/>
              </w:rPr>
            </w:pPr>
            <w:r>
              <w:rPr>
                <w:rFonts w:ascii="Arial" w:cs="Arial" w:eastAsia="Arial" w:hAnsi="Arial"/>
                <w:sz w:val="15"/>
                <w:szCs w:val="15"/>
                <w:color w:val="auto"/>
              </w:rPr>
              <w:t>3,000,004</w:t>
            </w:r>
          </w:p>
        </w:tc>
        <w:tc>
          <w:tcPr>
            <w:tcW w:w="1200" w:type="dxa"/>
            <w:vAlign w:val="bottom"/>
            <w:vMerge w:val="restart"/>
            <w:shd w:val="clear" w:color="auto" w:fill="CDDAE6"/>
          </w:tcPr>
          <w:p>
            <w:pPr>
              <w:jc w:val="right"/>
              <w:ind w:right="25"/>
              <w:spacing w:after="0"/>
              <w:rPr>
                <w:sz w:val="20"/>
                <w:szCs w:val="20"/>
                <w:color w:val="auto"/>
              </w:rPr>
            </w:pPr>
            <w:r>
              <w:rPr>
                <w:rFonts w:ascii="Arial" w:cs="Arial" w:eastAsia="Arial" w:hAnsi="Arial"/>
                <w:sz w:val="15"/>
                <w:szCs w:val="15"/>
                <w:color w:val="auto"/>
              </w:rPr>
              <w:t>951,800</w:t>
            </w:r>
          </w:p>
        </w:tc>
        <w:tc>
          <w:tcPr>
            <w:tcW w:w="1040" w:type="dxa"/>
            <w:vAlign w:val="bottom"/>
            <w:vMerge w:val="restart"/>
            <w:shd w:val="clear" w:color="auto" w:fill="CDDAE6"/>
          </w:tcPr>
          <w:p>
            <w:pPr>
              <w:jc w:val="right"/>
              <w:ind w:right="26"/>
              <w:spacing w:after="0"/>
              <w:rPr>
                <w:sz w:val="20"/>
                <w:szCs w:val="20"/>
                <w:color w:val="auto"/>
              </w:rPr>
            </w:pPr>
            <w:r>
              <w:rPr>
                <w:rFonts w:ascii="Arial" w:cs="Arial" w:eastAsia="Arial" w:hAnsi="Arial"/>
                <w:sz w:val="15"/>
                <w:szCs w:val="15"/>
                <w:color w:val="auto"/>
              </w:rPr>
              <w:t>180,986</w:t>
            </w:r>
          </w:p>
        </w:tc>
        <w:tc>
          <w:tcPr>
            <w:tcW w:w="1240" w:type="dxa"/>
            <w:vAlign w:val="bottom"/>
            <w:vMerge w:val="restart"/>
            <w:shd w:val="clear" w:color="auto" w:fill="CDDAE6"/>
          </w:tcPr>
          <w:p>
            <w:pPr>
              <w:jc w:val="right"/>
              <w:ind w:right="65"/>
              <w:spacing w:after="0"/>
              <w:rPr>
                <w:sz w:val="20"/>
                <w:szCs w:val="20"/>
                <w:color w:val="auto"/>
              </w:rPr>
            </w:pPr>
            <w:r>
              <w:rPr>
                <w:rFonts w:ascii="Arial" w:cs="Arial" w:eastAsia="Arial" w:hAnsi="Arial"/>
                <w:sz w:val="15"/>
                <w:szCs w:val="15"/>
                <w:color w:val="auto"/>
              </w:rPr>
              <w:t>102,304</w:t>
            </w:r>
          </w:p>
        </w:tc>
        <w:tc>
          <w:tcPr>
            <w:tcW w:w="900" w:type="dxa"/>
            <w:vAlign w:val="bottom"/>
            <w:vMerge w:val="restart"/>
            <w:shd w:val="clear" w:color="auto" w:fill="CDDAE6"/>
          </w:tcPr>
          <w:p>
            <w:pPr>
              <w:jc w:val="right"/>
              <w:ind w:right="5"/>
              <w:spacing w:after="0"/>
              <w:rPr>
                <w:sz w:val="20"/>
                <w:szCs w:val="20"/>
                <w:color w:val="auto"/>
              </w:rPr>
            </w:pPr>
            <w:r>
              <w:rPr>
                <w:rFonts w:ascii="Arial" w:cs="Arial" w:eastAsia="Arial" w:hAnsi="Arial"/>
                <w:sz w:val="15"/>
                <w:szCs w:val="15"/>
                <w:color w:val="auto"/>
              </w:rPr>
              <w:t>10,614,047</w:t>
            </w:r>
          </w:p>
        </w:tc>
        <w:tc>
          <w:tcPr>
            <w:tcW w:w="0" w:type="dxa"/>
            <w:vAlign w:val="bottom"/>
          </w:tcPr>
          <w:p>
            <w:pPr>
              <w:spacing w:after="0"/>
              <w:rPr>
                <w:sz w:val="1"/>
                <w:szCs w:val="1"/>
                <w:color w:val="auto"/>
              </w:rPr>
            </w:pPr>
          </w:p>
        </w:tc>
      </w:tr>
      <w:tr>
        <w:trPr>
          <w:trHeight w:val="86"/>
        </w:trPr>
        <w:tc>
          <w:tcPr>
            <w:tcW w:w="1980" w:type="dxa"/>
            <w:vAlign w:val="bottom"/>
            <w:vMerge w:val="restart"/>
            <w:shd w:val="clear" w:color="auto" w:fill="CDDAE6"/>
          </w:tcPr>
          <w:p>
            <w:pPr>
              <w:ind w:left="300"/>
              <w:spacing w:after="0" w:line="162" w:lineRule="exact"/>
              <w:rPr>
                <w:sz w:val="20"/>
                <w:szCs w:val="20"/>
                <w:color w:val="auto"/>
              </w:rPr>
            </w:pPr>
            <w:r>
              <w:rPr>
                <w:rFonts w:ascii="Arial" w:cs="Arial" w:eastAsia="Arial" w:hAnsi="Arial"/>
                <w:sz w:val="15"/>
                <w:szCs w:val="15"/>
                <w:color w:val="auto"/>
              </w:rPr>
              <w:t>Executive</w:t>
            </w:r>
          </w:p>
        </w:tc>
        <w:tc>
          <w:tcPr>
            <w:tcW w:w="180" w:type="dxa"/>
            <w:vAlign w:val="bottom"/>
            <w:shd w:val="clear" w:color="auto" w:fill="CDDAE6"/>
          </w:tcPr>
          <w:p>
            <w:pPr>
              <w:spacing w:after="0"/>
              <w:rPr>
                <w:sz w:val="7"/>
                <w:szCs w:val="7"/>
                <w:color w:val="auto"/>
              </w:rPr>
            </w:pPr>
          </w:p>
        </w:tc>
        <w:tc>
          <w:tcPr>
            <w:tcW w:w="520" w:type="dxa"/>
            <w:vAlign w:val="bottom"/>
            <w:vMerge w:val="continue"/>
            <w:shd w:val="clear" w:color="auto" w:fill="CDDAE6"/>
          </w:tcPr>
          <w:p>
            <w:pPr>
              <w:spacing w:after="0"/>
              <w:rPr>
                <w:sz w:val="7"/>
                <w:szCs w:val="7"/>
                <w:color w:val="auto"/>
              </w:rPr>
            </w:pPr>
          </w:p>
        </w:tc>
        <w:tc>
          <w:tcPr>
            <w:tcW w:w="780" w:type="dxa"/>
            <w:vAlign w:val="bottom"/>
            <w:vMerge w:val="continue"/>
            <w:shd w:val="clear" w:color="auto" w:fill="CDDAE6"/>
          </w:tcPr>
          <w:p>
            <w:pPr>
              <w:spacing w:after="0"/>
              <w:rPr>
                <w:sz w:val="7"/>
                <w:szCs w:val="7"/>
                <w:color w:val="auto"/>
              </w:rPr>
            </w:pPr>
          </w:p>
        </w:tc>
        <w:tc>
          <w:tcPr>
            <w:tcW w:w="880" w:type="dxa"/>
            <w:vAlign w:val="bottom"/>
            <w:vMerge w:val="continue"/>
            <w:shd w:val="clear" w:color="auto" w:fill="CDDAE6"/>
          </w:tcPr>
          <w:p>
            <w:pPr>
              <w:spacing w:after="0"/>
              <w:rPr>
                <w:sz w:val="7"/>
                <w:szCs w:val="7"/>
                <w:color w:val="auto"/>
              </w:rPr>
            </w:pPr>
          </w:p>
        </w:tc>
        <w:tc>
          <w:tcPr>
            <w:tcW w:w="840" w:type="dxa"/>
            <w:vAlign w:val="bottom"/>
            <w:vMerge w:val="continue"/>
            <w:shd w:val="clear" w:color="auto" w:fill="CDDAE6"/>
          </w:tcPr>
          <w:p>
            <w:pPr>
              <w:spacing w:after="0"/>
              <w:rPr>
                <w:sz w:val="7"/>
                <w:szCs w:val="7"/>
                <w:color w:val="auto"/>
              </w:rPr>
            </w:pPr>
          </w:p>
        </w:tc>
        <w:tc>
          <w:tcPr>
            <w:tcW w:w="1200" w:type="dxa"/>
            <w:vAlign w:val="bottom"/>
            <w:vMerge w:val="continue"/>
            <w:shd w:val="clear" w:color="auto" w:fill="CDDAE6"/>
          </w:tcPr>
          <w:p>
            <w:pPr>
              <w:spacing w:after="0"/>
              <w:rPr>
                <w:sz w:val="7"/>
                <w:szCs w:val="7"/>
                <w:color w:val="auto"/>
              </w:rPr>
            </w:pPr>
          </w:p>
        </w:tc>
        <w:tc>
          <w:tcPr>
            <w:tcW w:w="1040" w:type="dxa"/>
            <w:vAlign w:val="bottom"/>
            <w:vMerge w:val="continue"/>
            <w:shd w:val="clear" w:color="auto" w:fill="CDDAE6"/>
          </w:tcPr>
          <w:p>
            <w:pPr>
              <w:spacing w:after="0"/>
              <w:rPr>
                <w:sz w:val="7"/>
                <w:szCs w:val="7"/>
                <w:color w:val="auto"/>
              </w:rPr>
            </w:pPr>
          </w:p>
        </w:tc>
        <w:tc>
          <w:tcPr>
            <w:tcW w:w="1240" w:type="dxa"/>
            <w:vAlign w:val="bottom"/>
            <w:vMerge w:val="continue"/>
            <w:shd w:val="clear" w:color="auto" w:fill="CDDAE6"/>
          </w:tcPr>
          <w:p>
            <w:pPr>
              <w:spacing w:after="0"/>
              <w:rPr>
                <w:sz w:val="7"/>
                <w:szCs w:val="7"/>
                <w:color w:val="auto"/>
              </w:rPr>
            </w:pPr>
          </w:p>
        </w:tc>
        <w:tc>
          <w:tcPr>
            <w:tcW w:w="900" w:type="dxa"/>
            <w:vAlign w:val="bottom"/>
            <w:vMerge w:val="continue"/>
            <w:shd w:val="clear" w:color="auto" w:fill="CDDAE6"/>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980" w:type="dxa"/>
            <w:vAlign w:val="bottom"/>
            <w:vMerge w:val="continue"/>
            <w:shd w:val="clear" w:color="auto" w:fill="CDDAE6"/>
          </w:tcPr>
          <w:p>
            <w:pPr>
              <w:spacing w:after="0"/>
              <w:rPr>
                <w:sz w:val="6"/>
                <w:szCs w:val="6"/>
                <w:color w:val="auto"/>
              </w:rPr>
            </w:pPr>
          </w:p>
        </w:tc>
        <w:tc>
          <w:tcPr>
            <w:tcW w:w="180" w:type="dxa"/>
            <w:vAlign w:val="bottom"/>
            <w:shd w:val="clear" w:color="auto" w:fill="CDDAE6"/>
          </w:tcPr>
          <w:p>
            <w:pPr>
              <w:spacing w:after="0"/>
              <w:rPr>
                <w:sz w:val="6"/>
                <w:szCs w:val="6"/>
                <w:color w:val="auto"/>
              </w:rPr>
            </w:pPr>
          </w:p>
        </w:tc>
        <w:tc>
          <w:tcPr>
            <w:tcW w:w="520" w:type="dxa"/>
            <w:vAlign w:val="bottom"/>
            <w:vMerge w:val="restart"/>
            <w:shd w:val="clear" w:color="auto" w:fill="CDDAE6"/>
          </w:tcPr>
          <w:p>
            <w:pPr>
              <w:jc w:val="right"/>
              <w:ind w:right="143"/>
              <w:spacing w:after="0"/>
              <w:rPr>
                <w:sz w:val="20"/>
                <w:szCs w:val="20"/>
                <w:color w:val="auto"/>
              </w:rPr>
            </w:pPr>
            <w:r>
              <w:rPr>
                <w:rFonts w:ascii="Arial" w:cs="Arial" w:eastAsia="Arial" w:hAnsi="Arial"/>
                <w:sz w:val="15"/>
                <w:szCs w:val="15"/>
                <w:color w:val="auto"/>
                <w:w w:val="83"/>
              </w:rPr>
              <w:t>2014</w:t>
            </w:r>
          </w:p>
        </w:tc>
        <w:tc>
          <w:tcPr>
            <w:tcW w:w="780" w:type="dxa"/>
            <w:vAlign w:val="bottom"/>
            <w:vMerge w:val="restart"/>
            <w:shd w:val="clear" w:color="auto" w:fill="CDDAE6"/>
          </w:tcPr>
          <w:p>
            <w:pPr>
              <w:jc w:val="right"/>
              <w:ind w:right="44"/>
              <w:spacing w:after="0"/>
              <w:rPr>
                <w:sz w:val="20"/>
                <w:szCs w:val="20"/>
                <w:color w:val="auto"/>
              </w:rPr>
            </w:pPr>
            <w:r>
              <w:rPr>
                <w:rFonts w:ascii="Arial" w:cs="Arial" w:eastAsia="Arial" w:hAnsi="Arial"/>
                <w:sz w:val="15"/>
                <w:szCs w:val="15"/>
                <w:color w:val="auto"/>
                <w:w w:val="95"/>
              </w:rPr>
              <w:t>1,350,000</w:t>
            </w:r>
          </w:p>
        </w:tc>
        <w:tc>
          <w:tcPr>
            <w:tcW w:w="880" w:type="dxa"/>
            <w:vAlign w:val="bottom"/>
            <w:vMerge w:val="restart"/>
            <w:shd w:val="clear" w:color="auto" w:fill="CDDAE6"/>
          </w:tcPr>
          <w:p>
            <w:pPr>
              <w:jc w:val="right"/>
              <w:ind w:right="45"/>
              <w:spacing w:after="0"/>
              <w:rPr>
                <w:sz w:val="20"/>
                <w:szCs w:val="20"/>
                <w:color w:val="auto"/>
              </w:rPr>
            </w:pPr>
            <w:r>
              <w:rPr>
                <w:rFonts w:ascii="Arial" w:cs="Arial" w:eastAsia="Arial" w:hAnsi="Arial"/>
                <w:sz w:val="15"/>
                <w:szCs w:val="15"/>
                <w:color w:val="auto"/>
              </w:rPr>
              <w:t>5,000,003</w:t>
            </w:r>
          </w:p>
        </w:tc>
        <w:tc>
          <w:tcPr>
            <w:tcW w:w="840" w:type="dxa"/>
            <w:vAlign w:val="bottom"/>
            <w:vMerge w:val="restart"/>
            <w:shd w:val="clear" w:color="auto" w:fill="CDDAE6"/>
          </w:tcPr>
          <w:p>
            <w:pPr>
              <w:jc w:val="right"/>
              <w:ind w:right="5"/>
              <w:spacing w:after="0"/>
              <w:rPr>
                <w:sz w:val="20"/>
                <w:szCs w:val="20"/>
                <w:color w:val="auto"/>
              </w:rPr>
            </w:pPr>
            <w:r>
              <w:rPr>
                <w:rFonts w:ascii="Arial" w:cs="Arial" w:eastAsia="Arial" w:hAnsi="Arial"/>
                <w:sz w:val="15"/>
                <w:szCs w:val="15"/>
                <w:color w:val="auto"/>
              </w:rPr>
              <w:t>3,000,002</w:t>
            </w:r>
          </w:p>
        </w:tc>
        <w:tc>
          <w:tcPr>
            <w:tcW w:w="1200" w:type="dxa"/>
            <w:vAlign w:val="bottom"/>
            <w:vMerge w:val="restart"/>
            <w:shd w:val="clear" w:color="auto" w:fill="CDDAE6"/>
          </w:tcPr>
          <w:p>
            <w:pPr>
              <w:jc w:val="right"/>
              <w:ind w:right="25"/>
              <w:spacing w:after="0"/>
              <w:rPr>
                <w:sz w:val="20"/>
                <w:szCs w:val="20"/>
                <w:color w:val="auto"/>
              </w:rPr>
            </w:pPr>
            <w:r>
              <w:rPr>
                <w:rFonts w:ascii="Arial" w:cs="Arial" w:eastAsia="Arial" w:hAnsi="Arial"/>
                <w:sz w:val="15"/>
                <w:szCs w:val="15"/>
                <w:color w:val="auto"/>
              </w:rPr>
              <w:t>731,600</w:t>
            </w:r>
          </w:p>
        </w:tc>
        <w:tc>
          <w:tcPr>
            <w:tcW w:w="1040" w:type="dxa"/>
            <w:vAlign w:val="bottom"/>
            <w:vMerge w:val="restart"/>
            <w:shd w:val="clear" w:color="auto" w:fill="CDDAE6"/>
          </w:tcPr>
          <w:p>
            <w:pPr>
              <w:jc w:val="right"/>
              <w:ind w:right="26"/>
              <w:spacing w:after="0"/>
              <w:rPr>
                <w:sz w:val="20"/>
                <w:szCs w:val="20"/>
                <w:color w:val="auto"/>
              </w:rPr>
            </w:pPr>
            <w:r>
              <w:rPr>
                <w:rFonts w:ascii="Arial" w:cs="Arial" w:eastAsia="Arial" w:hAnsi="Arial"/>
                <w:sz w:val="15"/>
                <w:szCs w:val="15"/>
                <w:color w:val="auto"/>
              </w:rPr>
              <w:t>4,583,292</w:t>
            </w:r>
          </w:p>
        </w:tc>
        <w:tc>
          <w:tcPr>
            <w:tcW w:w="1240" w:type="dxa"/>
            <w:vAlign w:val="bottom"/>
            <w:vMerge w:val="restart"/>
            <w:shd w:val="clear" w:color="auto" w:fill="CDDAE6"/>
          </w:tcPr>
          <w:p>
            <w:pPr>
              <w:jc w:val="right"/>
              <w:ind w:right="65"/>
              <w:spacing w:after="0"/>
              <w:rPr>
                <w:sz w:val="20"/>
                <w:szCs w:val="20"/>
                <w:color w:val="auto"/>
              </w:rPr>
            </w:pPr>
            <w:r>
              <w:rPr>
                <w:rFonts w:ascii="Arial" w:cs="Arial" w:eastAsia="Arial" w:hAnsi="Arial"/>
                <w:sz w:val="15"/>
                <w:szCs w:val="15"/>
                <w:color w:val="auto"/>
              </w:rPr>
              <w:t>100,496</w:t>
            </w:r>
          </w:p>
        </w:tc>
        <w:tc>
          <w:tcPr>
            <w:tcW w:w="900" w:type="dxa"/>
            <w:vAlign w:val="bottom"/>
            <w:vMerge w:val="restart"/>
            <w:shd w:val="clear" w:color="auto" w:fill="CDDAE6"/>
          </w:tcPr>
          <w:p>
            <w:pPr>
              <w:jc w:val="right"/>
              <w:ind w:right="5"/>
              <w:spacing w:after="0"/>
              <w:rPr>
                <w:sz w:val="20"/>
                <w:szCs w:val="20"/>
                <w:color w:val="auto"/>
              </w:rPr>
            </w:pPr>
            <w:r>
              <w:rPr>
                <w:rFonts w:ascii="Arial" w:cs="Arial" w:eastAsia="Arial" w:hAnsi="Arial"/>
                <w:sz w:val="15"/>
                <w:szCs w:val="15"/>
                <w:color w:val="auto"/>
              </w:rPr>
              <w:t>14,765,393</w:t>
            </w:r>
          </w:p>
        </w:tc>
        <w:tc>
          <w:tcPr>
            <w:tcW w:w="0" w:type="dxa"/>
            <w:vAlign w:val="bottom"/>
          </w:tcPr>
          <w:p>
            <w:pPr>
              <w:spacing w:after="0"/>
              <w:rPr>
                <w:sz w:val="1"/>
                <w:szCs w:val="1"/>
                <w:color w:val="auto"/>
              </w:rPr>
            </w:pPr>
          </w:p>
        </w:tc>
      </w:tr>
      <w:tr>
        <w:trPr>
          <w:trHeight w:val="189"/>
        </w:trPr>
        <w:tc>
          <w:tcPr>
            <w:tcW w:w="1980" w:type="dxa"/>
            <w:vAlign w:val="bottom"/>
            <w:shd w:val="clear" w:color="auto" w:fill="CDDAE6"/>
          </w:tcPr>
          <w:p>
            <w:pPr>
              <w:ind w:left="300"/>
              <w:spacing w:after="0"/>
              <w:rPr>
                <w:sz w:val="20"/>
                <w:szCs w:val="20"/>
                <w:color w:val="auto"/>
              </w:rPr>
            </w:pPr>
            <w:r>
              <w:rPr>
                <w:rFonts w:ascii="Arial" w:cs="Arial" w:eastAsia="Arial" w:hAnsi="Arial"/>
                <w:sz w:val="15"/>
                <w:szCs w:val="15"/>
                <w:color w:val="auto"/>
              </w:rPr>
              <w:t>Officer)</w:t>
            </w:r>
          </w:p>
        </w:tc>
        <w:tc>
          <w:tcPr>
            <w:tcW w:w="180" w:type="dxa"/>
            <w:vAlign w:val="bottom"/>
            <w:shd w:val="clear" w:color="auto" w:fill="CDDAE6"/>
          </w:tcPr>
          <w:p>
            <w:pPr>
              <w:spacing w:after="0"/>
              <w:rPr>
                <w:sz w:val="16"/>
                <w:szCs w:val="16"/>
                <w:color w:val="auto"/>
              </w:rPr>
            </w:pPr>
          </w:p>
        </w:tc>
        <w:tc>
          <w:tcPr>
            <w:tcW w:w="520" w:type="dxa"/>
            <w:vAlign w:val="bottom"/>
            <w:vMerge w:val="continue"/>
            <w:shd w:val="clear" w:color="auto" w:fill="CDDAE6"/>
          </w:tcPr>
          <w:p>
            <w:pPr>
              <w:spacing w:after="0"/>
              <w:rPr>
                <w:sz w:val="16"/>
                <w:szCs w:val="16"/>
                <w:color w:val="auto"/>
              </w:rPr>
            </w:pPr>
          </w:p>
        </w:tc>
        <w:tc>
          <w:tcPr>
            <w:tcW w:w="780" w:type="dxa"/>
            <w:vAlign w:val="bottom"/>
            <w:vMerge w:val="continue"/>
            <w:shd w:val="clear" w:color="auto" w:fill="CDDAE6"/>
          </w:tcPr>
          <w:p>
            <w:pPr>
              <w:spacing w:after="0"/>
              <w:rPr>
                <w:sz w:val="16"/>
                <w:szCs w:val="16"/>
                <w:color w:val="auto"/>
              </w:rPr>
            </w:pPr>
          </w:p>
        </w:tc>
        <w:tc>
          <w:tcPr>
            <w:tcW w:w="880" w:type="dxa"/>
            <w:vAlign w:val="bottom"/>
            <w:vMerge w:val="continue"/>
            <w:shd w:val="clear" w:color="auto" w:fill="CDDAE6"/>
          </w:tcPr>
          <w:p>
            <w:pPr>
              <w:spacing w:after="0"/>
              <w:rPr>
                <w:sz w:val="16"/>
                <w:szCs w:val="16"/>
                <w:color w:val="auto"/>
              </w:rPr>
            </w:pPr>
          </w:p>
        </w:tc>
        <w:tc>
          <w:tcPr>
            <w:tcW w:w="840" w:type="dxa"/>
            <w:vAlign w:val="bottom"/>
            <w:vMerge w:val="continue"/>
            <w:shd w:val="clear" w:color="auto" w:fill="CDDAE6"/>
          </w:tcPr>
          <w:p>
            <w:pPr>
              <w:spacing w:after="0"/>
              <w:rPr>
                <w:sz w:val="16"/>
                <w:szCs w:val="16"/>
                <w:color w:val="auto"/>
              </w:rPr>
            </w:pPr>
          </w:p>
        </w:tc>
        <w:tc>
          <w:tcPr>
            <w:tcW w:w="1200" w:type="dxa"/>
            <w:vAlign w:val="bottom"/>
            <w:vMerge w:val="continue"/>
            <w:shd w:val="clear" w:color="auto" w:fill="CDDAE6"/>
          </w:tcPr>
          <w:p>
            <w:pPr>
              <w:spacing w:after="0"/>
              <w:rPr>
                <w:sz w:val="16"/>
                <w:szCs w:val="16"/>
                <w:color w:val="auto"/>
              </w:rPr>
            </w:pPr>
          </w:p>
        </w:tc>
        <w:tc>
          <w:tcPr>
            <w:tcW w:w="1040" w:type="dxa"/>
            <w:vAlign w:val="bottom"/>
            <w:vMerge w:val="continue"/>
            <w:shd w:val="clear" w:color="auto" w:fill="CDDAE6"/>
          </w:tcPr>
          <w:p>
            <w:pPr>
              <w:spacing w:after="0"/>
              <w:rPr>
                <w:sz w:val="16"/>
                <w:szCs w:val="16"/>
                <w:color w:val="auto"/>
              </w:rPr>
            </w:pPr>
          </w:p>
        </w:tc>
        <w:tc>
          <w:tcPr>
            <w:tcW w:w="1240" w:type="dxa"/>
            <w:vAlign w:val="bottom"/>
            <w:vMerge w:val="continue"/>
            <w:shd w:val="clear" w:color="auto" w:fill="CDDAE6"/>
          </w:tcPr>
          <w:p>
            <w:pPr>
              <w:spacing w:after="0"/>
              <w:rPr>
                <w:sz w:val="16"/>
                <w:szCs w:val="16"/>
                <w:color w:val="auto"/>
              </w:rPr>
            </w:pPr>
          </w:p>
        </w:tc>
        <w:tc>
          <w:tcPr>
            <w:tcW w:w="900" w:type="dxa"/>
            <w:vAlign w:val="bottom"/>
            <w:vMerge w:val="continue"/>
            <w:shd w:val="clear" w:color="auto" w:fill="CDDAE6"/>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80" w:type="dxa"/>
            <w:vAlign w:val="bottom"/>
          </w:tcPr>
          <w:p>
            <w:pPr>
              <w:ind w:left="20"/>
              <w:spacing w:after="0" w:line="162" w:lineRule="exact"/>
              <w:rPr>
                <w:sz w:val="20"/>
                <w:szCs w:val="20"/>
                <w:color w:val="auto"/>
              </w:rPr>
            </w:pPr>
            <w:r>
              <w:rPr>
                <w:rFonts w:ascii="Arial" w:cs="Arial" w:eastAsia="Arial" w:hAnsi="Arial"/>
                <w:sz w:val="15"/>
                <w:szCs w:val="15"/>
                <w:color w:val="auto"/>
              </w:rPr>
              <w:t>Christopher E. Kubasik</w:t>
            </w:r>
          </w:p>
        </w:tc>
        <w:tc>
          <w:tcPr>
            <w:tcW w:w="700" w:type="dxa"/>
            <w:vAlign w:val="bottom"/>
            <w:gridSpan w:val="2"/>
          </w:tcPr>
          <w:p>
            <w:pPr>
              <w:jc w:val="right"/>
              <w:ind w:right="143"/>
              <w:spacing w:after="0" w:line="162" w:lineRule="exact"/>
              <w:rPr>
                <w:sz w:val="20"/>
                <w:szCs w:val="20"/>
                <w:color w:val="auto"/>
              </w:rPr>
            </w:pPr>
            <w:r>
              <w:rPr>
                <w:rFonts w:ascii="Arial" w:cs="Arial" w:eastAsia="Arial" w:hAnsi="Arial"/>
                <w:sz w:val="15"/>
                <w:szCs w:val="15"/>
                <w:color w:val="auto"/>
              </w:rPr>
              <w:t>2016</w:t>
            </w:r>
          </w:p>
        </w:tc>
        <w:tc>
          <w:tcPr>
            <w:tcW w:w="7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905,365</w:t>
            </w:r>
          </w:p>
        </w:tc>
        <w:tc>
          <w:tcPr>
            <w:tcW w:w="880" w:type="dxa"/>
            <w:vAlign w:val="bottom"/>
          </w:tcPr>
          <w:p>
            <w:pPr>
              <w:jc w:val="right"/>
              <w:ind w:right="45"/>
              <w:spacing w:after="0" w:line="162" w:lineRule="exact"/>
              <w:rPr>
                <w:sz w:val="20"/>
                <w:szCs w:val="20"/>
                <w:color w:val="auto"/>
              </w:rPr>
            </w:pPr>
            <w:r>
              <w:rPr>
                <w:rFonts w:ascii="Arial" w:cs="Arial" w:eastAsia="Arial" w:hAnsi="Arial"/>
                <w:sz w:val="15"/>
                <w:szCs w:val="15"/>
                <w:color w:val="auto"/>
              </w:rPr>
              <w:t>1,600,074</w:t>
            </w:r>
          </w:p>
        </w:tc>
        <w:tc>
          <w:tcPr>
            <w:tcW w:w="840" w:type="dxa"/>
            <w:vAlign w:val="bottom"/>
          </w:tcPr>
          <w:p>
            <w:pPr>
              <w:jc w:val="right"/>
              <w:ind w:right="5"/>
              <w:spacing w:after="0" w:line="162" w:lineRule="exact"/>
              <w:rPr>
                <w:sz w:val="20"/>
                <w:szCs w:val="20"/>
                <w:color w:val="auto"/>
              </w:rPr>
            </w:pPr>
            <w:r>
              <w:rPr>
                <w:rFonts w:ascii="Arial" w:cs="Arial" w:eastAsia="Arial" w:hAnsi="Arial"/>
                <w:sz w:val="15"/>
                <w:szCs w:val="15"/>
                <w:color w:val="auto"/>
              </w:rPr>
              <w:t>959,999</w:t>
            </w:r>
          </w:p>
        </w:tc>
        <w:tc>
          <w:tcPr>
            <w:tcW w:w="1200" w:type="dxa"/>
            <w:vAlign w:val="bottom"/>
          </w:tcPr>
          <w:p>
            <w:pPr>
              <w:jc w:val="right"/>
              <w:ind w:right="25"/>
              <w:spacing w:after="0" w:line="162" w:lineRule="exact"/>
              <w:rPr>
                <w:sz w:val="20"/>
                <w:szCs w:val="20"/>
                <w:color w:val="auto"/>
              </w:rPr>
            </w:pPr>
            <w:r>
              <w:rPr>
                <w:rFonts w:ascii="Arial" w:cs="Arial" w:eastAsia="Arial" w:hAnsi="Arial"/>
                <w:sz w:val="15"/>
                <w:szCs w:val="15"/>
                <w:color w:val="auto"/>
              </w:rPr>
              <w:t>1,400,000</w:t>
            </w:r>
          </w:p>
        </w:tc>
        <w:tc>
          <w:tcPr>
            <w:tcW w:w="104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1240" w:type="dxa"/>
            <w:vAlign w:val="bottom"/>
          </w:tcPr>
          <w:p>
            <w:pPr>
              <w:jc w:val="right"/>
              <w:ind w:right="65"/>
              <w:spacing w:after="0" w:line="162" w:lineRule="exact"/>
              <w:rPr>
                <w:sz w:val="20"/>
                <w:szCs w:val="20"/>
                <w:color w:val="auto"/>
              </w:rPr>
            </w:pPr>
            <w:r>
              <w:rPr>
                <w:rFonts w:ascii="Arial" w:cs="Arial" w:eastAsia="Arial" w:hAnsi="Arial"/>
                <w:sz w:val="15"/>
                <w:szCs w:val="15"/>
                <w:color w:val="auto"/>
              </w:rPr>
              <w:t>232,509</w:t>
            </w:r>
          </w:p>
        </w:tc>
        <w:tc>
          <w:tcPr>
            <w:tcW w:w="900" w:type="dxa"/>
            <w:vAlign w:val="bottom"/>
          </w:tcPr>
          <w:p>
            <w:pPr>
              <w:jc w:val="right"/>
              <w:ind w:right="5"/>
              <w:spacing w:after="0" w:line="162" w:lineRule="exact"/>
              <w:rPr>
                <w:sz w:val="20"/>
                <w:szCs w:val="20"/>
                <w:color w:val="auto"/>
              </w:rPr>
            </w:pPr>
            <w:r>
              <w:rPr>
                <w:rFonts w:ascii="Arial" w:cs="Arial" w:eastAsia="Arial" w:hAnsi="Arial"/>
                <w:sz w:val="15"/>
                <w:szCs w:val="15"/>
                <w:color w:val="auto"/>
              </w:rPr>
              <w:t>5,097,947</w:t>
            </w:r>
          </w:p>
        </w:tc>
        <w:tc>
          <w:tcPr>
            <w:tcW w:w="0" w:type="dxa"/>
            <w:vAlign w:val="bottom"/>
          </w:tcPr>
          <w:p>
            <w:pPr>
              <w:spacing w:after="0"/>
              <w:rPr>
                <w:sz w:val="1"/>
                <w:szCs w:val="1"/>
                <w:color w:val="auto"/>
              </w:rPr>
            </w:pPr>
          </w:p>
        </w:tc>
      </w:tr>
      <w:tr>
        <w:trPr>
          <w:trHeight w:val="162"/>
        </w:trPr>
        <w:tc>
          <w:tcPr>
            <w:tcW w:w="1980" w:type="dxa"/>
            <w:vAlign w:val="bottom"/>
          </w:tcPr>
          <w:p>
            <w:pPr>
              <w:ind w:left="300"/>
              <w:spacing w:after="0" w:line="162" w:lineRule="exact"/>
              <w:rPr>
                <w:sz w:val="20"/>
                <w:szCs w:val="20"/>
                <w:color w:val="auto"/>
              </w:rPr>
            </w:pPr>
            <w:r>
              <w:rPr>
                <w:rFonts w:ascii="Arial" w:cs="Arial" w:eastAsia="Arial" w:hAnsi="Arial"/>
                <w:sz w:val="15"/>
                <w:szCs w:val="15"/>
                <w:color w:val="auto"/>
              </w:rPr>
              <w:t>(President and Chief</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80" w:type="dxa"/>
            <w:vAlign w:val="bottom"/>
          </w:tcPr>
          <w:p>
            <w:pPr>
              <w:ind w:left="300"/>
              <w:spacing w:after="0"/>
              <w:rPr>
                <w:sz w:val="20"/>
                <w:szCs w:val="20"/>
                <w:color w:val="auto"/>
              </w:rPr>
            </w:pPr>
            <w:r>
              <w:rPr>
                <w:rFonts w:ascii="Arial" w:cs="Arial" w:eastAsia="Arial" w:hAnsi="Arial"/>
                <w:sz w:val="15"/>
                <w:szCs w:val="15"/>
                <w:color w:val="auto"/>
              </w:rPr>
              <w:t>Operating Officer)</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DDAE6"/>
          </w:tcPr>
          <w:p>
            <w:pPr>
              <w:ind w:left="20"/>
              <w:spacing w:after="0" w:line="162" w:lineRule="exact"/>
              <w:rPr>
                <w:sz w:val="20"/>
                <w:szCs w:val="20"/>
                <w:color w:val="auto"/>
              </w:rPr>
            </w:pPr>
            <w:r>
              <w:rPr>
                <w:rFonts w:ascii="Arial" w:cs="Arial" w:eastAsia="Arial" w:hAnsi="Arial"/>
                <w:sz w:val="15"/>
                <w:szCs w:val="15"/>
                <w:color w:val="auto"/>
              </w:rPr>
              <w:t>Ralph G. D’Ambrosio</w:t>
            </w:r>
          </w:p>
        </w:tc>
        <w:tc>
          <w:tcPr>
            <w:tcW w:w="180" w:type="dxa"/>
            <w:vAlign w:val="bottom"/>
            <w:shd w:val="clear" w:color="auto" w:fill="CDDAE6"/>
          </w:tcPr>
          <w:p>
            <w:pPr>
              <w:spacing w:after="0"/>
              <w:rPr>
                <w:sz w:val="14"/>
                <w:szCs w:val="14"/>
                <w:color w:val="auto"/>
              </w:rPr>
            </w:pPr>
          </w:p>
        </w:tc>
        <w:tc>
          <w:tcPr>
            <w:tcW w:w="520" w:type="dxa"/>
            <w:vAlign w:val="bottom"/>
            <w:shd w:val="clear" w:color="auto" w:fill="CDDAE6"/>
          </w:tcPr>
          <w:p>
            <w:pPr>
              <w:jc w:val="right"/>
              <w:ind w:right="143"/>
              <w:spacing w:after="0" w:line="162" w:lineRule="exact"/>
              <w:rPr>
                <w:sz w:val="20"/>
                <w:szCs w:val="20"/>
                <w:color w:val="auto"/>
              </w:rPr>
            </w:pPr>
            <w:r>
              <w:rPr>
                <w:rFonts w:ascii="Arial" w:cs="Arial" w:eastAsia="Arial" w:hAnsi="Arial"/>
                <w:sz w:val="15"/>
                <w:szCs w:val="15"/>
                <w:color w:val="auto"/>
                <w:w w:val="83"/>
              </w:rPr>
              <w:t>2016</w:t>
            </w:r>
          </w:p>
        </w:tc>
        <w:tc>
          <w:tcPr>
            <w:tcW w:w="780" w:type="dxa"/>
            <w:vAlign w:val="bottom"/>
            <w:shd w:val="clear" w:color="auto" w:fill="CDDAE6"/>
          </w:tcPr>
          <w:p>
            <w:pPr>
              <w:jc w:val="right"/>
              <w:ind w:right="44"/>
              <w:spacing w:after="0" w:line="162" w:lineRule="exact"/>
              <w:rPr>
                <w:sz w:val="20"/>
                <w:szCs w:val="20"/>
                <w:color w:val="auto"/>
              </w:rPr>
            </w:pPr>
            <w:r>
              <w:rPr>
                <w:rFonts w:ascii="Arial" w:cs="Arial" w:eastAsia="Arial" w:hAnsi="Arial"/>
                <w:sz w:val="15"/>
                <w:szCs w:val="15"/>
                <w:color w:val="auto"/>
              </w:rPr>
              <w:t>705,015</w:t>
            </w:r>
          </w:p>
        </w:tc>
        <w:tc>
          <w:tcPr>
            <w:tcW w:w="880" w:type="dxa"/>
            <w:vAlign w:val="bottom"/>
            <w:shd w:val="clear" w:color="auto" w:fill="CDDAE6"/>
          </w:tcPr>
          <w:p>
            <w:pPr>
              <w:jc w:val="right"/>
              <w:ind w:right="45"/>
              <w:spacing w:after="0" w:line="162" w:lineRule="exact"/>
              <w:rPr>
                <w:sz w:val="20"/>
                <w:szCs w:val="20"/>
                <w:color w:val="auto"/>
              </w:rPr>
            </w:pPr>
            <w:r>
              <w:rPr>
                <w:rFonts w:ascii="Arial" w:cs="Arial" w:eastAsia="Arial" w:hAnsi="Arial"/>
                <w:sz w:val="15"/>
                <w:szCs w:val="15"/>
                <w:color w:val="auto"/>
              </w:rPr>
              <w:t>1,312,479</w:t>
            </w:r>
          </w:p>
        </w:tc>
        <w:tc>
          <w:tcPr>
            <w:tcW w:w="840" w:type="dxa"/>
            <w:vAlign w:val="bottom"/>
            <w:shd w:val="clear" w:color="auto" w:fill="CDDAE6"/>
          </w:tcPr>
          <w:p>
            <w:pPr>
              <w:jc w:val="right"/>
              <w:ind w:right="5"/>
              <w:spacing w:after="0" w:line="162" w:lineRule="exact"/>
              <w:rPr>
                <w:sz w:val="20"/>
                <w:szCs w:val="20"/>
                <w:color w:val="auto"/>
              </w:rPr>
            </w:pPr>
            <w:r>
              <w:rPr>
                <w:rFonts w:ascii="Arial" w:cs="Arial" w:eastAsia="Arial" w:hAnsi="Arial"/>
                <w:sz w:val="15"/>
                <w:szCs w:val="15"/>
                <w:color w:val="auto"/>
              </w:rPr>
              <w:t>787,501</w:t>
            </w:r>
          </w:p>
        </w:tc>
        <w:tc>
          <w:tcPr>
            <w:tcW w:w="1200" w:type="dxa"/>
            <w:vAlign w:val="bottom"/>
            <w:shd w:val="clear" w:color="auto" w:fill="CDDAE6"/>
          </w:tcPr>
          <w:p>
            <w:pPr>
              <w:jc w:val="right"/>
              <w:ind w:right="25"/>
              <w:spacing w:after="0" w:line="162" w:lineRule="exact"/>
              <w:rPr>
                <w:sz w:val="20"/>
                <w:szCs w:val="20"/>
                <w:color w:val="auto"/>
              </w:rPr>
            </w:pPr>
            <w:r>
              <w:rPr>
                <w:rFonts w:ascii="Arial" w:cs="Arial" w:eastAsia="Arial" w:hAnsi="Arial"/>
                <w:sz w:val="15"/>
                <w:szCs w:val="15"/>
                <w:color w:val="auto"/>
              </w:rPr>
              <w:t>960,000</w:t>
            </w:r>
          </w:p>
        </w:tc>
        <w:tc>
          <w:tcPr>
            <w:tcW w:w="1040" w:type="dxa"/>
            <w:vAlign w:val="bottom"/>
            <w:shd w:val="clear" w:color="auto" w:fill="CDDAE6"/>
          </w:tcPr>
          <w:p>
            <w:pPr>
              <w:jc w:val="right"/>
              <w:ind w:right="26"/>
              <w:spacing w:after="0" w:line="162" w:lineRule="exact"/>
              <w:rPr>
                <w:sz w:val="20"/>
                <w:szCs w:val="20"/>
                <w:color w:val="auto"/>
              </w:rPr>
            </w:pPr>
            <w:r>
              <w:rPr>
                <w:rFonts w:ascii="Arial" w:cs="Arial" w:eastAsia="Arial" w:hAnsi="Arial"/>
                <w:sz w:val="15"/>
                <w:szCs w:val="15"/>
                <w:color w:val="auto"/>
              </w:rPr>
              <w:t>458,378</w:t>
            </w:r>
          </w:p>
        </w:tc>
        <w:tc>
          <w:tcPr>
            <w:tcW w:w="1240" w:type="dxa"/>
            <w:vAlign w:val="bottom"/>
            <w:shd w:val="clear" w:color="auto" w:fill="CDDAE6"/>
          </w:tcPr>
          <w:p>
            <w:pPr>
              <w:jc w:val="right"/>
              <w:ind w:right="65"/>
              <w:spacing w:after="0" w:line="162" w:lineRule="exact"/>
              <w:rPr>
                <w:sz w:val="20"/>
                <w:szCs w:val="20"/>
                <w:color w:val="auto"/>
              </w:rPr>
            </w:pPr>
            <w:r>
              <w:rPr>
                <w:rFonts w:ascii="Arial" w:cs="Arial" w:eastAsia="Arial" w:hAnsi="Arial"/>
                <w:sz w:val="15"/>
                <w:szCs w:val="15"/>
                <w:color w:val="auto"/>
              </w:rPr>
              <w:t>34,372</w:t>
            </w:r>
          </w:p>
        </w:tc>
        <w:tc>
          <w:tcPr>
            <w:tcW w:w="900" w:type="dxa"/>
            <w:vAlign w:val="bottom"/>
            <w:shd w:val="clear" w:color="auto" w:fill="CDDAE6"/>
          </w:tcPr>
          <w:p>
            <w:pPr>
              <w:jc w:val="right"/>
              <w:ind w:right="5"/>
              <w:spacing w:after="0" w:line="162" w:lineRule="exact"/>
              <w:rPr>
                <w:sz w:val="20"/>
                <w:szCs w:val="20"/>
                <w:color w:val="auto"/>
              </w:rPr>
            </w:pPr>
            <w:r>
              <w:rPr>
                <w:rFonts w:ascii="Arial" w:cs="Arial" w:eastAsia="Arial" w:hAnsi="Arial"/>
                <w:sz w:val="15"/>
                <w:szCs w:val="15"/>
                <w:color w:val="auto"/>
              </w:rPr>
              <w:t>4,257,745</w:t>
            </w:r>
          </w:p>
        </w:tc>
        <w:tc>
          <w:tcPr>
            <w:tcW w:w="0" w:type="dxa"/>
            <w:vAlign w:val="bottom"/>
          </w:tcPr>
          <w:p>
            <w:pPr>
              <w:spacing w:after="0"/>
              <w:rPr>
                <w:sz w:val="1"/>
                <w:szCs w:val="1"/>
                <w:color w:val="auto"/>
              </w:rPr>
            </w:pPr>
          </w:p>
        </w:tc>
      </w:tr>
      <w:tr>
        <w:trPr>
          <w:trHeight w:val="175"/>
        </w:trPr>
        <w:tc>
          <w:tcPr>
            <w:tcW w:w="1980" w:type="dxa"/>
            <w:vAlign w:val="bottom"/>
            <w:shd w:val="clear" w:color="auto" w:fill="CDDAE6"/>
          </w:tcPr>
          <w:p>
            <w:pPr>
              <w:ind w:left="300"/>
              <w:spacing w:after="0"/>
              <w:rPr>
                <w:sz w:val="20"/>
                <w:szCs w:val="20"/>
                <w:color w:val="auto"/>
              </w:rPr>
            </w:pPr>
            <w:r>
              <w:rPr>
                <w:rFonts w:ascii="Arial" w:cs="Arial" w:eastAsia="Arial" w:hAnsi="Arial"/>
                <w:sz w:val="15"/>
                <w:szCs w:val="15"/>
                <w:color w:val="auto"/>
                <w:w w:val="93"/>
              </w:rPr>
              <w:t>(Senior Vice President and</w:t>
            </w:r>
          </w:p>
        </w:tc>
        <w:tc>
          <w:tcPr>
            <w:tcW w:w="180" w:type="dxa"/>
            <w:vAlign w:val="bottom"/>
            <w:shd w:val="clear" w:color="auto" w:fill="CDDAE6"/>
          </w:tcPr>
          <w:p>
            <w:pPr>
              <w:spacing w:after="0"/>
              <w:rPr>
                <w:sz w:val="15"/>
                <w:szCs w:val="15"/>
                <w:color w:val="auto"/>
              </w:rPr>
            </w:pPr>
          </w:p>
        </w:tc>
        <w:tc>
          <w:tcPr>
            <w:tcW w:w="520" w:type="dxa"/>
            <w:vAlign w:val="bottom"/>
            <w:shd w:val="clear" w:color="auto" w:fill="CDDAE6"/>
          </w:tcPr>
          <w:p>
            <w:pPr>
              <w:jc w:val="right"/>
              <w:ind w:right="143"/>
              <w:spacing w:after="0"/>
              <w:rPr>
                <w:sz w:val="20"/>
                <w:szCs w:val="20"/>
                <w:color w:val="auto"/>
              </w:rPr>
            </w:pPr>
            <w:r>
              <w:rPr>
                <w:rFonts w:ascii="Arial" w:cs="Arial" w:eastAsia="Arial" w:hAnsi="Arial"/>
                <w:sz w:val="15"/>
                <w:szCs w:val="15"/>
                <w:color w:val="auto"/>
                <w:w w:val="83"/>
              </w:rPr>
              <w:t>2015</w:t>
            </w:r>
          </w:p>
        </w:tc>
        <w:tc>
          <w:tcPr>
            <w:tcW w:w="780" w:type="dxa"/>
            <w:vAlign w:val="bottom"/>
            <w:shd w:val="clear" w:color="auto" w:fill="CDDAE6"/>
          </w:tcPr>
          <w:p>
            <w:pPr>
              <w:jc w:val="right"/>
              <w:ind w:right="44"/>
              <w:spacing w:after="0"/>
              <w:rPr>
                <w:sz w:val="20"/>
                <w:szCs w:val="20"/>
                <w:color w:val="auto"/>
              </w:rPr>
            </w:pPr>
            <w:r>
              <w:rPr>
                <w:rFonts w:ascii="Arial" w:cs="Arial" w:eastAsia="Arial" w:hAnsi="Arial"/>
                <w:sz w:val="15"/>
                <w:szCs w:val="15"/>
                <w:color w:val="auto"/>
              </w:rPr>
              <w:t>695,000</w:t>
            </w:r>
          </w:p>
        </w:tc>
        <w:tc>
          <w:tcPr>
            <w:tcW w:w="880" w:type="dxa"/>
            <w:vAlign w:val="bottom"/>
            <w:shd w:val="clear" w:color="auto" w:fill="CDDAE6"/>
          </w:tcPr>
          <w:p>
            <w:pPr>
              <w:jc w:val="right"/>
              <w:ind w:right="45"/>
              <w:spacing w:after="0"/>
              <w:rPr>
                <w:sz w:val="20"/>
                <w:szCs w:val="20"/>
                <w:color w:val="auto"/>
              </w:rPr>
            </w:pPr>
            <w:r>
              <w:rPr>
                <w:rFonts w:ascii="Arial" w:cs="Arial" w:eastAsia="Arial" w:hAnsi="Arial"/>
                <w:sz w:val="15"/>
                <w:szCs w:val="15"/>
                <w:color w:val="auto"/>
              </w:rPr>
              <w:t>1,250,040</w:t>
            </w:r>
          </w:p>
        </w:tc>
        <w:tc>
          <w:tcPr>
            <w:tcW w:w="840" w:type="dxa"/>
            <w:vAlign w:val="bottom"/>
            <w:shd w:val="clear" w:color="auto" w:fill="CDDAE6"/>
          </w:tcPr>
          <w:p>
            <w:pPr>
              <w:jc w:val="right"/>
              <w:ind w:right="5"/>
              <w:spacing w:after="0"/>
              <w:rPr>
                <w:sz w:val="20"/>
                <w:szCs w:val="20"/>
                <w:color w:val="auto"/>
              </w:rPr>
            </w:pPr>
            <w:r>
              <w:rPr>
                <w:rFonts w:ascii="Arial" w:cs="Arial" w:eastAsia="Arial" w:hAnsi="Arial"/>
                <w:sz w:val="15"/>
                <w:szCs w:val="15"/>
                <w:color w:val="auto"/>
              </w:rPr>
              <w:t>750,006</w:t>
            </w:r>
          </w:p>
        </w:tc>
        <w:tc>
          <w:tcPr>
            <w:tcW w:w="1200" w:type="dxa"/>
            <w:vAlign w:val="bottom"/>
            <w:shd w:val="clear" w:color="auto" w:fill="CDDAE6"/>
          </w:tcPr>
          <w:p>
            <w:pPr>
              <w:jc w:val="right"/>
              <w:ind w:right="25"/>
              <w:spacing w:after="0"/>
              <w:rPr>
                <w:sz w:val="20"/>
                <w:szCs w:val="20"/>
                <w:color w:val="auto"/>
              </w:rPr>
            </w:pPr>
            <w:r>
              <w:rPr>
                <w:rFonts w:ascii="Arial" w:cs="Arial" w:eastAsia="Arial" w:hAnsi="Arial"/>
                <w:sz w:val="15"/>
                <w:szCs w:val="15"/>
                <w:color w:val="auto"/>
              </w:rPr>
              <w:t>260,000</w:t>
            </w:r>
          </w:p>
        </w:tc>
        <w:tc>
          <w:tcPr>
            <w:tcW w:w="1040" w:type="dxa"/>
            <w:vAlign w:val="bottom"/>
            <w:shd w:val="clear" w:color="auto" w:fill="CDDAE6"/>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shd w:val="clear" w:color="auto" w:fill="CDDAE6"/>
          </w:tcPr>
          <w:p>
            <w:pPr>
              <w:jc w:val="right"/>
              <w:ind w:right="65"/>
              <w:spacing w:after="0"/>
              <w:rPr>
                <w:sz w:val="20"/>
                <w:szCs w:val="20"/>
                <w:color w:val="auto"/>
              </w:rPr>
            </w:pPr>
            <w:r>
              <w:rPr>
                <w:rFonts w:ascii="Arial" w:cs="Arial" w:eastAsia="Arial" w:hAnsi="Arial"/>
                <w:sz w:val="15"/>
                <w:szCs w:val="15"/>
                <w:color w:val="auto"/>
              </w:rPr>
              <w:t>34,133</w:t>
            </w:r>
          </w:p>
        </w:tc>
        <w:tc>
          <w:tcPr>
            <w:tcW w:w="900" w:type="dxa"/>
            <w:vAlign w:val="bottom"/>
            <w:shd w:val="clear" w:color="auto" w:fill="CDDAE6"/>
          </w:tcPr>
          <w:p>
            <w:pPr>
              <w:jc w:val="right"/>
              <w:ind w:right="5"/>
              <w:spacing w:after="0"/>
              <w:rPr>
                <w:sz w:val="20"/>
                <w:szCs w:val="20"/>
                <w:color w:val="auto"/>
              </w:rPr>
            </w:pPr>
            <w:r>
              <w:rPr>
                <w:rFonts w:ascii="Arial" w:cs="Arial" w:eastAsia="Arial" w:hAnsi="Arial"/>
                <w:sz w:val="15"/>
                <w:szCs w:val="15"/>
                <w:color w:val="auto"/>
              </w:rPr>
              <w:t>2,989,179</w:t>
            </w:r>
          </w:p>
        </w:tc>
        <w:tc>
          <w:tcPr>
            <w:tcW w:w="0" w:type="dxa"/>
            <w:vAlign w:val="bottom"/>
          </w:tcPr>
          <w:p>
            <w:pPr>
              <w:spacing w:after="0"/>
              <w:rPr>
                <w:sz w:val="1"/>
                <w:szCs w:val="1"/>
                <w:color w:val="auto"/>
              </w:rPr>
            </w:pPr>
          </w:p>
        </w:tc>
      </w:tr>
      <w:tr>
        <w:trPr>
          <w:trHeight w:val="210"/>
        </w:trPr>
        <w:tc>
          <w:tcPr>
            <w:tcW w:w="1980" w:type="dxa"/>
            <w:vAlign w:val="bottom"/>
            <w:tcBorders>
              <w:bottom w:val="single" w:sz="8" w:color="CDDAE6"/>
            </w:tcBorders>
            <w:shd w:val="clear" w:color="auto" w:fill="CDDAE6"/>
          </w:tcPr>
          <w:p>
            <w:pPr>
              <w:ind w:left="300"/>
              <w:spacing w:after="0"/>
              <w:rPr>
                <w:sz w:val="20"/>
                <w:szCs w:val="20"/>
                <w:color w:val="auto"/>
              </w:rPr>
            </w:pPr>
            <w:r>
              <w:rPr>
                <w:rFonts w:ascii="Arial" w:cs="Arial" w:eastAsia="Arial" w:hAnsi="Arial"/>
                <w:sz w:val="15"/>
                <w:szCs w:val="15"/>
                <w:color w:val="auto"/>
              </w:rPr>
              <w:t>Chief Financial Officer)</w:t>
            </w:r>
          </w:p>
        </w:tc>
        <w:tc>
          <w:tcPr>
            <w:tcW w:w="180" w:type="dxa"/>
            <w:vAlign w:val="bottom"/>
            <w:tcBorders>
              <w:bottom w:val="single" w:sz="8" w:color="CDDAE6"/>
            </w:tcBorders>
            <w:shd w:val="clear" w:color="auto" w:fill="CDDAE6"/>
          </w:tcPr>
          <w:p>
            <w:pPr>
              <w:spacing w:after="0"/>
              <w:rPr>
                <w:sz w:val="18"/>
                <w:szCs w:val="18"/>
                <w:color w:val="auto"/>
              </w:rPr>
            </w:pPr>
          </w:p>
        </w:tc>
        <w:tc>
          <w:tcPr>
            <w:tcW w:w="520" w:type="dxa"/>
            <w:vAlign w:val="bottom"/>
            <w:tcBorders>
              <w:bottom w:val="single" w:sz="8" w:color="CDDAE6"/>
            </w:tcBorders>
            <w:shd w:val="clear" w:color="auto" w:fill="CDDAE6"/>
          </w:tcPr>
          <w:p>
            <w:pPr>
              <w:jc w:val="right"/>
              <w:ind w:right="143"/>
              <w:spacing w:after="0"/>
              <w:rPr>
                <w:sz w:val="20"/>
                <w:szCs w:val="20"/>
                <w:color w:val="auto"/>
              </w:rPr>
            </w:pPr>
            <w:r>
              <w:rPr>
                <w:rFonts w:ascii="Arial" w:cs="Arial" w:eastAsia="Arial" w:hAnsi="Arial"/>
                <w:sz w:val="15"/>
                <w:szCs w:val="15"/>
                <w:color w:val="auto"/>
                <w:w w:val="83"/>
              </w:rPr>
              <w:t>2014</w:t>
            </w:r>
          </w:p>
        </w:tc>
        <w:tc>
          <w:tcPr>
            <w:tcW w:w="780" w:type="dxa"/>
            <w:vAlign w:val="bottom"/>
            <w:tcBorders>
              <w:bottom w:val="single" w:sz="8" w:color="CDDAE6"/>
            </w:tcBorders>
            <w:shd w:val="clear" w:color="auto" w:fill="CDDAE6"/>
          </w:tcPr>
          <w:p>
            <w:pPr>
              <w:jc w:val="right"/>
              <w:ind w:right="44"/>
              <w:spacing w:after="0"/>
              <w:rPr>
                <w:sz w:val="20"/>
                <w:szCs w:val="20"/>
                <w:color w:val="auto"/>
              </w:rPr>
            </w:pPr>
            <w:r>
              <w:rPr>
                <w:rFonts w:ascii="Arial" w:cs="Arial" w:eastAsia="Arial" w:hAnsi="Arial"/>
                <w:sz w:val="15"/>
                <w:szCs w:val="15"/>
                <w:color w:val="auto"/>
              </w:rPr>
              <w:t>689,539</w:t>
            </w:r>
          </w:p>
        </w:tc>
        <w:tc>
          <w:tcPr>
            <w:tcW w:w="880" w:type="dxa"/>
            <w:vAlign w:val="bottom"/>
            <w:tcBorders>
              <w:bottom w:val="single" w:sz="8" w:color="CDDAE6"/>
            </w:tcBorders>
            <w:shd w:val="clear" w:color="auto" w:fill="CDDAE6"/>
          </w:tcPr>
          <w:p>
            <w:pPr>
              <w:jc w:val="right"/>
              <w:ind w:right="45"/>
              <w:spacing w:after="0"/>
              <w:rPr>
                <w:sz w:val="20"/>
                <w:szCs w:val="20"/>
                <w:color w:val="auto"/>
              </w:rPr>
            </w:pPr>
            <w:r>
              <w:rPr>
                <w:rFonts w:ascii="Arial" w:cs="Arial" w:eastAsia="Arial" w:hAnsi="Arial"/>
                <w:sz w:val="15"/>
                <w:szCs w:val="15"/>
                <w:color w:val="auto"/>
              </w:rPr>
              <w:t>1,350,058</w:t>
            </w:r>
          </w:p>
        </w:tc>
        <w:tc>
          <w:tcPr>
            <w:tcW w:w="840" w:type="dxa"/>
            <w:vAlign w:val="bottom"/>
            <w:tcBorders>
              <w:bottom w:val="single" w:sz="8" w:color="CDDAE6"/>
            </w:tcBorders>
            <w:shd w:val="clear" w:color="auto" w:fill="CDDAE6"/>
          </w:tcPr>
          <w:p>
            <w:pPr>
              <w:jc w:val="right"/>
              <w:ind w:right="5"/>
              <w:spacing w:after="0"/>
              <w:rPr>
                <w:sz w:val="20"/>
                <w:szCs w:val="20"/>
                <w:color w:val="auto"/>
              </w:rPr>
            </w:pPr>
            <w:r>
              <w:rPr>
                <w:rFonts w:ascii="Arial" w:cs="Arial" w:eastAsia="Arial" w:hAnsi="Arial"/>
                <w:sz w:val="15"/>
                <w:szCs w:val="15"/>
                <w:color w:val="auto"/>
              </w:rPr>
              <w:t>809,990</w:t>
            </w:r>
          </w:p>
        </w:tc>
        <w:tc>
          <w:tcPr>
            <w:tcW w:w="1200" w:type="dxa"/>
            <w:vAlign w:val="bottom"/>
            <w:tcBorders>
              <w:bottom w:val="single" w:sz="8" w:color="CDDAE6"/>
            </w:tcBorders>
            <w:shd w:val="clear" w:color="auto" w:fill="CDDAE6"/>
          </w:tcPr>
          <w:p>
            <w:pPr>
              <w:jc w:val="right"/>
              <w:ind w:right="25"/>
              <w:spacing w:after="0"/>
              <w:rPr>
                <w:sz w:val="20"/>
                <w:szCs w:val="20"/>
                <w:color w:val="auto"/>
              </w:rPr>
            </w:pPr>
            <w:r>
              <w:rPr>
                <w:rFonts w:ascii="Arial" w:cs="Arial" w:eastAsia="Arial" w:hAnsi="Arial"/>
                <w:sz w:val="15"/>
                <w:szCs w:val="15"/>
                <w:color w:val="auto"/>
              </w:rPr>
              <w:t>212,300</w:t>
            </w:r>
          </w:p>
        </w:tc>
        <w:tc>
          <w:tcPr>
            <w:tcW w:w="1040" w:type="dxa"/>
            <w:vAlign w:val="bottom"/>
            <w:tcBorders>
              <w:bottom w:val="single" w:sz="8" w:color="CDDAE6"/>
            </w:tcBorders>
            <w:shd w:val="clear" w:color="auto" w:fill="CDDAE6"/>
          </w:tcPr>
          <w:p>
            <w:pPr>
              <w:jc w:val="right"/>
              <w:ind w:right="26"/>
              <w:spacing w:after="0"/>
              <w:rPr>
                <w:sz w:val="20"/>
                <w:szCs w:val="20"/>
                <w:color w:val="auto"/>
              </w:rPr>
            </w:pPr>
            <w:r>
              <w:rPr>
                <w:rFonts w:ascii="Arial" w:cs="Arial" w:eastAsia="Arial" w:hAnsi="Arial"/>
                <w:sz w:val="15"/>
                <w:szCs w:val="15"/>
                <w:color w:val="auto"/>
              </w:rPr>
              <w:t>1,033,645</w:t>
            </w:r>
          </w:p>
        </w:tc>
        <w:tc>
          <w:tcPr>
            <w:tcW w:w="1240" w:type="dxa"/>
            <w:vAlign w:val="bottom"/>
            <w:tcBorders>
              <w:bottom w:val="single" w:sz="8" w:color="CDDAE6"/>
            </w:tcBorders>
            <w:shd w:val="clear" w:color="auto" w:fill="CDDAE6"/>
          </w:tcPr>
          <w:p>
            <w:pPr>
              <w:jc w:val="right"/>
              <w:ind w:right="65"/>
              <w:spacing w:after="0"/>
              <w:rPr>
                <w:sz w:val="20"/>
                <w:szCs w:val="20"/>
                <w:color w:val="auto"/>
              </w:rPr>
            </w:pPr>
            <w:r>
              <w:rPr>
                <w:rFonts w:ascii="Arial" w:cs="Arial" w:eastAsia="Arial" w:hAnsi="Arial"/>
                <w:sz w:val="15"/>
                <w:szCs w:val="15"/>
                <w:color w:val="auto"/>
              </w:rPr>
              <w:t>34,262</w:t>
            </w:r>
          </w:p>
        </w:tc>
        <w:tc>
          <w:tcPr>
            <w:tcW w:w="900" w:type="dxa"/>
            <w:vAlign w:val="bottom"/>
            <w:tcBorders>
              <w:bottom w:val="single" w:sz="8" w:color="CDDAE6"/>
            </w:tcBorders>
            <w:shd w:val="clear" w:color="auto" w:fill="CDDAE6"/>
          </w:tcPr>
          <w:p>
            <w:pPr>
              <w:jc w:val="right"/>
              <w:ind w:right="5"/>
              <w:spacing w:after="0"/>
              <w:rPr>
                <w:sz w:val="20"/>
                <w:szCs w:val="20"/>
                <w:color w:val="auto"/>
              </w:rPr>
            </w:pPr>
            <w:r>
              <w:rPr>
                <w:rFonts w:ascii="Arial" w:cs="Arial" w:eastAsia="Arial" w:hAnsi="Arial"/>
                <w:sz w:val="15"/>
                <w:szCs w:val="15"/>
                <w:color w:val="auto"/>
              </w:rPr>
              <w:t>4,129,794</w:t>
            </w:r>
          </w:p>
        </w:tc>
        <w:tc>
          <w:tcPr>
            <w:tcW w:w="0" w:type="dxa"/>
            <w:vAlign w:val="bottom"/>
          </w:tcPr>
          <w:p>
            <w:pPr>
              <w:spacing w:after="0"/>
              <w:rPr>
                <w:sz w:val="1"/>
                <w:szCs w:val="1"/>
                <w:color w:val="auto"/>
              </w:rPr>
            </w:pPr>
          </w:p>
        </w:tc>
      </w:tr>
      <w:tr>
        <w:trPr>
          <w:trHeight w:val="162"/>
        </w:trPr>
        <w:tc>
          <w:tcPr>
            <w:tcW w:w="1980" w:type="dxa"/>
            <w:vAlign w:val="bottom"/>
          </w:tcPr>
          <w:p>
            <w:pPr>
              <w:ind w:left="20"/>
              <w:spacing w:after="0" w:line="162" w:lineRule="exact"/>
              <w:rPr>
                <w:sz w:val="20"/>
                <w:szCs w:val="20"/>
                <w:color w:val="auto"/>
              </w:rPr>
            </w:pPr>
            <w:r>
              <w:rPr>
                <w:rFonts w:ascii="Arial" w:cs="Arial" w:eastAsia="Arial" w:hAnsi="Arial"/>
                <w:sz w:val="15"/>
                <w:szCs w:val="15"/>
                <w:color w:val="auto"/>
              </w:rPr>
              <w:t>Curtis Brunson</w:t>
            </w:r>
          </w:p>
        </w:tc>
        <w:tc>
          <w:tcPr>
            <w:tcW w:w="700" w:type="dxa"/>
            <w:vAlign w:val="bottom"/>
            <w:gridSpan w:val="2"/>
          </w:tcPr>
          <w:p>
            <w:pPr>
              <w:jc w:val="right"/>
              <w:ind w:right="143"/>
              <w:spacing w:after="0" w:line="162" w:lineRule="exact"/>
              <w:rPr>
                <w:sz w:val="20"/>
                <w:szCs w:val="20"/>
                <w:color w:val="auto"/>
              </w:rPr>
            </w:pPr>
            <w:r>
              <w:rPr>
                <w:rFonts w:ascii="Arial" w:cs="Arial" w:eastAsia="Arial" w:hAnsi="Arial"/>
                <w:sz w:val="15"/>
                <w:szCs w:val="15"/>
                <w:color w:val="auto"/>
              </w:rPr>
              <w:t>2016</w:t>
            </w:r>
          </w:p>
        </w:tc>
        <w:tc>
          <w:tcPr>
            <w:tcW w:w="7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679,657</w:t>
            </w:r>
          </w:p>
        </w:tc>
        <w:tc>
          <w:tcPr>
            <w:tcW w:w="880" w:type="dxa"/>
            <w:vAlign w:val="bottom"/>
          </w:tcPr>
          <w:p>
            <w:pPr>
              <w:jc w:val="right"/>
              <w:ind w:right="45"/>
              <w:spacing w:after="0" w:line="162" w:lineRule="exact"/>
              <w:rPr>
                <w:sz w:val="20"/>
                <w:szCs w:val="20"/>
                <w:color w:val="auto"/>
              </w:rPr>
            </w:pPr>
            <w:r>
              <w:rPr>
                <w:rFonts w:ascii="Arial" w:cs="Arial" w:eastAsia="Arial" w:hAnsi="Arial"/>
                <w:sz w:val="15"/>
                <w:szCs w:val="15"/>
                <w:color w:val="auto"/>
              </w:rPr>
              <w:t>1,350,011</w:t>
            </w:r>
          </w:p>
        </w:tc>
        <w:tc>
          <w:tcPr>
            <w:tcW w:w="840" w:type="dxa"/>
            <w:vAlign w:val="bottom"/>
          </w:tcPr>
          <w:p>
            <w:pPr>
              <w:jc w:val="right"/>
              <w:ind w:right="5"/>
              <w:spacing w:after="0" w:line="162" w:lineRule="exact"/>
              <w:rPr>
                <w:sz w:val="20"/>
                <w:szCs w:val="20"/>
                <w:color w:val="auto"/>
              </w:rPr>
            </w:pPr>
            <w:r>
              <w:rPr>
                <w:rFonts w:ascii="Arial" w:cs="Arial" w:eastAsia="Arial" w:hAnsi="Arial"/>
                <w:sz w:val="15"/>
                <w:szCs w:val="15"/>
                <w:color w:val="auto"/>
              </w:rPr>
              <w:t>810,007</w:t>
            </w:r>
          </w:p>
        </w:tc>
        <w:tc>
          <w:tcPr>
            <w:tcW w:w="1200" w:type="dxa"/>
            <w:vAlign w:val="bottom"/>
          </w:tcPr>
          <w:p>
            <w:pPr>
              <w:jc w:val="right"/>
              <w:ind w:right="25"/>
              <w:spacing w:after="0" w:line="162" w:lineRule="exact"/>
              <w:rPr>
                <w:sz w:val="20"/>
                <w:szCs w:val="20"/>
                <w:color w:val="auto"/>
              </w:rPr>
            </w:pPr>
            <w:r>
              <w:rPr>
                <w:rFonts w:ascii="Arial" w:cs="Arial" w:eastAsia="Arial" w:hAnsi="Arial"/>
                <w:sz w:val="15"/>
                <w:szCs w:val="15"/>
                <w:color w:val="auto"/>
              </w:rPr>
              <w:t>910,000</w:t>
            </w:r>
          </w:p>
        </w:tc>
        <w:tc>
          <w:tcPr>
            <w:tcW w:w="1040" w:type="dxa"/>
            <w:vAlign w:val="bottom"/>
          </w:tcPr>
          <w:p>
            <w:pPr>
              <w:jc w:val="right"/>
              <w:ind w:right="26"/>
              <w:spacing w:after="0" w:line="162" w:lineRule="exact"/>
              <w:rPr>
                <w:sz w:val="20"/>
                <w:szCs w:val="20"/>
                <w:color w:val="auto"/>
              </w:rPr>
            </w:pPr>
            <w:r>
              <w:rPr>
                <w:rFonts w:ascii="Arial" w:cs="Arial" w:eastAsia="Arial" w:hAnsi="Arial"/>
                <w:sz w:val="15"/>
                <w:szCs w:val="15"/>
                <w:color w:val="auto"/>
              </w:rPr>
              <w:t>236,681</w:t>
            </w:r>
          </w:p>
        </w:tc>
        <w:tc>
          <w:tcPr>
            <w:tcW w:w="1240" w:type="dxa"/>
            <w:vAlign w:val="bottom"/>
          </w:tcPr>
          <w:p>
            <w:pPr>
              <w:jc w:val="right"/>
              <w:ind w:right="65"/>
              <w:spacing w:after="0" w:line="162" w:lineRule="exact"/>
              <w:rPr>
                <w:sz w:val="20"/>
                <w:szCs w:val="20"/>
                <w:color w:val="auto"/>
              </w:rPr>
            </w:pPr>
            <w:r>
              <w:rPr>
                <w:rFonts w:ascii="Arial" w:cs="Arial" w:eastAsia="Arial" w:hAnsi="Arial"/>
                <w:sz w:val="15"/>
                <w:szCs w:val="15"/>
                <w:color w:val="auto"/>
              </w:rPr>
              <w:t>68,208</w:t>
            </w:r>
          </w:p>
        </w:tc>
        <w:tc>
          <w:tcPr>
            <w:tcW w:w="900" w:type="dxa"/>
            <w:vAlign w:val="bottom"/>
          </w:tcPr>
          <w:p>
            <w:pPr>
              <w:jc w:val="right"/>
              <w:ind w:right="5"/>
              <w:spacing w:after="0" w:line="162" w:lineRule="exact"/>
              <w:rPr>
                <w:sz w:val="20"/>
                <w:szCs w:val="20"/>
                <w:color w:val="auto"/>
              </w:rPr>
            </w:pPr>
            <w:r>
              <w:rPr>
                <w:rFonts w:ascii="Arial" w:cs="Arial" w:eastAsia="Arial" w:hAnsi="Arial"/>
                <w:sz w:val="15"/>
                <w:szCs w:val="15"/>
                <w:color w:val="auto"/>
              </w:rPr>
              <w:t>4,054,564</w:t>
            </w:r>
          </w:p>
        </w:tc>
        <w:tc>
          <w:tcPr>
            <w:tcW w:w="0" w:type="dxa"/>
            <w:vAlign w:val="bottom"/>
          </w:tcPr>
          <w:p>
            <w:pPr>
              <w:spacing w:after="0"/>
              <w:rPr>
                <w:sz w:val="1"/>
                <w:szCs w:val="1"/>
                <w:color w:val="auto"/>
              </w:rPr>
            </w:pPr>
          </w:p>
        </w:tc>
      </w:tr>
      <w:tr>
        <w:trPr>
          <w:trHeight w:val="121"/>
        </w:trPr>
        <w:tc>
          <w:tcPr>
            <w:tcW w:w="1980" w:type="dxa"/>
            <w:vAlign w:val="bottom"/>
            <w:vMerge w:val="restart"/>
          </w:tcPr>
          <w:p>
            <w:pPr>
              <w:ind w:left="300"/>
              <w:spacing w:after="0" w:line="162" w:lineRule="exact"/>
              <w:rPr>
                <w:sz w:val="20"/>
                <w:szCs w:val="20"/>
                <w:color w:val="auto"/>
              </w:rPr>
            </w:pPr>
            <w:r>
              <w:rPr>
                <w:rFonts w:ascii="Arial" w:cs="Arial" w:eastAsia="Arial" w:hAnsi="Arial"/>
                <w:sz w:val="15"/>
                <w:szCs w:val="15"/>
                <w:color w:val="auto"/>
              </w:rPr>
              <w:t>(Former Executive Vice</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980" w:type="dxa"/>
            <w:vAlign w:val="bottom"/>
            <w:vMerge w:val="continue"/>
          </w:tcPr>
          <w:p>
            <w:pPr>
              <w:spacing w:after="0"/>
              <w:rPr>
                <w:sz w:val="3"/>
                <w:szCs w:val="3"/>
                <w:color w:val="auto"/>
              </w:rPr>
            </w:pPr>
          </w:p>
        </w:tc>
        <w:tc>
          <w:tcPr>
            <w:tcW w:w="700" w:type="dxa"/>
            <w:vAlign w:val="bottom"/>
            <w:gridSpan w:val="2"/>
            <w:vMerge w:val="restart"/>
            <w:shd w:val="clear" w:color="auto" w:fill="CDDAE6"/>
          </w:tcPr>
          <w:p>
            <w:pPr>
              <w:jc w:val="right"/>
              <w:ind w:right="143"/>
              <w:spacing w:after="0"/>
              <w:rPr>
                <w:sz w:val="20"/>
                <w:szCs w:val="20"/>
                <w:color w:val="auto"/>
              </w:rPr>
            </w:pPr>
            <w:r>
              <w:rPr>
                <w:rFonts w:ascii="Arial" w:cs="Arial" w:eastAsia="Arial" w:hAnsi="Arial"/>
                <w:sz w:val="15"/>
                <w:szCs w:val="15"/>
                <w:color w:val="auto"/>
              </w:rPr>
              <w:t>2015</w:t>
            </w:r>
          </w:p>
        </w:tc>
        <w:tc>
          <w:tcPr>
            <w:tcW w:w="780" w:type="dxa"/>
            <w:vAlign w:val="bottom"/>
            <w:vMerge w:val="restart"/>
            <w:shd w:val="clear" w:color="auto" w:fill="CDDAE6"/>
          </w:tcPr>
          <w:p>
            <w:pPr>
              <w:jc w:val="right"/>
              <w:ind w:right="44"/>
              <w:spacing w:after="0"/>
              <w:rPr>
                <w:sz w:val="20"/>
                <w:szCs w:val="20"/>
                <w:color w:val="auto"/>
              </w:rPr>
            </w:pPr>
            <w:r>
              <w:rPr>
                <w:rFonts w:ascii="Arial" w:cs="Arial" w:eastAsia="Arial" w:hAnsi="Arial"/>
                <w:sz w:val="15"/>
                <w:szCs w:val="15"/>
                <w:color w:val="auto"/>
              </w:rPr>
              <w:t>664,461</w:t>
            </w:r>
          </w:p>
        </w:tc>
        <w:tc>
          <w:tcPr>
            <w:tcW w:w="880" w:type="dxa"/>
            <w:vAlign w:val="bottom"/>
            <w:vMerge w:val="restart"/>
            <w:shd w:val="clear" w:color="auto" w:fill="CDDAE6"/>
          </w:tcPr>
          <w:p>
            <w:pPr>
              <w:jc w:val="right"/>
              <w:ind w:right="45"/>
              <w:spacing w:after="0"/>
              <w:rPr>
                <w:sz w:val="20"/>
                <w:szCs w:val="20"/>
                <w:color w:val="auto"/>
              </w:rPr>
            </w:pPr>
            <w:r>
              <w:rPr>
                <w:rFonts w:ascii="Arial" w:cs="Arial" w:eastAsia="Arial" w:hAnsi="Arial"/>
                <w:sz w:val="15"/>
                <w:szCs w:val="15"/>
                <w:color w:val="auto"/>
              </w:rPr>
              <w:t>1,349,997</w:t>
            </w:r>
          </w:p>
        </w:tc>
        <w:tc>
          <w:tcPr>
            <w:tcW w:w="840" w:type="dxa"/>
            <w:vAlign w:val="bottom"/>
            <w:vMerge w:val="restart"/>
            <w:shd w:val="clear" w:color="auto" w:fill="CDDAE6"/>
          </w:tcPr>
          <w:p>
            <w:pPr>
              <w:jc w:val="right"/>
              <w:ind w:right="5"/>
              <w:spacing w:after="0"/>
              <w:rPr>
                <w:sz w:val="20"/>
                <w:szCs w:val="20"/>
                <w:color w:val="auto"/>
              </w:rPr>
            </w:pPr>
            <w:r>
              <w:rPr>
                <w:rFonts w:ascii="Arial" w:cs="Arial" w:eastAsia="Arial" w:hAnsi="Arial"/>
                <w:sz w:val="15"/>
                <w:szCs w:val="15"/>
                <w:color w:val="auto"/>
              </w:rPr>
              <w:t>810,000</w:t>
            </w:r>
          </w:p>
        </w:tc>
        <w:tc>
          <w:tcPr>
            <w:tcW w:w="1200" w:type="dxa"/>
            <w:vAlign w:val="bottom"/>
            <w:vMerge w:val="restart"/>
            <w:shd w:val="clear" w:color="auto" w:fill="CDDAE6"/>
          </w:tcPr>
          <w:p>
            <w:pPr>
              <w:jc w:val="right"/>
              <w:ind w:right="25"/>
              <w:spacing w:after="0"/>
              <w:rPr>
                <w:sz w:val="20"/>
                <w:szCs w:val="20"/>
                <w:color w:val="auto"/>
              </w:rPr>
            </w:pPr>
            <w:r>
              <w:rPr>
                <w:rFonts w:ascii="Arial" w:cs="Arial" w:eastAsia="Arial" w:hAnsi="Arial"/>
                <w:sz w:val="15"/>
                <w:szCs w:val="15"/>
                <w:color w:val="auto"/>
              </w:rPr>
              <w:t>250,000</w:t>
            </w:r>
          </w:p>
        </w:tc>
        <w:tc>
          <w:tcPr>
            <w:tcW w:w="1040" w:type="dxa"/>
            <w:vAlign w:val="bottom"/>
            <w:vMerge w:val="restart"/>
            <w:shd w:val="clear" w:color="auto" w:fill="CDDAE6"/>
          </w:tcPr>
          <w:p>
            <w:pPr>
              <w:jc w:val="right"/>
              <w:ind w:right="26"/>
              <w:spacing w:after="0"/>
              <w:rPr>
                <w:sz w:val="20"/>
                <w:szCs w:val="20"/>
                <w:color w:val="auto"/>
              </w:rPr>
            </w:pPr>
            <w:r>
              <w:rPr>
                <w:rFonts w:ascii="Arial" w:cs="Arial" w:eastAsia="Arial" w:hAnsi="Arial"/>
                <w:sz w:val="15"/>
                <w:szCs w:val="15"/>
                <w:color w:val="auto"/>
              </w:rPr>
              <w:t>47,382</w:t>
            </w:r>
          </w:p>
        </w:tc>
        <w:tc>
          <w:tcPr>
            <w:tcW w:w="1240" w:type="dxa"/>
            <w:vAlign w:val="bottom"/>
            <w:vMerge w:val="restart"/>
            <w:shd w:val="clear" w:color="auto" w:fill="CDDAE6"/>
          </w:tcPr>
          <w:p>
            <w:pPr>
              <w:jc w:val="right"/>
              <w:ind w:right="65"/>
              <w:spacing w:after="0"/>
              <w:rPr>
                <w:sz w:val="20"/>
                <w:szCs w:val="20"/>
                <w:color w:val="auto"/>
              </w:rPr>
            </w:pPr>
            <w:r>
              <w:rPr>
                <w:rFonts w:ascii="Arial" w:cs="Arial" w:eastAsia="Arial" w:hAnsi="Arial"/>
                <w:sz w:val="15"/>
                <w:szCs w:val="15"/>
                <w:color w:val="auto"/>
              </w:rPr>
              <w:t>67,409</w:t>
            </w:r>
          </w:p>
        </w:tc>
        <w:tc>
          <w:tcPr>
            <w:tcW w:w="900" w:type="dxa"/>
            <w:vAlign w:val="bottom"/>
            <w:vMerge w:val="restart"/>
            <w:shd w:val="clear" w:color="auto" w:fill="CDDAE6"/>
          </w:tcPr>
          <w:p>
            <w:pPr>
              <w:jc w:val="right"/>
              <w:ind w:right="5"/>
              <w:spacing w:after="0"/>
              <w:rPr>
                <w:sz w:val="20"/>
                <w:szCs w:val="20"/>
                <w:color w:val="auto"/>
              </w:rPr>
            </w:pPr>
            <w:r>
              <w:rPr>
                <w:rFonts w:ascii="Arial" w:cs="Arial" w:eastAsia="Arial" w:hAnsi="Arial"/>
                <w:sz w:val="15"/>
                <w:szCs w:val="15"/>
                <w:color w:val="auto"/>
              </w:rPr>
              <w:t>3,189,249</w:t>
            </w:r>
          </w:p>
        </w:tc>
        <w:tc>
          <w:tcPr>
            <w:tcW w:w="0" w:type="dxa"/>
            <w:vAlign w:val="bottom"/>
          </w:tcPr>
          <w:p>
            <w:pPr>
              <w:spacing w:after="0"/>
              <w:rPr>
                <w:sz w:val="1"/>
                <w:szCs w:val="1"/>
                <w:color w:val="auto"/>
              </w:rPr>
            </w:pPr>
          </w:p>
        </w:tc>
      </w:tr>
      <w:tr>
        <w:trPr>
          <w:trHeight w:val="162"/>
        </w:trPr>
        <w:tc>
          <w:tcPr>
            <w:tcW w:w="1980" w:type="dxa"/>
            <w:vAlign w:val="bottom"/>
          </w:tcPr>
          <w:p>
            <w:pPr>
              <w:ind w:left="300"/>
              <w:spacing w:after="0" w:line="162" w:lineRule="exact"/>
              <w:rPr>
                <w:sz w:val="20"/>
                <w:szCs w:val="20"/>
                <w:color w:val="auto"/>
              </w:rPr>
            </w:pPr>
            <w:r>
              <w:rPr>
                <w:rFonts w:ascii="Arial" w:cs="Arial" w:eastAsia="Arial" w:hAnsi="Arial"/>
                <w:sz w:val="15"/>
                <w:szCs w:val="15"/>
                <w:color w:val="auto"/>
              </w:rPr>
              <w:t>President of Corporate</w:t>
            </w:r>
          </w:p>
        </w:tc>
        <w:tc>
          <w:tcPr>
            <w:tcW w:w="700" w:type="dxa"/>
            <w:vAlign w:val="bottom"/>
            <w:gridSpan w:val="2"/>
            <w:vMerge w:val="continue"/>
            <w:shd w:val="clear" w:color="auto" w:fill="CDDAE6"/>
          </w:tcPr>
          <w:p>
            <w:pPr>
              <w:spacing w:after="0"/>
              <w:rPr>
                <w:sz w:val="14"/>
                <w:szCs w:val="14"/>
                <w:color w:val="auto"/>
              </w:rPr>
            </w:pPr>
          </w:p>
        </w:tc>
        <w:tc>
          <w:tcPr>
            <w:tcW w:w="780" w:type="dxa"/>
            <w:vAlign w:val="bottom"/>
            <w:vMerge w:val="continue"/>
            <w:shd w:val="clear" w:color="auto" w:fill="CDDAE6"/>
          </w:tcPr>
          <w:p>
            <w:pPr>
              <w:spacing w:after="0"/>
              <w:rPr>
                <w:sz w:val="14"/>
                <w:szCs w:val="14"/>
                <w:color w:val="auto"/>
              </w:rPr>
            </w:pPr>
          </w:p>
        </w:tc>
        <w:tc>
          <w:tcPr>
            <w:tcW w:w="880" w:type="dxa"/>
            <w:vAlign w:val="bottom"/>
            <w:vMerge w:val="continue"/>
            <w:shd w:val="clear" w:color="auto" w:fill="CDDAE6"/>
          </w:tcPr>
          <w:p>
            <w:pPr>
              <w:spacing w:after="0"/>
              <w:rPr>
                <w:sz w:val="14"/>
                <w:szCs w:val="14"/>
                <w:color w:val="auto"/>
              </w:rPr>
            </w:pPr>
          </w:p>
        </w:tc>
        <w:tc>
          <w:tcPr>
            <w:tcW w:w="840" w:type="dxa"/>
            <w:vAlign w:val="bottom"/>
            <w:vMerge w:val="continue"/>
            <w:shd w:val="clear" w:color="auto" w:fill="CDDAE6"/>
          </w:tcPr>
          <w:p>
            <w:pPr>
              <w:spacing w:after="0"/>
              <w:rPr>
                <w:sz w:val="14"/>
                <w:szCs w:val="14"/>
                <w:color w:val="auto"/>
              </w:rPr>
            </w:pPr>
          </w:p>
        </w:tc>
        <w:tc>
          <w:tcPr>
            <w:tcW w:w="1200" w:type="dxa"/>
            <w:vAlign w:val="bottom"/>
            <w:vMerge w:val="continue"/>
            <w:shd w:val="clear" w:color="auto" w:fill="CDDAE6"/>
          </w:tcPr>
          <w:p>
            <w:pPr>
              <w:spacing w:after="0"/>
              <w:rPr>
                <w:sz w:val="14"/>
                <w:szCs w:val="14"/>
                <w:color w:val="auto"/>
              </w:rPr>
            </w:pPr>
          </w:p>
        </w:tc>
        <w:tc>
          <w:tcPr>
            <w:tcW w:w="1040" w:type="dxa"/>
            <w:vAlign w:val="bottom"/>
            <w:vMerge w:val="continue"/>
            <w:shd w:val="clear" w:color="auto" w:fill="CDDAE6"/>
          </w:tcPr>
          <w:p>
            <w:pPr>
              <w:spacing w:after="0"/>
              <w:rPr>
                <w:sz w:val="14"/>
                <w:szCs w:val="14"/>
                <w:color w:val="auto"/>
              </w:rPr>
            </w:pPr>
          </w:p>
        </w:tc>
        <w:tc>
          <w:tcPr>
            <w:tcW w:w="1240" w:type="dxa"/>
            <w:vAlign w:val="bottom"/>
            <w:vMerge w:val="continue"/>
            <w:shd w:val="clear" w:color="auto" w:fill="CDDAE6"/>
          </w:tcPr>
          <w:p>
            <w:pPr>
              <w:spacing w:after="0"/>
              <w:rPr>
                <w:sz w:val="14"/>
                <w:szCs w:val="14"/>
                <w:color w:val="auto"/>
              </w:rPr>
            </w:pPr>
          </w:p>
        </w:tc>
        <w:tc>
          <w:tcPr>
            <w:tcW w:w="900" w:type="dxa"/>
            <w:vAlign w:val="bottom"/>
            <w:vMerge w:val="continue"/>
            <w:shd w:val="clear" w:color="auto" w:fill="CDDAE6"/>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980" w:type="dxa"/>
            <w:vAlign w:val="bottom"/>
            <w:vMerge w:val="restart"/>
          </w:tcPr>
          <w:p>
            <w:pPr>
              <w:ind w:left="300"/>
              <w:spacing w:after="0" w:line="160" w:lineRule="exact"/>
              <w:rPr>
                <w:sz w:val="20"/>
                <w:szCs w:val="20"/>
                <w:color w:val="auto"/>
              </w:rPr>
            </w:pPr>
            <w:r>
              <w:rPr>
                <w:rFonts w:ascii="Arial" w:cs="Arial" w:eastAsia="Arial" w:hAnsi="Arial"/>
                <w:sz w:val="15"/>
                <w:szCs w:val="15"/>
                <w:color w:val="auto"/>
              </w:rPr>
              <w:t>Strategy and</w:t>
            </w:r>
          </w:p>
        </w:tc>
        <w:tc>
          <w:tcPr>
            <w:tcW w:w="180" w:type="dxa"/>
            <w:vAlign w:val="bottom"/>
            <w:shd w:val="clear" w:color="auto" w:fill="CDDAE6"/>
          </w:tcPr>
          <w:p>
            <w:pPr>
              <w:spacing w:after="0"/>
              <w:rPr>
                <w:sz w:val="7"/>
                <w:szCs w:val="7"/>
                <w:color w:val="auto"/>
              </w:rPr>
            </w:pPr>
          </w:p>
        </w:tc>
        <w:tc>
          <w:tcPr>
            <w:tcW w:w="520" w:type="dxa"/>
            <w:vAlign w:val="bottom"/>
            <w:shd w:val="clear" w:color="auto" w:fill="CDDAE6"/>
          </w:tcPr>
          <w:p>
            <w:pPr>
              <w:spacing w:after="0"/>
              <w:rPr>
                <w:sz w:val="7"/>
                <w:szCs w:val="7"/>
                <w:color w:val="auto"/>
              </w:rPr>
            </w:pPr>
          </w:p>
        </w:tc>
        <w:tc>
          <w:tcPr>
            <w:tcW w:w="780" w:type="dxa"/>
            <w:vAlign w:val="bottom"/>
            <w:shd w:val="clear" w:color="auto" w:fill="CDDAE6"/>
          </w:tcPr>
          <w:p>
            <w:pPr>
              <w:spacing w:after="0"/>
              <w:rPr>
                <w:sz w:val="7"/>
                <w:szCs w:val="7"/>
                <w:color w:val="auto"/>
              </w:rPr>
            </w:pPr>
          </w:p>
        </w:tc>
        <w:tc>
          <w:tcPr>
            <w:tcW w:w="880" w:type="dxa"/>
            <w:vAlign w:val="bottom"/>
            <w:shd w:val="clear" w:color="auto" w:fill="CDDAE6"/>
          </w:tcPr>
          <w:p>
            <w:pPr>
              <w:spacing w:after="0"/>
              <w:rPr>
                <w:sz w:val="7"/>
                <w:szCs w:val="7"/>
                <w:color w:val="auto"/>
              </w:rPr>
            </w:pPr>
          </w:p>
        </w:tc>
        <w:tc>
          <w:tcPr>
            <w:tcW w:w="840" w:type="dxa"/>
            <w:vAlign w:val="bottom"/>
            <w:shd w:val="clear" w:color="auto" w:fill="CDDAE6"/>
          </w:tcPr>
          <w:p>
            <w:pPr>
              <w:spacing w:after="0"/>
              <w:rPr>
                <w:sz w:val="7"/>
                <w:szCs w:val="7"/>
                <w:color w:val="auto"/>
              </w:rPr>
            </w:pPr>
          </w:p>
        </w:tc>
        <w:tc>
          <w:tcPr>
            <w:tcW w:w="1200" w:type="dxa"/>
            <w:vAlign w:val="bottom"/>
            <w:shd w:val="clear" w:color="auto" w:fill="CDDAE6"/>
          </w:tcPr>
          <w:p>
            <w:pPr>
              <w:spacing w:after="0"/>
              <w:rPr>
                <w:sz w:val="7"/>
                <w:szCs w:val="7"/>
                <w:color w:val="auto"/>
              </w:rPr>
            </w:pPr>
          </w:p>
        </w:tc>
        <w:tc>
          <w:tcPr>
            <w:tcW w:w="1040" w:type="dxa"/>
            <w:vAlign w:val="bottom"/>
            <w:shd w:val="clear" w:color="auto" w:fill="CDDAE6"/>
          </w:tcPr>
          <w:p>
            <w:pPr>
              <w:spacing w:after="0"/>
              <w:rPr>
                <w:sz w:val="7"/>
                <w:szCs w:val="7"/>
                <w:color w:val="auto"/>
              </w:rPr>
            </w:pPr>
          </w:p>
        </w:tc>
        <w:tc>
          <w:tcPr>
            <w:tcW w:w="1240" w:type="dxa"/>
            <w:vAlign w:val="bottom"/>
            <w:shd w:val="clear" w:color="auto" w:fill="CDDAE6"/>
          </w:tcPr>
          <w:p>
            <w:pPr>
              <w:spacing w:after="0"/>
              <w:rPr>
                <w:sz w:val="7"/>
                <w:szCs w:val="7"/>
                <w:color w:val="auto"/>
              </w:rPr>
            </w:pPr>
          </w:p>
        </w:tc>
        <w:tc>
          <w:tcPr>
            <w:tcW w:w="900" w:type="dxa"/>
            <w:vAlign w:val="bottom"/>
            <w:shd w:val="clear" w:color="auto" w:fill="CDDAE6"/>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980" w:type="dxa"/>
            <w:vAlign w:val="bottom"/>
            <w:vMerge w:val="continue"/>
          </w:tcPr>
          <w:p>
            <w:pPr>
              <w:spacing w:after="0"/>
              <w:rPr>
                <w:sz w:val="6"/>
                <w:szCs w:val="6"/>
                <w:color w:val="auto"/>
              </w:rPr>
            </w:pPr>
          </w:p>
        </w:tc>
        <w:tc>
          <w:tcPr>
            <w:tcW w:w="700" w:type="dxa"/>
            <w:vAlign w:val="bottom"/>
            <w:gridSpan w:val="2"/>
            <w:vMerge w:val="restart"/>
          </w:tcPr>
          <w:p>
            <w:pPr>
              <w:jc w:val="right"/>
              <w:ind w:right="143"/>
              <w:spacing w:after="0"/>
              <w:rPr>
                <w:sz w:val="20"/>
                <w:szCs w:val="20"/>
                <w:color w:val="auto"/>
              </w:rPr>
            </w:pPr>
            <w:r>
              <w:rPr>
                <w:rFonts w:ascii="Arial" w:cs="Arial" w:eastAsia="Arial" w:hAnsi="Arial"/>
                <w:sz w:val="15"/>
                <w:szCs w:val="15"/>
                <w:color w:val="auto"/>
              </w:rPr>
              <w:t>2014</w:t>
            </w:r>
          </w:p>
        </w:tc>
        <w:tc>
          <w:tcPr>
            <w:tcW w:w="780" w:type="dxa"/>
            <w:vAlign w:val="bottom"/>
            <w:vMerge w:val="restart"/>
          </w:tcPr>
          <w:p>
            <w:pPr>
              <w:jc w:val="right"/>
              <w:ind w:right="44"/>
              <w:spacing w:after="0"/>
              <w:rPr>
                <w:sz w:val="20"/>
                <w:szCs w:val="20"/>
                <w:color w:val="auto"/>
              </w:rPr>
            </w:pPr>
            <w:r>
              <w:rPr>
                <w:rFonts w:ascii="Arial" w:cs="Arial" w:eastAsia="Arial" w:hAnsi="Arial"/>
                <w:sz w:val="15"/>
                <w:szCs w:val="15"/>
                <w:color w:val="auto"/>
              </w:rPr>
              <w:t>643,173</w:t>
            </w:r>
          </w:p>
        </w:tc>
        <w:tc>
          <w:tcPr>
            <w:tcW w:w="880" w:type="dxa"/>
            <w:vAlign w:val="bottom"/>
            <w:vMerge w:val="restart"/>
          </w:tcPr>
          <w:p>
            <w:pPr>
              <w:jc w:val="right"/>
              <w:ind w:right="45"/>
              <w:spacing w:after="0"/>
              <w:rPr>
                <w:sz w:val="20"/>
                <w:szCs w:val="20"/>
                <w:color w:val="auto"/>
              </w:rPr>
            </w:pPr>
            <w:r>
              <w:rPr>
                <w:rFonts w:ascii="Arial" w:cs="Arial" w:eastAsia="Arial" w:hAnsi="Arial"/>
                <w:sz w:val="15"/>
                <w:szCs w:val="15"/>
                <w:color w:val="auto"/>
              </w:rPr>
              <w:t>1,350,058</w:t>
            </w: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809,990</w:t>
            </w:r>
          </w:p>
        </w:tc>
        <w:tc>
          <w:tcPr>
            <w:tcW w:w="1200" w:type="dxa"/>
            <w:vAlign w:val="bottom"/>
            <w:vMerge w:val="restart"/>
          </w:tcPr>
          <w:p>
            <w:pPr>
              <w:jc w:val="right"/>
              <w:ind w:right="25"/>
              <w:spacing w:after="0"/>
              <w:rPr>
                <w:sz w:val="20"/>
                <w:szCs w:val="20"/>
                <w:color w:val="auto"/>
              </w:rPr>
            </w:pPr>
            <w:r>
              <w:rPr>
                <w:rFonts w:ascii="Arial" w:cs="Arial" w:eastAsia="Arial" w:hAnsi="Arial"/>
                <w:sz w:val="15"/>
                <w:szCs w:val="15"/>
                <w:color w:val="auto"/>
              </w:rPr>
              <w:t>333,900</w:t>
            </w:r>
          </w:p>
        </w:tc>
        <w:tc>
          <w:tcPr>
            <w:tcW w:w="1040" w:type="dxa"/>
            <w:vAlign w:val="bottom"/>
            <w:vMerge w:val="restart"/>
          </w:tcPr>
          <w:p>
            <w:pPr>
              <w:jc w:val="right"/>
              <w:ind w:right="26"/>
              <w:spacing w:after="0"/>
              <w:rPr>
                <w:sz w:val="20"/>
                <w:szCs w:val="20"/>
                <w:color w:val="auto"/>
              </w:rPr>
            </w:pPr>
            <w:r>
              <w:rPr>
                <w:rFonts w:ascii="Arial" w:cs="Arial" w:eastAsia="Arial" w:hAnsi="Arial"/>
                <w:sz w:val="15"/>
                <w:szCs w:val="15"/>
                <w:color w:val="auto"/>
              </w:rPr>
              <w:t>603,652</w:t>
            </w:r>
          </w:p>
        </w:tc>
        <w:tc>
          <w:tcPr>
            <w:tcW w:w="1240" w:type="dxa"/>
            <w:vAlign w:val="bottom"/>
            <w:vMerge w:val="restart"/>
          </w:tcPr>
          <w:p>
            <w:pPr>
              <w:jc w:val="right"/>
              <w:ind w:right="65"/>
              <w:spacing w:after="0"/>
              <w:rPr>
                <w:sz w:val="20"/>
                <w:szCs w:val="20"/>
                <w:color w:val="auto"/>
              </w:rPr>
            </w:pPr>
            <w:r>
              <w:rPr>
                <w:rFonts w:ascii="Arial" w:cs="Arial" w:eastAsia="Arial" w:hAnsi="Arial"/>
                <w:sz w:val="15"/>
                <w:szCs w:val="15"/>
                <w:color w:val="auto"/>
              </w:rPr>
              <w:t>64,682</w:t>
            </w:r>
          </w:p>
        </w:tc>
        <w:tc>
          <w:tcPr>
            <w:tcW w:w="900" w:type="dxa"/>
            <w:vAlign w:val="bottom"/>
            <w:vMerge w:val="restart"/>
          </w:tcPr>
          <w:p>
            <w:pPr>
              <w:jc w:val="right"/>
              <w:ind w:right="5"/>
              <w:spacing w:after="0"/>
              <w:rPr>
                <w:sz w:val="20"/>
                <w:szCs w:val="20"/>
                <w:color w:val="auto"/>
              </w:rPr>
            </w:pPr>
            <w:r>
              <w:rPr>
                <w:rFonts w:ascii="Arial" w:cs="Arial" w:eastAsia="Arial" w:hAnsi="Arial"/>
                <w:sz w:val="15"/>
                <w:szCs w:val="15"/>
                <w:color w:val="auto"/>
              </w:rPr>
              <w:t>3,805,455</w:t>
            </w:r>
          </w:p>
        </w:tc>
        <w:tc>
          <w:tcPr>
            <w:tcW w:w="0" w:type="dxa"/>
            <w:vAlign w:val="bottom"/>
          </w:tcPr>
          <w:p>
            <w:pPr>
              <w:spacing w:after="0"/>
              <w:rPr>
                <w:sz w:val="1"/>
                <w:szCs w:val="1"/>
                <w:color w:val="auto"/>
              </w:rPr>
            </w:pPr>
          </w:p>
        </w:tc>
      </w:tr>
      <w:tr>
        <w:trPr>
          <w:trHeight w:val="116"/>
        </w:trPr>
        <w:tc>
          <w:tcPr>
            <w:tcW w:w="1980" w:type="dxa"/>
            <w:vAlign w:val="bottom"/>
            <w:vMerge w:val="restart"/>
          </w:tcPr>
          <w:p>
            <w:pPr>
              <w:ind w:left="300"/>
              <w:spacing w:after="0" w:line="218" w:lineRule="exact"/>
              <w:rPr>
                <w:sz w:val="20"/>
                <w:szCs w:val="20"/>
                <w:color w:val="auto"/>
              </w:rPr>
            </w:pPr>
            <w:r>
              <w:rPr>
                <w:rFonts w:ascii="Arial" w:cs="Arial" w:eastAsia="Arial" w:hAnsi="Arial"/>
                <w:sz w:val="15"/>
                <w:szCs w:val="15"/>
                <w:color w:val="auto"/>
              </w:rPr>
              <w:t>Development)</w:t>
            </w:r>
            <w:r>
              <w:rPr>
                <w:rFonts w:ascii="Arial" w:cs="Arial" w:eastAsia="Arial" w:hAnsi="Arial"/>
                <w:sz w:val="25"/>
                <w:szCs w:val="25"/>
                <w:color w:val="auto"/>
                <w:vertAlign w:val="superscript"/>
              </w:rPr>
              <w:t>(8)</w:t>
            </w:r>
          </w:p>
        </w:tc>
        <w:tc>
          <w:tcPr>
            <w:tcW w:w="70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9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DDAE6"/>
          </w:tcPr>
          <w:p>
            <w:pPr>
              <w:ind w:left="20"/>
              <w:spacing w:after="0" w:line="162" w:lineRule="exact"/>
              <w:rPr>
                <w:sz w:val="20"/>
                <w:szCs w:val="20"/>
                <w:color w:val="auto"/>
              </w:rPr>
            </w:pPr>
            <w:r>
              <w:rPr>
                <w:rFonts w:ascii="Arial" w:cs="Arial" w:eastAsia="Arial" w:hAnsi="Arial"/>
                <w:sz w:val="15"/>
                <w:szCs w:val="15"/>
                <w:color w:val="auto"/>
              </w:rPr>
              <w:t>Steve Kantor</w:t>
            </w:r>
          </w:p>
        </w:tc>
        <w:tc>
          <w:tcPr>
            <w:tcW w:w="180" w:type="dxa"/>
            <w:vAlign w:val="bottom"/>
            <w:shd w:val="clear" w:color="auto" w:fill="CDDAE6"/>
          </w:tcPr>
          <w:p>
            <w:pPr>
              <w:spacing w:after="0"/>
              <w:rPr>
                <w:sz w:val="14"/>
                <w:szCs w:val="14"/>
                <w:color w:val="auto"/>
              </w:rPr>
            </w:pPr>
          </w:p>
        </w:tc>
        <w:tc>
          <w:tcPr>
            <w:tcW w:w="520" w:type="dxa"/>
            <w:vAlign w:val="bottom"/>
            <w:shd w:val="clear" w:color="auto" w:fill="CDDAE6"/>
          </w:tcPr>
          <w:p>
            <w:pPr>
              <w:jc w:val="right"/>
              <w:ind w:right="143"/>
              <w:spacing w:after="0" w:line="162" w:lineRule="exact"/>
              <w:rPr>
                <w:sz w:val="20"/>
                <w:szCs w:val="20"/>
                <w:color w:val="auto"/>
              </w:rPr>
            </w:pPr>
            <w:r>
              <w:rPr>
                <w:rFonts w:ascii="Arial" w:cs="Arial" w:eastAsia="Arial" w:hAnsi="Arial"/>
                <w:sz w:val="15"/>
                <w:szCs w:val="15"/>
                <w:color w:val="auto"/>
                <w:w w:val="83"/>
              </w:rPr>
              <w:t>2016</w:t>
            </w:r>
          </w:p>
        </w:tc>
        <w:tc>
          <w:tcPr>
            <w:tcW w:w="780" w:type="dxa"/>
            <w:vAlign w:val="bottom"/>
            <w:shd w:val="clear" w:color="auto" w:fill="CDDAE6"/>
          </w:tcPr>
          <w:p>
            <w:pPr>
              <w:jc w:val="right"/>
              <w:ind w:right="44"/>
              <w:spacing w:after="0" w:line="162" w:lineRule="exact"/>
              <w:rPr>
                <w:sz w:val="20"/>
                <w:szCs w:val="20"/>
                <w:color w:val="auto"/>
              </w:rPr>
            </w:pPr>
            <w:r>
              <w:rPr>
                <w:rFonts w:ascii="Arial" w:cs="Arial" w:eastAsia="Arial" w:hAnsi="Arial"/>
                <w:sz w:val="15"/>
                <w:szCs w:val="15"/>
                <w:color w:val="auto"/>
              </w:rPr>
              <w:t>702,015</w:t>
            </w:r>
          </w:p>
        </w:tc>
        <w:tc>
          <w:tcPr>
            <w:tcW w:w="880" w:type="dxa"/>
            <w:vAlign w:val="bottom"/>
            <w:shd w:val="clear" w:color="auto" w:fill="CDDAE6"/>
          </w:tcPr>
          <w:p>
            <w:pPr>
              <w:jc w:val="right"/>
              <w:ind w:right="45"/>
              <w:spacing w:after="0" w:line="162" w:lineRule="exact"/>
              <w:rPr>
                <w:sz w:val="20"/>
                <w:szCs w:val="20"/>
                <w:color w:val="auto"/>
              </w:rPr>
            </w:pPr>
            <w:r>
              <w:rPr>
                <w:rFonts w:ascii="Arial" w:cs="Arial" w:eastAsia="Arial" w:hAnsi="Arial"/>
                <w:sz w:val="15"/>
                <w:szCs w:val="15"/>
                <w:color w:val="auto"/>
              </w:rPr>
              <w:t>825,020</w:t>
            </w:r>
          </w:p>
        </w:tc>
        <w:tc>
          <w:tcPr>
            <w:tcW w:w="840" w:type="dxa"/>
            <w:vAlign w:val="bottom"/>
            <w:shd w:val="clear" w:color="auto" w:fill="CDDAE6"/>
          </w:tcPr>
          <w:p>
            <w:pPr>
              <w:jc w:val="right"/>
              <w:ind w:right="5"/>
              <w:spacing w:after="0" w:line="162" w:lineRule="exact"/>
              <w:rPr>
                <w:sz w:val="20"/>
                <w:szCs w:val="20"/>
                <w:color w:val="auto"/>
              </w:rPr>
            </w:pPr>
            <w:r>
              <w:rPr>
                <w:rFonts w:ascii="Arial" w:cs="Arial" w:eastAsia="Arial" w:hAnsi="Arial"/>
                <w:sz w:val="15"/>
                <w:szCs w:val="15"/>
                <w:color w:val="auto"/>
              </w:rPr>
              <w:t>495,004</w:t>
            </w:r>
          </w:p>
        </w:tc>
        <w:tc>
          <w:tcPr>
            <w:tcW w:w="1200" w:type="dxa"/>
            <w:vAlign w:val="bottom"/>
            <w:shd w:val="clear" w:color="auto" w:fill="CDDAE6"/>
          </w:tcPr>
          <w:p>
            <w:pPr>
              <w:jc w:val="right"/>
              <w:ind w:right="25"/>
              <w:spacing w:after="0" w:line="162" w:lineRule="exact"/>
              <w:rPr>
                <w:sz w:val="20"/>
                <w:szCs w:val="20"/>
                <w:color w:val="auto"/>
              </w:rPr>
            </w:pPr>
            <w:r>
              <w:rPr>
                <w:rFonts w:ascii="Arial" w:cs="Arial" w:eastAsia="Arial" w:hAnsi="Arial"/>
                <w:sz w:val="15"/>
                <w:szCs w:val="15"/>
                <w:color w:val="auto"/>
              </w:rPr>
              <w:t>1,202,000</w:t>
            </w:r>
          </w:p>
        </w:tc>
        <w:tc>
          <w:tcPr>
            <w:tcW w:w="1040" w:type="dxa"/>
            <w:vAlign w:val="bottom"/>
            <w:shd w:val="clear" w:color="auto" w:fill="CDDAE6"/>
          </w:tcPr>
          <w:p>
            <w:pPr>
              <w:jc w:val="right"/>
              <w:ind w:right="26"/>
              <w:spacing w:after="0" w:line="162" w:lineRule="exact"/>
              <w:rPr>
                <w:sz w:val="20"/>
                <w:szCs w:val="20"/>
                <w:color w:val="auto"/>
              </w:rPr>
            </w:pPr>
            <w:r>
              <w:rPr>
                <w:rFonts w:ascii="Arial" w:cs="Arial" w:eastAsia="Arial" w:hAnsi="Arial"/>
                <w:sz w:val="15"/>
                <w:szCs w:val="15"/>
                <w:color w:val="auto"/>
              </w:rPr>
              <w:t>452,731</w:t>
            </w:r>
          </w:p>
        </w:tc>
        <w:tc>
          <w:tcPr>
            <w:tcW w:w="1240" w:type="dxa"/>
            <w:vAlign w:val="bottom"/>
            <w:shd w:val="clear" w:color="auto" w:fill="CDDAE6"/>
          </w:tcPr>
          <w:p>
            <w:pPr>
              <w:jc w:val="right"/>
              <w:ind w:right="65"/>
              <w:spacing w:after="0" w:line="162" w:lineRule="exact"/>
              <w:rPr>
                <w:sz w:val="20"/>
                <w:szCs w:val="20"/>
                <w:color w:val="auto"/>
              </w:rPr>
            </w:pPr>
            <w:r>
              <w:rPr>
                <w:rFonts w:ascii="Arial" w:cs="Arial" w:eastAsia="Arial" w:hAnsi="Arial"/>
                <w:sz w:val="15"/>
                <w:szCs w:val="15"/>
                <w:color w:val="auto"/>
              </w:rPr>
              <w:t>71,416</w:t>
            </w:r>
          </w:p>
        </w:tc>
        <w:tc>
          <w:tcPr>
            <w:tcW w:w="900" w:type="dxa"/>
            <w:vAlign w:val="bottom"/>
            <w:shd w:val="clear" w:color="auto" w:fill="CDDAE6"/>
          </w:tcPr>
          <w:p>
            <w:pPr>
              <w:jc w:val="right"/>
              <w:ind w:right="5"/>
              <w:spacing w:after="0" w:line="162" w:lineRule="exact"/>
              <w:rPr>
                <w:sz w:val="20"/>
                <w:szCs w:val="20"/>
                <w:color w:val="auto"/>
              </w:rPr>
            </w:pPr>
            <w:r>
              <w:rPr>
                <w:rFonts w:ascii="Arial" w:cs="Arial" w:eastAsia="Arial" w:hAnsi="Arial"/>
                <w:sz w:val="15"/>
                <w:szCs w:val="15"/>
                <w:color w:val="auto"/>
              </w:rPr>
              <w:t>3,748,186</w:t>
            </w:r>
          </w:p>
        </w:tc>
        <w:tc>
          <w:tcPr>
            <w:tcW w:w="0" w:type="dxa"/>
            <w:vAlign w:val="bottom"/>
          </w:tcPr>
          <w:p>
            <w:pPr>
              <w:spacing w:after="0"/>
              <w:rPr>
                <w:sz w:val="1"/>
                <w:szCs w:val="1"/>
                <w:color w:val="auto"/>
              </w:rPr>
            </w:pPr>
          </w:p>
        </w:tc>
      </w:tr>
      <w:tr>
        <w:trPr>
          <w:trHeight w:val="162"/>
        </w:trPr>
        <w:tc>
          <w:tcPr>
            <w:tcW w:w="1980" w:type="dxa"/>
            <w:vAlign w:val="bottom"/>
            <w:shd w:val="clear" w:color="auto" w:fill="CDDAE6"/>
          </w:tcPr>
          <w:p>
            <w:pPr>
              <w:ind w:left="300"/>
              <w:spacing w:after="0" w:line="162" w:lineRule="exact"/>
              <w:rPr>
                <w:sz w:val="20"/>
                <w:szCs w:val="20"/>
                <w:color w:val="auto"/>
              </w:rPr>
            </w:pPr>
            <w:r>
              <w:rPr>
                <w:rFonts w:ascii="Arial" w:cs="Arial" w:eastAsia="Arial" w:hAnsi="Arial"/>
                <w:sz w:val="15"/>
                <w:szCs w:val="15"/>
                <w:color w:val="auto"/>
              </w:rPr>
              <w:t>(Former Senior Vice</w:t>
            </w:r>
          </w:p>
        </w:tc>
        <w:tc>
          <w:tcPr>
            <w:tcW w:w="180" w:type="dxa"/>
            <w:vAlign w:val="bottom"/>
            <w:shd w:val="clear" w:color="auto" w:fill="CDDAE6"/>
          </w:tcPr>
          <w:p>
            <w:pPr>
              <w:spacing w:after="0"/>
              <w:rPr>
                <w:sz w:val="14"/>
                <w:szCs w:val="14"/>
                <w:color w:val="auto"/>
              </w:rPr>
            </w:pPr>
          </w:p>
        </w:tc>
        <w:tc>
          <w:tcPr>
            <w:tcW w:w="520" w:type="dxa"/>
            <w:vAlign w:val="bottom"/>
            <w:vMerge w:val="restart"/>
            <w:shd w:val="clear" w:color="auto" w:fill="CDDAE6"/>
          </w:tcPr>
          <w:p>
            <w:pPr>
              <w:jc w:val="right"/>
              <w:ind w:right="143"/>
              <w:spacing w:after="0"/>
              <w:rPr>
                <w:sz w:val="20"/>
                <w:szCs w:val="20"/>
                <w:color w:val="auto"/>
              </w:rPr>
            </w:pPr>
            <w:r>
              <w:rPr>
                <w:rFonts w:ascii="Arial" w:cs="Arial" w:eastAsia="Arial" w:hAnsi="Arial"/>
                <w:sz w:val="15"/>
                <w:szCs w:val="15"/>
                <w:color w:val="auto"/>
                <w:w w:val="83"/>
              </w:rPr>
              <w:t>2015</w:t>
            </w:r>
          </w:p>
        </w:tc>
        <w:tc>
          <w:tcPr>
            <w:tcW w:w="780" w:type="dxa"/>
            <w:vAlign w:val="bottom"/>
            <w:vMerge w:val="restart"/>
            <w:shd w:val="clear" w:color="auto" w:fill="CDDAE6"/>
          </w:tcPr>
          <w:p>
            <w:pPr>
              <w:jc w:val="right"/>
              <w:ind w:right="44"/>
              <w:spacing w:after="0"/>
              <w:rPr>
                <w:sz w:val="20"/>
                <w:szCs w:val="20"/>
                <w:color w:val="auto"/>
              </w:rPr>
            </w:pPr>
            <w:r>
              <w:rPr>
                <w:rFonts w:ascii="Arial" w:cs="Arial" w:eastAsia="Arial" w:hAnsi="Arial"/>
                <w:sz w:val="15"/>
                <w:szCs w:val="15"/>
                <w:color w:val="auto"/>
              </w:rPr>
              <w:t>686,461</w:t>
            </w:r>
          </w:p>
        </w:tc>
        <w:tc>
          <w:tcPr>
            <w:tcW w:w="880" w:type="dxa"/>
            <w:vAlign w:val="bottom"/>
            <w:vMerge w:val="restart"/>
            <w:shd w:val="clear" w:color="auto" w:fill="CDDAE6"/>
          </w:tcPr>
          <w:p>
            <w:pPr>
              <w:jc w:val="right"/>
              <w:ind w:right="45"/>
              <w:spacing w:after="0"/>
              <w:rPr>
                <w:sz w:val="20"/>
                <w:szCs w:val="20"/>
                <w:color w:val="auto"/>
              </w:rPr>
            </w:pPr>
            <w:r>
              <w:rPr>
                <w:rFonts w:ascii="Arial" w:cs="Arial" w:eastAsia="Arial" w:hAnsi="Arial"/>
                <w:sz w:val="15"/>
                <w:szCs w:val="15"/>
                <w:color w:val="auto"/>
              </w:rPr>
              <w:t>824,998</w:t>
            </w:r>
          </w:p>
        </w:tc>
        <w:tc>
          <w:tcPr>
            <w:tcW w:w="840" w:type="dxa"/>
            <w:vAlign w:val="bottom"/>
            <w:vMerge w:val="restart"/>
            <w:shd w:val="clear" w:color="auto" w:fill="CDDAE6"/>
          </w:tcPr>
          <w:p>
            <w:pPr>
              <w:jc w:val="right"/>
              <w:ind w:right="5"/>
              <w:spacing w:after="0"/>
              <w:rPr>
                <w:sz w:val="20"/>
                <w:szCs w:val="20"/>
                <w:color w:val="auto"/>
              </w:rPr>
            </w:pPr>
            <w:r>
              <w:rPr>
                <w:rFonts w:ascii="Arial" w:cs="Arial" w:eastAsia="Arial" w:hAnsi="Arial"/>
                <w:sz w:val="15"/>
                <w:szCs w:val="15"/>
                <w:color w:val="auto"/>
              </w:rPr>
              <w:t>495,001</w:t>
            </w:r>
          </w:p>
        </w:tc>
        <w:tc>
          <w:tcPr>
            <w:tcW w:w="1200" w:type="dxa"/>
            <w:vAlign w:val="bottom"/>
            <w:vMerge w:val="restart"/>
            <w:shd w:val="clear" w:color="auto" w:fill="CDDAE6"/>
          </w:tcPr>
          <w:p>
            <w:pPr>
              <w:jc w:val="right"/>
              <w:ind w:right="25"/>
              <w:spacing w:after="0"/>
              <w:rPr>
                <w:sz w:val="20"/>
                <w:szCs w:val="20"/>
                <w:color w:val="auto"/>
              </w:rPr>
            </w:pPr>
            <w:r>
              <w:rPr>
                <w:rFonts w:ascii="Arial" w:cs="Arial" w:eastAsia="Arial" w:hAnsi="Arial"/>
                <w:sz w:val="15"/>
                <w:szCs w:val="15"/>
                <w:color w:val="auto"/>
              </w:rPr>
              <w:t>880,000</w:t>
            </w:r>
          </w:p>
        </w:tc>
        <w:tc>
          <w:tcPr>
            <w:tcW w:w="1040" w:type="dxa"/>
            <w:vAlign w:val="bottom"/>
            <w:vMerge w:val="restart"/>
            <w:shd w:val="clear" w:color="auto" w:fill="CDDAE6"/>
          </w:tcPr>
          <w:p>
            <w:pPr>
              <w:jc w:val="right"/>
              <w:ind w:right="26"/>
              <w:spacing w:after="0"/>
              <w:rPr>
                <w:sz w:val="20"/>
                <w:szCs w:val="20"/>
                <w:color w:val="auto"/>
              </w:rPr>
            </w:pPr>
            <w:r>
              <w:rPr>
                <w:rFonts w:ascii="Arial" w:cs="Arial" w:eastAsia="Arial" w:hAnsi="Arial"/>
                <w:sz w:val="15"/>
                <w:szCs w:val="15"/>
                <w:color w:val="auto"/>
              </w:rPr>
              <w:t>172,222</w:t>
            </w:r>
          </w:p>
        </w:tc>
        <w:tc>
          <w:tcPr>
            <w:tcW w:w="1240" w:type="dxa"/>
            <w:vAlign w:val="bottom"/>
            <w:vMerge w:val="restart"/>
            <w:shd w:val="clear" w:color="auto" w:fill="CDDAE6"/>
          </w:tcPr>
          <w:p>
            <w:pPr>
              <w:jc w:val="right"/>
              <w:ind w:right="65"/>
              <w:spacing w:after="0"/>
              <w:rPr>
                <w:sz w:val="20"/>
                <w:szCs w:val="20"/>
                <w:color w:val="auto"/>
              </w:rPr>
            </w:pPr>
            <w:r>
              <w:rPr>
                <w:rFonts w:ascii="Arial" w:cs="Arial" w:eastAsia="Arial" w:hAnsi="Arial"/>
                <w:sz w:val="15"/>
                <w:szCs w:val="15"/>
                <w:color w:val="auto"/>
              </w:rPr>
              <w:t>81,053</w:t>
            </w:r>
          </w:p>
        </w:tc>
        <w:tc>
          <w:tcPr>
            <w:tcW w:w="900" w:type="dxa"/>
            <w:vAlign w:val="bottom"/>
            <w:vMerge w:val="restart"/>
            <w:shd w:val="clear" w:color="auto" w:fill="CDDAE6"/>
          </w:tcPr>
          <w:p>
            <w:pPr>
              <w:jc w:val="right"/>
              <w:ind w:right="5"/>
              <w:spacing w:after="0"/>
              <w:rPr>
                <w:sz w:val="20"/>
                <w:szCs w:val="20"/>
                <w:color w:val="auto"/>
              </w:rPr>
            </w:pPr>
            <w:r>
              <w:rPr>
                <w:rFonts w:ascii="Arial" w:cs="Arial" w:eastAsia="Arial" w:hAnsi="Arial"/>
                <w:sz w:val="15"/>
                <w:szCs w:val="15"/>
                <w:color w:val="auto"/>
              </w:rPr>
              <w:t>3,139,735</w:t>
            </w:r>
          </w:p>
        </w:tc>
        <w:tc>
          <w:tcPr>
            <w:tcW w:w="0" w:type="dxa"/>
            <w:vAlign w:val="bottom"/>
          </w:tcPr>
          <w:p>
            <w:pPr>
              <w:spacing w:after="0"/>
              <w:rPr>
                <w:sz w:val="1"/>
                <w:szCs w:val="1"/>
                <w:color w:val="auto"/>
              </w:rPr>
            </w:pPr>
          </w:p>
        </w:tc>
      </w:tr>
      <w:tr>
        <w:trPr>
          <w:trHeight w:val="162"/>
        </w:trPr>
        <w:tc>
          <w:tcPr>
            <w:tcW w:w="1980" w:type="dxa"/>
            <w:vAlign w:val="bottom"/>
            <w:shd w:val="clear" w:color="auto" w:fill="CDDAE6"/>
          </w:tcPr>
          <w:p>
            <w:pPr>
              <w:ind w:left="300"/>
              <w:spacing w:after="0" w:line="162" w:lineRule="exact"/>
              <w:rPr>
                <w:sz w:val="20"/>
                <w:szCs w:val="20"/>
                <w:color w:val="auto"/>
              </w:rPr>
            </w:pPr>
            <w:r>
              <w:rPr>
                <w:rFonts w:ascii="Arial" w:cs="Arial" w:eastAsia="Arial" w:hAnsi="Arial"/>
                <w:sz w:val="15"/>
                <w:szCs w:val="15"/>
                <w:color w:val="auto"/>
              </w:rPr>
              <w:t>President</w:t>
            </w:r>
          </w:p>
        </w:tc>
        <w:tc>
          <w:tcPr>
            <w:tcW w:w="180" w:type="dxa"/>
            <w:vAlign w:val="bottom"/>
            <w:shd w:val="clear" w:color="auto" w:fill="CDDAE6"/>
          </w:tcPr>
          <w:p>
            <w:pPr>
              <w:spacing w:after="0"/>
              <w:rPr>
                <w:sz w:val="14"/>
                <w:szCs w:val="14"/>
                <w:color w:val="auto"/>
              </w:rPr>
            </w:pPr>
          </w:p>
        </w:tc>
        <w:tc>
          <w:tcPr>
            <w:tcW w:w="520" w:type="dxa"/>
            <w:vAlign w:val="bottom"/>
            <w:vMerge w:val="continue"/>
            <w:shd w:val="clear" w:color="auto" w:fill="CDDAE6"/>
          </w:tcPr>
          <w:p>
            <w:pPr>
              <w:spacing w:after="0"/>
              <w:rPr>
                <w:sz w:val="14"/>
                <w:szCs w:val="14"/>
                <w:color w:val="auto"/>
              </w:rPr>
            </w:pPr>
          </w:p>
        </w:tc>
        <w:tc>
          <w:tcPr>
            <w:tcW w:w="780" w:type="dxa"/>
            <w:vAlign w:val="bottom"/>
            <w:vMerge w:val="continue"/>
            <w:shd w:val="clear" w:color="auto" w:fill="CDDAE6"/>
          </w:tcPr>
          <w:p>
            <w:pPr>
              <w:spacing w:after="0"/>
              <w:rPr>
                <w:sz w:val="14"/>
                <w:szCs w:val="14"/>
                <w:color w:val="auto"/>
              </w:rPr>
            </w:pPr>
          </w:p>
        </w:tc>
        <w:tc>
          <w:tcPr>
            <w:tcW w:w="880" w:type="dxa"/>
            <w:vAlign w:val="bottom"/>
            <w:vMerge w:val="continue"/>
            <w:shd w:val="clear" w:color="auto" w:fill="CDDAE6"/>
          </w:tcPr>
          <w:p>
            <w:pPr>
              <w:spacing w:after="0"/>
              <w:rPr>
                <w:sz w:val="14"/>
                <w:szCs w:val="14"/>
                <w:color w:val="auto"/>
              </w:rPr>
            </w:pPr>
          </w:p>
        </w:tc>
        <w:tc>
          <w:tcPr>
            <w:tcW w:w="840" w:type="dxa"/>
            <w:vAlign w:val="bottom"/>
            <w:vMerge w:val="continue"/>
            <w:shd w:val="clear" w:color="auto" w:fill="CDDAE6"/>
          </w:tcPr>
          <w:p>
            <w:pPr>
              <w:spacing w:after="0"/>
              <w:rPr>
                <w:sz w:val="14"/>
                <w:szCs w:val="14"/>
                <w:color w:val="auto"/>
              </w:rPr>
            </w:pPr>
          </w:p>
        </w:tc>
        <w:tc>
          <w:tcPr>
            <w:tcW w:w="1200" w:type="dxa"/>
            <w:vAlign w:val="bottom"/>
            <w:vMerge w:val="continue"/>
            <w:shd w:val="clear" w:color="auto" w:fill="CDDAE6"/>
          </w:tcPr>
          <w:p>
            <w:pPr>
              <w:spacing w:after="0"/>
              <w:rPr>
                <w:sz w:val="14"/>
                <w:szCs w:val="14"/>
                <w:color w:val="auto"/>
              </w:rPr>
            </w:pPr>
          </w:p>
        </w:tc>
        <w:tc>
          <w:tcPr>
            <w:tcW w:w="1040" w:type="dxa"/>
            <w:vAlign w:val="bottom"/>
            <w:vMerge w:val="continue"/>
            <w:shd w:val="clear" w:color="auto" w:fill="CDDAE6"/>
          </w:tcPr>
          <w:p>
            <w:pPr>
              <w:spacing w:after="0"/>
              <w:rPr>
                <w:sz w:val="14"/>
                <w:szCs w:val="14"/>
                <w:color w:val="auto"/>
              </w:rPr>
            </w:pPr>
          </w:p>
        </w:tc>
        <w:tc>
          <w:tcPr>
            <w:tcW w:w="1240" w:type="dxa"/>
            <w:vAlign w:val="bottom"/>
            <w:vMerge w:val="continue"/>
            <w:shd w:val="clear" w:color="auto" w:fill="CDDAE6"/>
          </w:tcPr>
          <w:p>
            <w:pPr>
              <w:spacing w:after="0"/>
              <w:rPr>
                <w:sz w:val="14"/>
                <w:szCs w:val="14"/>
                <w:color w:val="auto"/>
              </w:rPr>
            </w:pPr>
          </w:p>
        </w:tc>
        <w:tc>
          <w:tcPr>
            <w:tcW w:w="900" w:type="dxa"/>
            <w:vAlign w:val="bottom"/>
            <w:vMerge w:val="continue"/>
            <w:shd w:val="clear" w:color="auto" w:fill="CDDAE6"/>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980" w:type="dxa"/>
            <w:vAlign w:val="bottom"/>
            <w:shd w:val="clear" w:color="auto" w:fill="CDDAE6"/>
          </w:tcPr>
          <w:p>
            <w:pPr>
              <w:ind w:left="300"/>
              <w:spacing w:after="0" w:line="160" w:lineRule="exact"/>
              <w:rPr>
                <w:sz w:val="20"/>
                <w:szCs w:val="20"/>
                <w:color w:val="auto"/>
              </w:rPr>
            </w:pPr>
            <w:r>
              <w:rPr>
                <w:rFonts w:ascii="Arial" w:cs="Arial" w:eastAsia="Arial" w:hAnsi="Arial"/>
                <w:sz w:val="15"/>
                <w:szCs w:val="15"/>
                <w:color w:val="auto"/>
              </w:rPr>
              <w:t>and President of</w:t>
            </w:r>
          </w:p>
        </w:tc>
        <w:tc>
          <w:tcPr>
            <w:tcW w:w="180" w:type="dxa"/>
            <w:vAlign w:val="bottom"/>
            <w:shd w:val="clear" w:color="auto" w:fill="CDDAE6"/>
          </w:tcPr>
          <w:p>
            <w:pPr>
              <w:spacing w:after="0"/>
              <w:rPr>
                <w:sz w:val="13"/>
                <w:szCs w:val="13"/>
                <w:color w:val="auto"/>
              </w:rPr>
            </w:pPr>
          </w:p>
        </w:tc>
        <w:tc>
          <w:tcPr>
            <w:tcW w:w="520" w:type="dxa"/>
            <w:vAlign w:val="bottom"/>
            <w:vMerge w:val="restart"/>
            <w:shd w:val="clear" w:color="auto" w:fill="CDDAE6"/>
          </w:tcPr>
          <w:p>
            <w:pPr>
              <w:jc w:val="right"/>
              <w:ind w:right="143"/>
              <w:spacing w:after="0"/>
              <w:rPr>
                <w:sz w:val="20"/>
                <w:szCs w:val="20"/>
                <w:color w:val="auto"/>
              </w:rPr>
            </w:pPr>
            <w:r>
              <w:rPr>
                <w:rFonts w:ascii="Arial" w:cs="Arial" w:eastAsia="Arial" w:hAnsi="Arial"/>
                <w:sz w:val="15"/>
                <w:szCs w:val="15"/>
                <w:color w:val="auto"/>
                <w:w w:val="83"/>
              </w:rPr>
              <w:t>2014</w:t>
            </w:r>
          </w:p>
        </w:tc>
        <w:tc>
          <w:tcPr>
            <w:tcW w:w="780" w:type="dxa"/>
            <w:vAlign w:val="bottom"/>
            <w:vMerge w:val="restart"/>
            <w:shd w:val="clear" w:color="auto" w:fill="CDDAE6"/>
          </w:tcPr>
          <w:p>
            <w:pPr>
              <w:jc w:val="right"/>
              <w:ind w:right="44"/>
              <w:spacing w:after="0"/>
              <w:rPr>
                <w:sz w:val="20"/>
                <w:szCs w:val="20"/>
                <w:color w:val="auto"/>
              </w:rPr>
            </w:pPr>
            <w:r>
              <w:rPr>
                <w:rFonts w:ascii="Arial" w:cs="Arial" w:eastAsia="Arial" w:hAnsi="Arial"/>
                <w:sz w:val="15"/>
                <w:szCs w:val="15"/>
                <w:color w:val="auto"/>
              </w:rPr>
              <w:t>666,538</w:t>
            </w:r>
          </w:p>
        </w:tc>
        <w:tc>
          <w:tcPr>
            <w:tcW w:w="880" w:type="dxa"/>
            <w:vAlign w:val="bottom"/>
            <w:vMerge w:val="restart"/>
            <w:shd w:val="clear" w:color="auto" w:fill="CDDAE6"/>
          </w:tcPr>
          <w:p>
            <w:pPr>
              <w:jc w:val="right"/>
              <w:ind w:right="45"/>
              <w:spacing w:after="0"/>
              <w:rPr>
                <w:sz w:val="20"/>
                <w:szCs w:val="20"/>
                <w:color w:val="auto"/>
              </w:rPr>
            </w:pPr>
            <w:r>
              <w:rPr>
                <w:rFonts w:ascii="Arial" w:cs="Arial" w:eastAsia="Arial" w:hAnsi="Arial"/>
                <w:sz w:val="15"/>
                <w:szCs w:val="15"/>
                <w:color w:val="auto"/>
              </w:rPr>
              <w:t>825,017</w:t>
            </w:r>
          </w:p>
        </w:tc>
        <w:tc>
          <w:tcPr>
            <w:tcW w:w="840" w:type="dxa"/>
            <w:vAlign w:val="bottom"/>
            <w:vMerge w:val="restart"/>
            <w:shd w:val="clear" w:color="auto" w:fill="CDDAE6"/>
          </w:tcPr>
          <w:p>
            <w:pPr>
              <w:jc w:val="right"/>
              <w:ind w:right="5"/>
              <w:spacing w:after="0"/>
              <w:rPr>
                <w:sz w:val="20"/>
                <w:szCs w:val="20"/>
                <w:color w:val="auto"/>
              </w:rPr>
            </w:pPr>
            <w:r>
              <w:rPr>
                <w:rFonts w:ascii="Arial" w:cs="Arial" w:eastAsia="Arial" w:hAnsi="Arial"/>
                <w:sz w:val="15"/>
                <w:szCs w:val="15"/>
                <w:color w:val="auto"/>
              </w:rPr>
              <w:t>495,003</w:t>
            </w:r>
          </w:p>
        </w:tc>
        <w:tc>
          <w:tcPr>
            <w:tcW w:w="1200" w:type="dxa"/>
            <w:vAlign w:val="bottom"/>
            <w:vMerge w:val="restart"/>
            <w:shd w:val="clear" w:color="auto" w:fill="CDDAE6"/>
          </w:tcPr>
          <w:p>
            <w:pPr>
              <w:jc w:val="right"/>
              <w:ind w:right="25"/>
              <w:spacing w:after="0"/>
              <w:rPr>
                <w:sz w:val="20"/>
                <w:szCs w:val="20"/>
                <w:color w:val="auto"/>
              </w:rPr>
            </w:pPr>
            <w:r>
              <w:rPr>
                <w:rFonts w:ascii="Arial" w:cs="Arial" w:eastAsia="Arial" w:hAnsi="Arial"/>
                <w:sz w:val="15"/>
                <w:szCs w:val="15"/>
                <w:color w:val="auto"/>
              </w:rPr>
              <w:t>797,000</w:t>
            </w:r>
          </w:p>
        </w:tc>
        <w:tc>
          <w:tcPr>
            <w:tcW w:w="1040" w:type="dxa"/>
            <w:vAlign w:val="bottom"/>
            <w:vMerge w:val="restart"/>
            <w:shd w:val="clear" w:color="auto" w:fill="CDDAE6"/>
          </w:tcPr>
          <w:p>
            <w:pPr>
              <w:jc w:val="right"/>
              <w:ind w:right="26"/>
              <w:spacing w:after="0"/>
              <w:rPr>
                <w:sz w:val="20"/>
                <w:szCs w:val="20"/>
                <w:color w:val="auto"/>
              </w:rPr>
            </w:pPr>
            <w:r>
              <w:rPr>
                <w:rFonts w:ascii="Arial" w:cs="Arial" w:eastAsia="Arial" w:hAnsi="Arial"/>
                <w:sz w:val="15"/>
                <w:szCs w:val="15"/>
                <w:color w:val="auto"/>
              </w:rPr>
              <w:t>713,726</w:t>
            </w:r>
          </w:p>
        </w:tc>
        <w:tc>
          <w:tcPr>
            <w:tcW w:w="1240" w:type="dxa"/>
            <w:vAlign w:val="bottom"/>
            <w:vMerge w:val="restart"/>
            <w:shd w:val="clear" w:color="auto" w:fill="CDDAE6"/>
          </w:tcPr>
          <w:p>
            <w:pPr>
              <w:jc w:val="right"/>
              <w:ind w:right="65"/>
              <w:spacing w:after="0"/>
              <w:rPr>
                <w:sz w:val="20"/>
                <w:szCs w:val="20"/>
                <w:color w:val="auto"/>
              </w:rPr>
            </w:pPr>
            <w:r>
              <w:rPr>
                <w:rFonts w:ascii="Arial" w:cs="Arial" w:eastAsia="Arial" w:hAnsi="Arial"/>
                <w:sz w:val="15"/>
                <w:szCs w:val="15"/>
                <w:color w:val="auto"/>
              </w:rPr>
              <w:t>55,421</w:t>
            </w:r>
          </w:p>
        </w:tc>
        <w:tc>
          <w:tcPr>
            <w:tcW w:w="900" w:type="dxa"/>
            <w:vAlign w:val="bottom"/>
            <w:vMerge w:val="restart"/>
            <w:shd w:val="clear" w:color="auto" w:fill="CDDAE6"/>
          </w:tcPr>
          <w:p>
            <w:pPr>
              <w:jc w:val="right"/>
              <w:ind w:right="5"/>
              <w:spacing w:after="0"/>
              <w:rPr>
                <w:sz w:val="20"/>
                <w:szCs w:val="20"/>
                <w:color w:val="auto"/>
              </w:rPr>
            </w:pPr>
            <w:r>
              <w:rPr>
                <w:rFonts w:ascii="Arial" w:cs="Arial" w:eastAsia="Arial" w:hAnsi="Arial"/>
                <w:sz w:val="15"/>
                <w:szCs w:val="15"/>
                <w:color w:val="auto"/>
              </w:rPr>
              <w:t>3,552,705</w:t>
            </w:r>
          </w:p>
        </w:tc>
        <w:tc>
          <w:tcPr>
            <w:tcW w:w="0" w:type="dxa"/>
            <w:vAlign w:val="bottom"/>
          </w:tcPr>
          <w:p>
            <w:pPr>
              <w:spacing w:after="0"/>
              <w:rPr>
                <w:sz w:val="1"/>
                <w:szCs w:val="1"/>
                <w:color w:val="auto"/>
              </w:rPr>
            </w:pPr>
          </w:p>
        </w:tc>
      </w:tr>
      <w:tr>
        <w:trPr>
          <w:trHeight w:val="116"/>
        </w:trPr>
        <w:tc>
          <w:tcPr>
            <w:tcW w:w="1980" w:type="dxa"/>
            <w:vAlign w:val="bottom"/>
            <w:vMerge w:val="restart"/>
            <w:shd w:val="clear" w:color="auto" w:fill="CDDAE6"/>
          </w:tcPr>
          <w:p>
            <w:pPr>
              <w:ind w:left="300"/>
              <w:spacing w:after="0" w:line="218" w:lineRule="exact"/>
              <w:rPr>
                <w:sz w:val="20"/>
                <w:szCs w:val="20"/>
                <w:color w:val="auto"/>
              </w:rPr>
            </w:pPr>
            <w:r>
              <w:rPr>
                <w:rFonts w:ascii="Arial" w:cs="Arial" w:eastAsia="Arial" w:hAnsi="Arial"/>
                <w:sz w:val="15"/>
                <w:szCs w:val="15"/>
                <w:color w:val="auto"/>
              </w:rPr>
              <w:t>Electronic Systems)</w:t>
            </w:r>
            <w:r>
              <w:rPr>
                <w:rFonts w:ascii="Arial" w:cs="Arial" w:eastAsia="Arial" w:hAnsi="Arial"/>
                <w:sz w:val="25"/>
                <w:szCs w:val="25"/>
                <w:color w:val="auto"/>
                <w:vertAlign w:val="superscript"/>
              </w:rPr>
              <w:t>(8)</w:t>
            </w:r>
          </w:p>
        </w:tc>
        <w:tc>
          <w:tcPr>
            <w:tcW w:w="180" w:type="dxa"/>
            <w:vAlign w:val="bottom"/>
            <w:shd w:val="clear" w:color="auto" w:fill="CDDAE6"/>
          </w:tcPr>
          <w:p>
            <w:pPr>
              <w:spacing w:after="0"/>
              <w:rPr>
                <w:sz w:val="10"/>
                <w:szCs w:val="10"/>
                <w:color w:val="auto"/>
              </w:rPr>
            </w:pPr>
          </w:p>
        </w:tc>
        <w:tc>
          <w:tcPr>
            <w:tcW w:w="520" w:type="dxa"/>
            <w:vAlign w:val="bottom"/>
            <w:vMerge w:val="continue"/>
            <w:shd w:val="clear" w:color="auto" w:fill="CDDAE6"/>
          </w:tcPr>
          <w:p>
            <w:pPr>
              <w:spacing w:after="0"/>
              <w:rPr>
                <w:sz w:val="10"/>
                <w:szCs w:val="10"/>
                <w:color w:val="auto"/>
              </w:rPr>
            </w:pPr>
          </w:p>
        </w:tc>
        <w:tc>
          <w:tcPr>
            <w:tcW w:w="780" w:type="dxa"/>
            <w:vAlign w:val="bottom"/>
            <w:vMerge w:val="continue"/>
            <w:shd w:val="clear" w:color="auto" w:fill="CDDAE6"/>
          </w:tcPr>
          <w:p>
            <w:pPr>
              <w:spacing w:after="0"/>
              <w:rPr>
                <w:sz w:val="10"/>
                <w:szCs w:val="10"/>
                <w:color w:val="auto"/>
              </w:rPr>
            </w:pPr>
          </w:p>
        </w:tc>
        <w:tc>
          <w:tcPr>
            <w:tcW w:w="880" w:type="dxa"/>
            <w:vAlign w:val="bottom"/>
            <w:vMerge w:val="continue"/>
            <w:shd w:val="clear" w:color="auto" w:fill="CDDAE6"/>
          </w:tcPr>
          <w:p>
            <w:pPr>
              <w:spacing w:after="0"/>
              <w:rPr>
                <w:sz w:val="10"/>
                <w:szCs w:val="10"/>
                <w:color w:val="auto"/>
              </w:rPr>
            </w:pPr>
          </w:p>
        </w:tc>
        <w:tc>
          <w:tcPr>
            <w:tcW w:w="840" w:type="dxa"/>
            <w:vAlign w:val="bottom"/>
            <w:vMerge w:val="continue"/>
            <w:shd w:val="clear" w:color="auto" w:fill="CDDAE6"/>
          </w:tcPr>
          <w:p>
            <w:pPr>
              <w:spacing w:after="0"/>
              <w:rPr>
                <w:sz w:val="10"/>
                <w:szCs w:val="10"/>
                <w:color w:val="auto"/>
              </w:rPr>
            </w:pPr>
          </w:p>
        </w:tc>
        <w:tc>
          <w:tcPr>
            <w:tcW w:w="1200" w:type="dxa"/>
            <w:vAlign w:val="bottom"/>
            <w:vMerge w:val="continue"/>
            <w:shd w:val="clear" w:color="auto" w:fill="CDDAE6"/>
          </w:tcPr>
          <w:p>
            <w:pPr>
              <w:spacing w:after="0"/>
              <w:rPr>
                <w:sz w:val="10"/>
                <w:szCs w:val="10"/>
                <w:color w:val="auto"/>
              </w:rPr>
            </w:pPr>
          </w:p>
        </w:tc>
        <w:tc>
          <w:tcPr>
            <w:tcW w:w="1040" w:type="dxa"/>
            <w:vAlign w:val="bottom"/>
            <w:vMerge w:val="continue"/>
            <w:shd w:val="clear" w:color="auto" w:fill="CDDAE6"/>
          </w:tcPr>
          <w:p>
            <w:pPr>
              <w:spacing w:after="0"/>
              <w:rPr>
                <w:sz w:val="10"/>
                <w:szCs w:val="10"/>
                <w:color w:val="auto"/>
              </w:rPr>
            </w:pPr>
          </w:p>
        </w:tc>
        <w:tc>
          <w:tcPr>
            <w:tcW w:w="1240" w:type="dxa"/>
            <w:vAlign w:val="bottom"/>
            <w:vMerge w:val="continue"/>
            <w:shd w:val="clear" w:color="auto" w:fill="CDDAE6"/>
          </w:tcPr>
          <w:p>
            <w:pPr>
              <w:spacing w:after="0"/>
              <w:rPr>
                <w:sz w:val="10"/>
                <w:szCs w:val="10"/>
                <w:color w:val="auto"/>
              </w:rPr>
            </w:pPr>
          </w:p>
        </w:tc>
        <w:tc>
          <w:tcPr>
            <w:tcW w:w="900" w:type="dxa"/>
            <w:vAlign w:val="bottom"/>
            <w:vMerge w:val="continue"/>
            <w:shd w:val="clear" w:color="auto" w:fill="CDDAE6"/>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980" w:type="dxa"/>
            <w:vAlign w:val="bottom"/>
            <w:tcBorders>
              <w:bottom w:val="single" w:sz="8" w:color="005C7D"/>
            </w:tcBorders>
            <w:vMerge w:val="continue"/>
            <w:shd w:val="clear" w:color="auto" w:fill="CDDAE6"/>
          </w:tcPr>
          <w:p>
            <w:pPr>
              <w:spacing w:after="0"/>
              <w:rPr>
                <w:sz w:val="8"/>
                <w:szCs w:val="8"/>
                <w:color w:val="auto"/>
              </w:rPr>
            </w:pPr>
          </w:p>
        </w:tc>
        <w:tc>
          <w:tcPr>
            <w:tcW w:w="180" w:type="dxa"/>
            <w:vAlign w:val="bottom"/>
            <w:tcBorders>
              <w:bottom w:val="single" w:sz="8" w:color="005C7D"/>
            </w:tcBorders>
            <w:shd w:val="clear" w:color="auto" w:fill="CDDAE6"/>
          </w:tcPr>
          <w:p>
            <w:pPr>
              <w:spacing w:after="0"/>
              <w:rPr>
                <w:sz w:val="8"/>
                <w:szCs w:val="8"/>
                <w:color w:val="auto"/>
              </w:rPr>
            </w:pPr>
          </w:p>
        </w:tc>
        <w:tc>
          <w:tcPr>
            <w:tcW w:w="520" w:type="dxa"/>
            <w:vAlign w:val="bottom"/>
            <w:tcBorders>
              <w:bottom w:val="single" w:sz="8" w:color="005C7D"/>
            </w:tcBorders>
            <w:shd w:val="clear" w:color="auto" w:fill="CDDAE6"/>
          </w:tcPr>
          <w:p>
            <w:pPr>
              <w:spacing w:after="0"/>
              <w:rPr>
                <w:sz w:val="8"/>
                <w:szCs w:val="8"/>
                <w:color w:val="auto"/>
              </w:rPr>
            </w:pPr>
          </w:p>
        </w:tc>
        <w:tc>
          <w:tcPr>
            <w:tcW w:w="780" w:type="dxa"/>
            <w:vAlign w:val="bottom"/>
            <w:tcBorders>
              <w:bottom w:val="single" w:sz="8" w:color="005C7D"/>
            </w:tcBorders>
            <w:shd w:val="clear" w:color="auto" w:fill="CDDAE6"/>
          </w:tcPr>
          <w:p>
            <w:pPr>
              <w:spacing w:after="0"/>
              <w:rPr>
                <w:sz w:val="8"/>
                <w:szCs w:val="8"/>
                <w:color w:val="auto"/>
              </w:rPr>
            </w:pPr>
          </w:p>
        </w:tc>
        <w:tc>
          <w:tcPr>
            <w:tcW w:w="880" w:type="dxa"/>
            <w:vAlign w:val="bottom"/>
            <w:tcBorders>
              <w:bottom w:val="single" w:sz="8" w:color="005C7D"/>
            </w:tcBorders>
            <w:shd w:val="clear" w:color="auto" w:fill="CDDAE6"/>
          </w:tcPr>
          <w:p>
            <w:pPr>
              <w:spacing w:after="0"/>
              <w:rPr>
                <w:sz w:val="8"/>
                <w:szCs w:val="8"/>
                <w:color w:val="auto"/>
              </w:rPr>
            </w:pPr>
          </w:p>
        </w:tc>
        <w:tc>
          <w:tcPr>
            <w:tcW w:w="840" w:type="dxa"/>
            <w:vAlign w:val="bottom"/>
            <w:tcBorders>
              <w:bottom w:val="single" w:sz="8" w:color="005C7D"/>
            </w:tcBorders>
            <w:shd w:val="clear" w:color="auto" w:fill="CDDAE6"/>
          </w:tcPr>
          <w:p>
            <w:pPr>
              <w:spacing w:after="0"/>
              <w:rPr>
                <w:sz w:val="8"/>
                <w:szCs w:val="8"/>
                <w:color w:val="auto"/>
              </w:rPr>
            </w:pPr>
          </w:p>
        </w:tc>
        <w:tc>
          <w:tcPr>
            <w:tcW w:w="1200" w:type="dxa"/>
            <w:vAlign w:val="bottom"/>
            <w:tcBorders>
              <w:bottom w:val="single" w:sz="8" w:color="005C7D"/>
            </w:tcBorders>
            <w:shd w:val="clear" w:color="auto" w:fill="CDDAE6"/>
          </w:tcPr>
          <w:p>
            <w:pPr>
              <w:spacing w:after="0"/>
              <w:rPr>
                <w:sz w:val="8"/>
                <w:szCs w:val="8"/>
                <w:color w:val="auto"/>
              </w:rPr>
            </w:pPr>
          </w:p>
        </w:tc>
        <w:tc>
          <w:tcPr>
            <w:tcW w:w="1040" w:type="dxa"/>
            <w:vAlign w:val="bottom"/>
            <w:tcBorders>
              <w:bottom w:val="single" w:sz="8" w:color="005C7D"/>
            </w:tcBorders>
            <w:shd w:val="clear" w:color="auto" w:fill="CDDAE6"/>
          </w:tcPr>
          <w:p>
            <w:pPr>
              <w:spacing w:after="0"/>
              <w:rPr>
                <w:sz w:val="8"/>
                <w:szCs w:val="8"/>
                <w:color w:val="auto"/>
              </w:rPr>
            </w:pPr>
          </w:p>
        </w:tc>
        <w:tc>
          <w:tcPr>
            <w:tcW w:w="1240" w:type="dxa"/>
            <w:vAlign w:val="bottom"/>
            <w:tcBorders>
              <w:bottom w:val="single" w:sz="8" w:color="005C7D"/>
            </w:tcBorders>
            <w:shd w:val="clear" w:color="auto" w:fill="CDDAE6"/>
          </w:tcPr>
          <w:p>
            <w:pPr>
              <w:spacing w:after="0"/>
              <w:rPr>
                <w:sz w:val="8"/>
                <w:szCs w:val="8"/>
                <w:color w:val="auto"/>
              </w:rPr>
            </w:pPr>
          </w:p>
        </w:tc>
        <w:tc>
          <w:tcPr>
            <w:tcW w:w="900" w:type="dxa"/>
            <w:vAlign w:val="bottom"/>
            <w:tcBorders>
              <w:bottom w:val="single" w:sz="8" w:color="005C7D"/>
            </w:tcBorders>
            <w:shd w:val="clear" w:color="auto" w:fill="CDDAE6"/>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1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-1045845</wp:posOffset>
            </wp:positionV>
            <wp:extent cx="4810760" cy="1803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810760" cy="180340"/>
                    </a:xfrm>
                    <a:prstGeom prst="rect">
                      <a:avLst/>
                    </a:prstGeom>
                    <a:noFill/>
                  </pic:spPr>
                </pic:pic>
              </a:graphicData>
            </a:graphic>
          </wp:anchor>
        </w:drawing>
      </w:r>
    </w:p>
    <w:p>
      <w:pPr>
        <w:spacing w:after="0" w:line="78" w:lineRule="exact"/>
        <w:rPr>
          <w:sz w:val="20"/>
          <w:szCs w:val="20"/>
          <w:color w:val="auto"/>
        </w:rPr>
      </w:pPr>
    </w:p>
    <w:p>
      <w:pPr>
        <w:ind w:left="347" w:right="160" w:hanging="347"/>
        <w:spacing w:after="0" w:line="322" w:lineRule="auto"/>
        <w:tabs>
          <w:tab w:leader="none" w:pos="347" w:val="left"/>
        </w:tabs>
        <w:numPr>
          <w:ilvl w:val="0"/>
          <w:numId w:val="68"/>
        </w:numPr>
        <w:rPr>
          <w:rFonts w:ascii="Arial" w:cs="Arial" w:eastAsia="Arial" w:hAnsi="Arial"/>
          <w:sz w:val="14"/>
          <w:szCs w:val="14"/>
          <w:color w:val="auto"/>
        </w:rPr>
      </w:pPr>
      <w:r>
        <w:rPr>
          <w:rFonts w:ascii="Arial" w:cs="Arial" w:eastAsia="Arial" w:hAnsi="Arial"/>
          <w:sz w:val="14"/>
          <w:szCs w:val="14"/>
          <w:color w:val="auto"/>
        </w:rPr>
        <w:t xml:space="preserve">Represents the grant date fair values of RSUs and performance units, which are calculated in accordance with the accounting standards for share-based compensation using L3’s stock price on the date of grant. For a discussion of the general terms of RSUs and performance units, see “Compensation Discussion and Analysis – Elements of 2016 Target Pay – Long-Term Incentives” beginning on page </w:t>
      </w:r>
      <w:hyperlink w:anchor="page59">
        <w:r>
          <w:rPr>
            <w:rFonts w:ascii="Arial" w:cs="Arial" w:eastAsia="Arial" w:hAnsi="Arial"/>
            <w:sz w:val="14"/>
            <w:szCs w:val="14"/>
            <w:u w:val="single" w:color="auto"/>
            <w:color w:val="0000EE"/>
          </w:rPr>
          <w:t>53</w:t>
        </w:r>
      </w:hyperlink>
      <w:r>
        <w:rPr>
          <w:rFonts w:ascii="Arial" w:cs="Arial" w:eastAsia="Arial" w:hAnsi="Arial"/>
          <w:sz w:val="14"/>
          <w:szCs w:val="14"/>
          <w:color w:val="auto"/>
        </w:rPr>
        <w:t>.</w:t>
      </w:r>
    </w:p>
    <w:p>
      <w:pPr>
        <w:ind w:left="367" w:right="140"/>
        <w:spacing w:after="0" w:line="258" w:lineRule="auto"/>
        <w:rPr>
          <w:rFonts w:ascii="Arial" w:cs="Arial" w:eastAsia="Arial" w:hAnsi="Arial"/>
          <w:sz w:val="16"/>
          <w:szCs w:val="16"/>
          <w:color w:val="auto"/>
        </w:rPr>
      </w:pPr>
      <w:r>
        <w:rPr>
          <w:rFonts w:ascii="Arial" w:cs="Arial" w:eastAsia="Arial" w:hAnsi="Arial"/>
          <w:sz w:val="16"/>
          <w:szCs w:val="16"/>
          <w:color w:val="auto"/>
        </w:rPr>
        <w:t xml:space="preserve">RSUs are subject to forfeiture conditions based on L3’s FCF for the fiscal year in which they were granted. For a further discussion of these conditions, see Note 4 to the “2016 Grants of Plan-Based Awards” table beginning on page </w:t>
      </w:r>
      <w:hyperlink w:anchor="page71">
        <w:r>
          <w:rPr>
            <w:rFonts w:ascii="Arial" w:cs="Arial" w:eastAsia="Arial" w:hAnsi="Arial"/>
            <w:sz w:val="16"/>
            <w:szCs w:val="16"/>
            <w:u w:val="single" w:color="auto"/>
            <w:color w:val="0000EE"/>
          </w:rPr>
          <w:t>65</w:t>
        </w:r>
      </w:hyperlink>
      <w:r>
        <w:rPr>
          <w:rFonts w:ascii="Arial" w:cs="Arial" w:eastAsia="Arial" w:hAnsi="Arial"/>
          <w:sz w:val="16"/>
          <w:szCs w:val="16"/>
          <w:color w:val="auto"/>
        </w:rPr>
        <w:t>.</w:t>
      </w:r>
    </w:p>
    <w:p>
      <w:pPr>
        <w:spacing w:after="0" w:line="9" w:lineRule="exact"/>
        <w:rPr>
          <w:rFonts w:ascii="Arial" w:cs="Arial" w:eastAsia="Arial" w:hAnsi="Arial"/>
          <w:sz w:val="16"/>
          <w:szCs w:val="16"/>
          <w:color w:val="auto"/>
        </w:rPr>
      </w:pPr>
    </w:p>
    <w:p>
      <w:pPr>
        <w:jc w:val="both"/>
        <w:ind w:left="367" w:right="220"/>
        <w:spacing w:after="0" w:line="267" w:lineRule="auto"/>
        <w:rPr>
          <w:rFonts w:ascii="Arial" w:cs="Arial" w:eastAsia="Arial" w:hAnsi="Arial"/>
          <w:sz w:val="16"/>
          <w:szCs w:val="16"/>
          <w:color w:val="auto"/>
        </w:rPr>
      </w:pPr>
      <w:r>
        <w:rPr>
          <w:rFonts w:ascii="Arial" w:cs="Arial" w:eastAsia="Arial" w:hAnsi="Arial"/>
          <w:sz w:val="15"/>
          <w:szCs w:val="15"/>
          <w:color w:val="auto"/>
        </w:rPr>
        <w:t>The grant date fair value of the performance units assumes that the Target level of performance is achieved, which represents the probable outcome of the performance conditions of the awards on the date of grant. The following table provides the value of the performance units granted in 2016 as of their grant date assuming the Target and Maximum levels of performance are achieved:</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244475</wp:posOffset>
            </wp:positionH>
            <wp:positionV relativeFrom="paragraph">
              <wp:posOffset>17780</wp:posOffset>
            </wp:positionV>
            <wp:extent cx="55829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26" w:lineRule="exact"/>
        <w:rPr>
          <w:rFonts w:ascii="Arial" w:cs="Arial" w:eastAsia="Arial" w:hAnsi="Arial"/>
          <w:sz w:val="14"/>
          <w:szCs w:val="14"/>
          <w:color w:val="auto"/>
        </w:rPr>
      </w:pPr>
    </w:p>
    <w:tbl>
      <w:tblPr>
        <w:tblLayout w:type="fixed"/>
        <w:tblInd w:w="387"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3520" w:type="dxa"/>
            <w:vAlign w:val="bottom"/>
          </w:tcPr>
          <w:p>
            <w:pPr>
              <w:jc w:val="right"/>
              <w:ind w:right="302"/>
              <w:spacing w:after="0"/>
              <w:rPr>
                <w:sz w:val="20"/>
                <w:szCs w:val="20"/>
                <w:color w:val="auto"/>
              </w:rPr>
            </w:pPr>
            <w:r>
              <w:rPr>
                <w:rFonts w:ascii="Arial" w:cs="Arial" w:eastAsia="Arial" w:hAnsi="Arial"/>
                <w:sz w:val="14"/>
                <w:szCs w:val="14"/>
                <w:b w:val="1"/>
                <w:bCs w:val="1"/>
                <w:color w:val="auto"/>
              </w:rPr>
              <w:t>Target</w:t>
            </w:r>
          </w:p>
        </w:tc>
        <w:tc>
          <w:tcPr>
            <w:tcW w:w="980" w:type="dxa"/>
            <w:vAlign w:val="bottom"/>
          </w:tcPr>
          <w:p>
            <w:pPr>
              <w:jc w:val="right"/>
              <w:ind w:right="102"/>
              <w:spacing w:after="0"/>
              <w:rPr>
                <w:sz w:val="20"/>
                <w:szCs w:val="20"/>
                <w:color w:val="auto"/>
              </w:rPr>
            </w:pPr>
            <w:r>
              <w:rPr>
                <w:rFonts w:ascii="Arial" w:cs="Arial" w:eastAsia="Arial" w:hAnsi="Arial"/>
                <w:sz w:val="14"/>
                <w:szCs w:val="14"/>
                <w:b w:val="1"/>
                <w:bCs w:val="1"/>
                <w:color w:val="auto"/>
              </w:rPr>
              <w:t>Maximum</w:t>
            </w:r>
          </w:p>
        </w:tc>
      </w:tr>
      <w:tr>
        <w:trPr>
          <w:trHeight w:val="185"/>
        </w:trPr>
        <w:tc>
          <w:tcPr>
            <w:tcW w:w="4280" w:type="dxa"/>
            <w:vAlign w:val="bottom"/>
            <w:tcBorders>
              <w:bottom w:val="single" w:sz="8" w:color="005C7D"/>
            </w:tcBorders>
          </w:tcPr>
          <w:p>
            <w:pPr>
              <w:ind w:left="20"/>
              <w:spacing w:after="0"/>
              <w:rPr>
                <w:sz w:val="20"/>
                <w:szCs w:val="20"/>
                <w:color w:val="auto"/>
              </w:rPr>
            </w:pPr>
            <w:r>
              <w:rPr>
                <w:rFonts w:ascii="Arial" w:cs="Arial" w:eastAsia="Arial" w:hAnsi="Arial"/>
                <w:sz w:val="14"/>
                <w:szCs w:val="14"/>
                <w:b w:val="1"/>
                <w:bCs w:val="1"/>
                <w:color w:val="auto"/>
              </w:rPr>
              <w:t>Name</w:t>
            </w:r>
          </w:p>
        </w:tc>
        <w:tc>
          <w:tcPr>
            <w:tcW w:w="3520" w:type="dxa"/>
            <w:vAlign w:val="bottom"/>
            <w:tcBorders>
              <w:bottom w:val="single" w:sz="8" w:color="005C7D"/>
            </w:tcBorders>
          </w:tcPr>
          <w:p>
            <w:pPr>
              <w:jc w:val="right"/>
              <w:ind w:right="422"/>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005C7D"/>
            </w:tcBorders>
          </w:tcPr>
          <w:p>
            <w:pPr>
              <w:jc w:val="right"/>
              <w:ind w:right="342"/>
              <w:spacing w:after="0"/>
              <w:rPr>
                <w:sz w:val="20"/>
                <w:szCs w:val="20"/>
                <w:color w:val="auto"/>
              </w:rPr>
            </w:pPr>
            <w:r>
              <w:rPr>
                <w:rFonts w:ascii="Arial" w:cs="Arial" w:eastAsia="Arial" w:hAnsi="Arial"/>
                <w:sz w:val="14"/>
                <w:szCs w:val="14"/>
                <w:b w:val="1"/>
                <w:bCs w:val="1"/>
                <w:color w:val="auto"/>
              </w:rPr>
              <w:t>($)</w:t>
            </w:r>
          </w:p>
        </w:tc>
      </w:tr>
      <w:tr>
        <w:trPr>
          <w:trHeight w:val="223"/>
        </w:trPr>
        <w:tc>
          <w:tcPr>
            <w:tcW w:w="4280" w:type="dxa"/>
            <w:vAlign w:val="bottom"/>
            <w:shd w:val="clear" w:color="auto" w:fill="CDDAE6"/>
          </w:tcPr>
          <w:p>
            <w:pPr>
              <w:ind w:left="20"/>
              <w:spacing w:after="0"/>
              <w:rPr>
                <w:sz w:val="20"/>
                <w:szCs w:val="20"/>
                <w:color w:val="auto"/>
              </w:rPr>
            </w:pPr>
            <w:r>
              <w:rPr>
                <w:rFonts w:ascii="Arial" w:cs="Arial" w:eastAsia="Arial" w:hAnsi="Arial"/>
                <w:sz w:val="16"/>
                <w:szCs w:val="16"/>
                <w:color w:val="auto"/>
              </w:rPr>
              <w:t>Michael T. Strianese</w:t>
            </w:r>
          </w:p>
        </w:tc>
        <w:tc>
          <w:tcPr>
            <w:tcW w:w="3520" w:type="dxa"/>
            <w:vAlign w:val="bottom"/>
            <w:shd w:val="clear" w:color="auto" w:fill="CDDAE6"/>
          </w:tcPr>
          <w:p>
            <w:pPr>
              <w:jc w:val="right"/>
              <w:ind w:right="82"/>
              <w:spacing w:after="0"/>
              <w:rPr>
                <w:sz w:val="20"/>
                <w:szCs w:val="20"/>
                <w:color w:val="auto"/>
              </w:rPr>
            </w:pPr>
            <w:r>
              <w:rPr>
                <w:rFonts w:ascii="Arial" w:cs="Arial" w:eastAsia="Arial" w:hAnsi="Arial"/>
                <w:sz w:val="16"/>
                <w:szCs w:val="16"/>
                <w:color w:val="auto"/>
              </w:rPr>
              <w:t>2,000,034</w:t>
            </w:r>
          </w:p>
        </w:tc>
        <w:tc>
          <w:tcPr>
            <w:tcW w:w="980" w:type="dxa"/>
            <w:vAlign w:val="bottom"/>
            <w:shd w:val="clear" w:color="auto" w:fill="CDDAE6"/>
          </w:tcPr>
          <w:p>
            <w:pPr>
              <w:jc w:val="right"/>
              <w:ind w:right="2"/>
              <w:spacing w:after="0"/>
              <w:rPr>
                <w:sz w:val="20"/>
                <w:szCs w:val="20"/>
                <w:color w:val="auto"/>
              </w:rPr>
            </w:pPr>
            <w:r>
              <w:rPr>
                <w:rFonts w:ascii="Arial" w:cs="Arial" w:eastAsia="Arial" w:hAnsi="Arial"/>
                <w:sz w:val="16"/>
                <w:szCs w:val="16"/>
                <w:color w:val="auto"/>
              </w:rPr>
              <w:t>4,000,068</w:t>
            </w:r>
          </w:p>
        </w:tc>
      </w:tr>
      <w:tr>
        <w:trPr>
          <w:trHeight w:val="220"/>
        </w:trPr>
        <w:tc>
          <w:tcPr>
            <w:tcW w:w="4280" w:type="dxa"/>
            <w:vAlign w:val="bottom"/>
          </w:tcPr>
          <w:p>
            <w:pPr>
              <w:ind w:left="20"/>
              <w:spacing w:after="0"/>
              <w:rPr>
                <w:sz w:val="20"/>
                <w:szCs w:val="20"/>
                <w:color w:val="auto"/>
              </w:rPr>
            </w:pPr>
            <w:r>
              <w:rPr>
                <w:rFonts w:ascii="Arial" w:cs="Arial" w:eastAsia="Arial" w:hAnsi="Arial"/>
                <w:sz w:val="16"/>
                <w:szCs w:val="16"/>
                <w:color w:val="auto"/>
              </w:rPr>
              <w:t>Christopher E. Kubasik</w:t>
            </w:r>
          </w:p>
        </w:tc>
        <w:tc>
          <w:tcPr>
            <w:tcW w:w="3520" w:type="dxa"/>
            <w:vAlign w:val="bottom"/>
          </w:tcPr>
          <w:p>
            <w:pPr>
              <w:jc w:val="right"/>
              <w:ind w:right="82"/>
              <w:spacing w:after="0"/>
              <w:rPr>
                <w:sz w:val="20"/>
                <w:szCs w:val="20"/>
                <w:color w:val="auto"/>
              </w:rPr>
            </w:pPr>
            <w:r>
              <w:rPr>
                <w:rFonts w:ascii="Arial" w:cs="Arial" w:eastAsia="Arial" w:hAnsi="Arial"/>
                <w:sz w:val="16"/>
                <w:szCs w:val="16"/>
                <w:color w:val="auto"/>
              </w:rPr>
              <w:t>640,030</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1,280,060</w:t>
            </w:r>
          </w:p>
        </w:tc>
      </w:tr>
      <w:tr>
        <w:trPr>
          <w:trHeight w:val="239"/>
        </w:trPr>
        <w:tc>
          <w:tcPr>
            <w:tcW w:w="4280" w:type="dxa"/>
            <w:vAlign w:val="bottom"/>
            <w:shd w:val="clear" w:color="auto" w:fill="CDDAE6"/>
          </w:tcPr>
          <w:p>
            <w:pPr>
              <w:ind w:left="20"/>
              <w:spacing w:after="0"/>
              <w:rPr>
                <w:sz w:val="20"/>
                <w:szCs w:val="20"/>
                <w:color w:val="auto"/>
              </w:rPr>
            </w:pPr>
            <w:r>
              <w:rPr>
                <w:rFonts w:ascii="Arial" w:cs="Arial" w:eastAsia="Arial" w:hAnsi="Arial"/>
                <w:sz w:val="16"/>
                <w:szCs w:val="16"/>
                <w:color w:val="auto"/>
              </w:rPr>
              <w:t>Ralph G. D’Ambrosio</w:t>
            </w:r>
          </w:p>
        </w:tc>
        <w:tc>
          <w:tcPr>
            <w:tcW w:w="3520" w:type="dxa"/>
            <w:vAlign w:val="bottom"/>
            <w:shd w:val="clear" w:color="auto" w:fill="CDDAE6"/>
          </w:tcPr>
          <w:p>
            <w:pPr>
              <w:jc w:val="right"/>
              <w:ind w:right="82"/>
              <w:spacing w:after="0"/>
              <w:rPr>
                <w:sz w:val="20"/>
                <w:szCs w:val="20"/>
                <w:color w:val="auto"/>
              </w:rPr>
            </w:pPr>
            <w:r>
              <w:rPr>
                <w:rFonts w:ascii="Arial" w:cs="Arial" w:eastAsia="Arial" w:hAnsi="Arial"/>
                <w:sz w:val="16"/>
                <w:szCs w:val="16"/>
                <w:color w:val="auto"/>
              </w:rPr>
              <w:t>524,992</w:t>
            </w:r>
          </w:p>
        </w:tc>
        <w:tc>
          <w:tcPr>
            <w:tcW w:w="980" w:type="dxa"/>
            <w:vAlign w:val="bottom"/>
            <w:shd w:val="clear" w:color="auto" w:fill="CDDAE6"/>
          </w:tcPr>
          <w:p>
            <w:pPr>
              <w:jc w:val="right"/>
              <w:ind w:right="2"/>
              <w:spacing w:after="0"/>
              <w:rPr>
                <w:sz w:val="20"/>
                <w:szCs w:val="20"/>
                <w:color w:val="auto"/>
              </w:rPr>
            </w:pPr>
            <w:r>
              <w:rPr>
                <w:rFonts w:ascii="Arial" w:cs="Arial" w:eastAsia="Arial" w:hAnsi="Arial"/>
                <w:sz w:val="16"/>
                <w:szCs w:val="16"/>
                <w:color w:val="auto"/>
              </w:rPr>
              <w:t>1,049,984</w:t>
            </w:r>
          </w:p>
        </w:tc>
      </w:tr>
      <w:tr>
        <w:trPr>
          <w:trHeight w:val="220"/>
        </w:trPr>
        <w:tc>
          <w:tcPr>
            <w:tcW w:w="4280" w:type="dxa"/>
            <w:vAlign w:val="bottom"/>
          </w:tcPr>
          <w:p>
            <w:pPr>
              <w:ind w:left="20"/>
              <w:spacing w:after="0"/>
              <w:rPr>
                <w:sz w:val="20"/>
                <w:szCs w:val="20"/>
                <w:color w:val="auto"/>
              </w:rPr>
            </w:pPr>
            <w:r>
              <w:rPr>
                <w:rFonts w:ascii="Arial" w:cs="Arial" w:eastAsia="Arial" w:hAnsi="Arial"/>
                <w:sz w:val="16"/>
                <w:szCs w:val="16"/>
                <w:color w:val="auto"/>
              </w:rPr>
              <w:t>Curtis Brunson</w:t>
            </w:r>
          </w:p>
        </w:tc>
        <w:tc>
          <w:tcPr>
            <w:tcW w:w="3520" w:type="dxa"/>
            <w:vAlign w:val="bottom"/>
          </w:tcPr>
          <w:p>
            <w:pPr>
              <w:jc w:val="right"/>
              <w:ind w:right="82"/>
              <w:spacing w:after="0"/>
              <w:rPr>
                <w:sz w:val="20"/>
                <w:szCs w:val="20"/>
                <w:color w:val="auto"/>
              </w:rPr>
            </w:pPr>
            <w:r>
              <w:rPr>
                <w:rFonts w:ascii="Arial" w:cs="Arial" w:eastAsia="Arial" w:hAnsi="Arial"/>
                <w:sz w:val="16"/>
                <w:szCs w:val="16"/>
                <w:color w:val="auto"/>
              </w:rPr>
              <w:t>539,981</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1,079,962</w:t>
            </w:r>
          </w:p>
        </w:tc>
      </w:tr>
      <w:tr>
        <w:trPr>
          <w:trHeight w:val="233"/>
        </w:trPr>
        <w:tc>
          <w:tcPr>
            <w:tcW w:w="4280" w:type="dxa"/>
            <w:vAlign w:val="bottom"/>
            <w:tcBorders>
              <w:bottom w:val="single" w:sz="8" w:color="005C7D"/>
            </w:tcBorders>
            <w:shd w:val="clear" w:color="auto" w:fill="CDDAE6"/>
          </w:tcPr>
          <w:p>
            <w:pPr>
              <w:ind w:left="20"/>
              <w:spacing w:after="0"/>
              <w:rPr>
                <w:sz w:val="20"/>
                <w:szCs w:val="20"/>
                <w:color w:val="auto"/>
              </w:rPr>
            </w:pPr>
            <w:r>
              <w:rPr>
                <w:rFonts w:ascii="Arial" w:cs="Arial" w:eastAsia="Arial" w:hAnsi="Arial"/>
                <w:sz w:val="16"/>
                <w:szCs w:val="16"/>
                <w:color w:val="auto"/>
              </w:rPr>
              <w:t>Steve Kantor</w:t>
            </w:r>
          </w:p>
        </w:tc>
        <w:tc>
          <w:tcPr>
            <w:tcW w:w="3520" w:type="dxa"/>
            <w:vAlign w:val="bottom"/>
            <w:tcBorders>
              <w:bottom w:val="single" w:sz="8" w:color="005C7D"/>
            </w:tcBorders>
            <w:shd w:val="clear" w:color="auto" w:fill="CDDAE6"/>
          </w:tcPr>
          <w:p>
            <w:pPr>
              <w:jc w:val="right"/>
              <w:ind w:right="82"/>
              <w:spacing w:after="0"/>
              <w:rPr>
                <w:sz w:val="20"/>
                <w:szCs w:val="20"/>
                <w:color w:val="auto"/>
              </w:rPr>
            </w:pPr>
            <w:r>
              <w:rPr>
                <w:rFonts w:ascii="Arial" w:cs="Arial" w:eastAsia="Arial" w:hAnsi="Arial"/>
                <w:sz w:val="16"/>
                <w:szCs w:val="16"/>
                <w:color w:val="auto"/>
              </w:rPr>
              <w:t>330,008</w:t>
            </w:r>
          </w:p>
        </w:tc>
        <w:tc>
          <w:tcPr>
            <w:tcW w:w="980" w:type="dxa"/>
            <w:vAlign w:val="bottom"/>
            <w:tcBorders>
              <w:bottom w:val="single" w:sz="8" w:color="005C7D"/>
            </w:tcBorders>
            <w:shd w:val="clear" w:color="auto" w:fill="CDDAE6"/>
          </w:tcPr>
          <w:p>
            <w:pPr>
              <w:jc w:val="right"/>
              <w:ind w:right="2"/>
              <w:spacing w:after="0"/>
              <w:rPr>
                <w:sz w:val="20"/>
                <w:szCs w:val="20"/>
                <w:color w:val="auto"/>
              </w:rPr>
            </w:pPr>
            <w:r>
              <w:rPr>
                <w:rFonts w:ascii="Arial" w:cs="Arial" w:eastAsia="Arial" w:hAnsi="Arial"/>
                <w:sz w:val="16"/>
                <w:szCs w:val="16"/>
                <w:color w:val="auto"/>
              </w:rPr>
              <w:t>660,016</w:t>
            </w:r>
          </w:p>
        </w:tc>
      </w:tr>
    </w:tbl>
    <w:p>
      <w:pPr>
        <w:spacing w:after="0" w:line="17" w:lineRule="exact"/>
        <w:rPr>
          <w:rFonts w:ascii="Arial" w:cs="Arial" w:eastAsia="Arial" w:hAnsi="Arial"/>
          <w:sz w:val="14"/>
          <w:szCs w:val="14"/>
          <w:color w:val="auto"/>
        </w:rPr>
      </w:pPr>
    </w:p>
    <w:p>
      <w:pPr>
        <w:ind w:left="347" w:right="40" w:hanging="347"/>
        <w:spacing w:after="0" w:line="271" w:lineRule="auto"/>
        <w:tabs>
          <w:tab w:leader="none" w:pos="347" w:val="left"/>
        </w:tabs>
        <w:numPr>
          <w:ilvl w:val="0"/>
          <w:numId w:val="69"/>
        </w:numPr>
        <w:rPr>
          <w:rFonts w:ascii="Arial" w:cs="Arial" w:eastAsia="Arial" w:hAnsi="Arial"/>
          <w:sz w:val="16"/>
          <w:szCs w:val="16"/>
          <w:color w:val="0000EE"/>
        </w:rPr>
      </w:pPr>
      <w:r>
        <w:rPr>
          <w:rFonts w:ascii="Arial" w:cs="Arial" w:eastAsia="Arial" w:hAnsi="Arial"/>
          <w:sz w:val="16"/>
          <w:szCs w:val="16"/>
          <w:color w:val="auto"/>
        </w:rPr>
        <w:t xml:space="preserve">Represents the grant date fair value of stock options, calculated in accordance with the accounting standards for share-based compensation. See Note 17 to the audited consolidated financial statements included in L3’s 2016 Annual Report on Form 10-K for a discussion of the assumptions used in calculating equity compensation expense in connection with stock options. For a discussion of the general terms of our stock options, see “Compensation Discussion and Analysis – Elements of 2016 Target Pay – Long-Term Incentives – Stock Options” on page </w:t>
      </w:r>
      <w:hyperlink w:anchor="page60">
        <w:r>
          <w:rPr>
            <w:rFonts w:ascii="Arial" w:cs="Arial" w:eastAsia="Arial" w:hAnsi="Arial"/>
            <w:sz w:val="16"/>
            <w:szCs w:val="16"/>
            <w:u w:val="single" w:color="auto"/>
            <w:color w:val="0000EE"/>
          </w:rPr>
          <w:t>54</w:t>
        </w:r>
      </w:hyperlink>
      <w:r>
        <w:rPr>
          <w:rFonts w:ascii="Arial" w:cs="Arial" w:eastAsia="Arial" w:hAnsi="Arial"/>
          <w:sz w:val="16"/>
          <w:szCs w:val="16"/>
          <w:color w:val="000000"/>
        </w:rPr>
        <w:t>.</w:t>
      </w:r>
    </w:p>
    <w:p>
      <w:pPr>
        <w:spacing w:after="0" w:line="256" w:lineRule="exact"/>
        <w:rPr>
          <w:rFonts w:ascii="Arial" w:cs="Arial" w:eastAsia="Arial" w:hAnsi="Arial"/>
          <w:sz w:val="14"/>
          <w:szCs w:val="14"/>
          <w:color w:val="auto"/>
        </w:rPr>
      </w:pPr>
    </w:p>
    <w:p>
      <w:pPr>
        <w:ind w:left="47"/>
        <w:spacing w:after="0"/>
        <w:tabs>
          <w:tab w:leader="none" w:pos="666" w:val="left"/>
        </w:tabs>
        <w:rPr>
          <w:sz w:val="20"/>
          <w:szCs w:val="20"/>
          <w:color w:val="auto"/>
        </w:rPr>
      </w:pPr>
      <w:r>
        <w:rPr>
          <w:rFonts w:ascii="Arial" w:cs="Arial" w:eastAsia="Arial" w:hAnsi="Arial"/>
          <w:sz w:val="18"/>
          <w:szCs w:val="18"/>
          <w:color w:val="005C7D"/>
        </w:rPr>
        <w:t>62</w:t>
      </w:r>
      <w:r>
        <w:rPr>
          <w:sz w:val="20"/>
          <w:szCs w:val="20"/>
          <w:color w:val="auto"/>
        </w:rPr>
        <w:tab/>
      </w: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4445</wp:posOffset>
            </wp:positionH>
            <wp:positionV relativeFrom="paragraph">
              <wp:posOffset>382270</wp:posOffset>
            </wp:positionV>
            <wp:extent cx="6071870" cy="431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-106045</wp:posOffset>
            </wp:positionV>
            <wp:extent cx="154305" cy="1543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8" w:name="page69"/>
    <w:bookmarkEnd w:id="68"/>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TABULAR EXECUTIVE COMPENSATION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07187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6" w:lineRule="exact"/>
        <w:rPr>
          <w:sz w:val="20"/>
          <w:szCs w:val="20"/>
          <w:color w:val="auto"/>
        </w:rPr>
      </w:pPr>
    </w:p>
    <w:p>
      <w:pPr>
        <w:ind w:left="347" w:right="240" w:hanging="347"/>
        <w:spacing w:after="0" w:line="271" w:lineRule="auto"/>
        <w:tabs>
          <w:tab w:leader="none" w:pos="347"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Amounts reported in this column represent amounts earned under the annual incentive plan for each of the years indicated, although the actual payments were made in the following year. No amounts were earned under long-term performance cash awards whose performance period ended during any of the years indicated. For a further discussion of these awards, see “Compensation Discussion and Analysis – Elements of 2016 Target Pay – Annual Incentives” beginning on page </w:t>
      </w:r>
      <w:hyperlink w:anchor="page53">
        <w:r>
          <w:rPr>
            <w:rFonts w:ascii="Arial" w:cs="Arial" w:eastAsia="Arial" w:hAnsi="Arial"/>
            <w:sz w:val="16"/>
            <w:szCs w:val="16"/>
            <w:u w:val="single" w:color="auto"/>
            <w:color w:val="0000EE"/>
          </w:rPr>
          <w:t>47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“Compensation Discussion and Analysis – Payment of Performance Awards for the 2014-2016 Award Cycle” on page </w:t>
      </w:r>
      <w:hyperlink w:anchor="page62">
        <w:r>
          <w:rPr>
            <w:rFonts w:ascii="Arial" w:cs="Arial" w:eastAsia="Arial" w:hAnsi="Arial"/>
            <w:sz w:val="16"/>
            <w:szCs w:val="16"/>
            <w:u w:val="single" w:color="auto"/>
            <w:color w:val="0000EE"/>
          </w:rPr>
          <w:t>56</w:t>
        </w:r>
      </w:hyperlink>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347" w:right="120" w:hanging="347"/>
        <w:spacing w:after="0" w:line="278" w:lineRule="auto"/>
        <w:tabs>
          <w:tab w:leader="none" w:pos="347" w:val="left"/>
        </w:tabs>
        <w:numPr>
          <w:ilvl w:val="0"/>
          <w:numId w:val="70"/>
        </w:numPr>
        <w:rPr>
          <w:rFonts w:ascii="Arial" w:cs="Arial" w:eastAsia="Arial" w:hAnsi="Arial"/>
          <w:sz w:val="16"/>
          <w:szCs w:val="16"/>
          <w:color w:val="auto"/>
        </w:rPr>
      </w:pPr>
      <w:r>
        <w:rPr>
          <w:rFonts w:ascii="Arial" w:cs="Arial" w:eastAsia="Arial" w:hAnsi="Arial"/>
          <w:sz w:val="16"/>
          <w:szCs w:val="16"/>
          <w:color w:val="auto"/>
        </w:rPr>
        <w:t>Amounts reported in this column represent the increase in the actuarial value of defined benefit plans and also include above-market interest earned on deferred compensation balances. Actuarial value computations are based on assumptions discussed in Note 19 to the audited consolidated financial statements included in L3’s 2016 Annual Report on Form 10-K.</w:t>
      </w:r>
    </w:p>
    <w:p>
      <w:pPr>
        <w:spacing w:after="0" w:line="22" w:lineRule="exact"/>
        <w:rPr>
          <w:rFonts w:ascii="Arial" w:cs="Arial" w:eastAsia="Arial" w:hAnsi="Arial"/>
          <w:sz w:val="16"/>
          <w:szCs w:val="16"/>
          <w:color w:val="auto"/>
        </w:rPr>
      </w:pPr>
    </w:p>
    <w:p>
      <w:pPr>
        <w:ind w:left="367" w:right="60"/>
        <w:spacing w:after="0" w:line="261" w:lineRule="auto"/>
        <w:rPr>
          <w:rFonts w:ascii="Arial" w:cs="Arial" w:eastAsia="Arial" w:hAnsi="Arial"/>
          <w:sz w:val="16"/>
          <w:szCs w:val="16"/>
          <w:color w:val="auto"/>
        </w:rPr>
      </w:pPr>
      <w:r>
        <w:rPr>
          <w:rFonts w:ascii="Arial" w:cs="Arial" w:eastAsia="Arial" w:hAnsi="Arial"/>
          <w:sz w:val="16"/>
          <w:szCs w:val="16"/>
          <w:color w:val="auto"/>
        </w:rPr>
        <w:t>None of the named executive officers earned above-market interest on deferred compensation balances for 2016 other than Mr. Brunson. The amount reported for Mr. Brunson for 2016 reflects an increase of $228,598 in the actuarial value of defined benefit plans, and $8,083 in above-market interest on deferred compensation balances.</w:t>
      </w:r>
    </w:p>
    <w:p>
      <w:pPr>
        <w:spacing w:after="0" w:line="20" w:lineRule="exact"/>
        <w:rPr>
          <w:rFonts w:ascii="Arial" w:cs="Arial" w:eastAsia="Arial" w:hAnsi="Arial"/>
          <w:sz w:val="16"/>
          <w:szCs w:val="16"/>
          <w:color w:val="auto"/>
        </w:rPr>
      </w:pPr>
    </w:p>
    <w:p>
      <w:pPr>
        <w:ind w:left="367"/>
        <w:spacing w:after="0"/>
        <w:rPr>
          <w:rFonts w:ascii="Arial" w:cs="Arial" w:eastAsia="Arial" w:hAnsi="Arial"/>
          <w:sz w:val="16"/>
          <w:szCs w:val="16"/>
          <w:color w:val="auto"/>
        </w:rPr>
      </w:pPr>
      <w:r>
        <w:rPr>
          <w:rFonts w:ascii="Arial" w:cs="Arial" w:eastAsia="Arial" w:hAnsi="Arial"/>
          <w:sz w:val="14"/>
          <w:szCs w:val="14"/>
          <w:color w:val="auto"/>
        </w:rPr>
        <w:t>Mr. Kubasik does not participate in L3’s defined benefit plans because they were closed to new participants hired on or after January 1, 2007.</w:t>
      </w:r>
    </w:p>
    <w:p>
      <w:pPr>
        <w:spacing w:after="0" w:line="42" w:lineRule="exact"/>
        <w:rPr>
          <w:rFonts w:ascii="Arial" w:cs="Arial" w:eastAsia="Arial" w:hAnsi="Arial"/>
          <w:sz w:val="16"/>
          <w:szCs w:val="16"/>
          <w:color w:val="auto"/>
        </w:rPr>
      </w:pPr>
    </w:p>
    <w:p>
      <w:pPr>
        <w:ind w:left="347" w:right="160" w:hanging="347"/>
        <w:spacing w:after="0" w:line="269" w:lineRule="auto"/>
        <w:tabs>
          <w:tab w:leader="none" w:pos="347"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increases in the actuarial value of defined benefit plans included in this column are strongly related to changes in actuarial assumptions made since 2013 as required under GAAP. The table below sets forth the different actuarial assumptions used to calculate the change in pension value for the years indicated:</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244475</wp:posOffset>
            </wp:positionH>
            <wp:positionV relativeFrom="paragraph">
              <wp:posOffset>24765</wp:posOffset>
            </wp:positionV>
            <wp:extent cx="55829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37" w:lineRule="exact"/>
        <w:rPr>
          <w:rFonts w:ascii="Arial" w:cs="Arial" w:eastAsia="Arial" w:hAnsi="Arial"/>
          <w:sz w:val="16"/>
          <w:szCs w:val="16"/>
          <w:color w:val="auto"/>
        </w:rPr>
      </w:pPr>
    </w:p>
    <w:tbl>
      <w:tblPr>
        <w:tblLayout w:type="fixed"/>
        <w:tblInd w:w="387" w:type="dxa"/>
        <w:tblCellMar>
          <w:top w:w="0" w:type="dxa"/>
          <w:left w:w="0" w:type="dxa"/>
          <w:bottom w:w="0" w:type="dxa"/>
          <w:right w:w="0" w:type="dxa"/>
        </w:tblCellMar>
      </w:tblPr>
      <w:tr>
        <w:trPr>
          <w:trHeight w:val="185"/>
        </w:trPr>
        <w:tc>
          <w:tcPr>
            <w:tcW w:w="1640" w:type="dxa"/>
            <w:vAlign w:val="bottom"/>
          </w:tcPr>
          <w:p>
            <w:pPr>
              <w:spacing w:after="0"/>
              <w:rPr>
                <w:sz w:val="16"/>
                <w:szCs w:val="16"/>
                <w:color w:val="auto"/>
              </w:rPr>
            </w:pPr>
          </w:p>
        </w:tc>
        <w:tc>
          <w:tcPr>
            <w:tcW w:w="1160" w:type="dxa"/>
            <w:vAlign w:val="bottom"/>
            <w:tcBorders>
              <w:bottom w:val="single" w:sz="8" w:color="005C7D"/>
            </w:tcBorders>
          </w:tcPr>
          <w:p>
            <w:pPr>
              <w:spacing w:after="0"/>
              <w:rPr>
                <w:sz w:val="16"/>
                <w:szCs w:val="16"/>
                <w:color w:val="auto"/>
              </w:rPr>
            </w:pPr>
          </w:p>
        </w:tc>
        <w:tc>
          <w:tcPr>
            <w:tcW w:w="5980" w:type="dxa"/>
            <w:vAlign w:val="bottom"/>
            <w:tcBorders>
              <w:bottom w:val="single" w:sz="8" w:color="005C7D"/>
            </w:tcBorders>
          </w:tcPr>
          <w:p>
            <w:pPr>
              <w:ind w:left="1720"/>
              <w:spacing w:after="0"/>
              <w:rPr>
                <w:sz w:val="20"/>
                <w:szCs w:val="20"/>
                <w:color w:val="auto"/>
              </w:rPr>
            </w:pPr>
            <w:r>
              <w:rPr>
                <w:rFonts w:ascii="Arial" w:cs="Arial" w:eastAsia="Arial" w:hAnsi="Arial"/>
                <w:sz w:val="14"/>
                <w:szCs w:val="14"/>
                <w:b w:val="1"/>
                <w:bCs w:val="1"/>
                <w:color w:val="auto"/>
              </w:rPr>
              <w:t>Actuarial Assumptions</w:t>
            </w:r>
          </w:p>
        </w:tc>
      </w:tr>
      <w:tr>
        <w:trPr>
          <w:trHeight w:val="183"/>
        </w:trPr>
        <w:tc>
          <w:tcPr>
            <w:tcW w:w="1640" w:type="dxa"/>
            <w:vAlign w:val="bottom"/>
            <w:tcBorders>
              <w:bottom w:val="single" w:sz="8" w:color="005C7D"/>
            </w:tcBorders>
          </w:tcPr>
          <w:p>
            <w:pPr>
              <w:ind w:left="20"/>
              <w:spacing w:after="0"/>
              <w:rPr>
                <w:sz w:val="20"/>
                <w:szCs w:val="20"/>
                <w:color w:val="auto"/>
              </w:rPr>
            </w:pPr>
            <w:r>
              <w:rPr>
                <w:rFonts w:ascii="Arial" w:cs="Arial" w:eastAsia="Arial" w:hAnsi="Arial"/>
                <w:sz w:val="14"/>
                <w:szCs w:val="14"/>
                <w:b w:val="1"/>
                <w:bCs w:val="1"/>
                <w:color w:val="auto"/>
              </w:rPr>
              <w:t>Year</w:t>
            </w:r>
          </w:p>
        </w:tc>
        <w:tc>
          <w:tcPr>
            <w:tcW w:w="1160" w:type="dxa"/>
            <w:vAlign w:val="bottom"/>
            <w:tcBorders>
              <w:bottom w:val="single" w:sz="8" w:color="005C7D"/>
            </w:tcBorders>
          </w:tcPr>
          <w:p>
            <w:pPr>
              <w:jc w:val="center"/>
              <w:spacing w:after="0"/>
              <w:rPr>
                <w:sz w:val="20"/>
                <w:szCs w:val="20"/>
                <w:color w:val="auto"/>
              </w:rPr>
            </w:pPr>
            <w:r>
              <w:rPr>
                <w:rFonts w:ascii="Arial" w:cs="Arial" w:eastAsia="Arial" w:hAnsi="Arial"/>
                <w:sz w:val="14"/>
                <w:szCs w:val="14"/>
                <w:b w:val="1"/>
                <w:bCs w:val="1"/>
                <w:color w:val="auto"/>
                <w:w w:val="91"/>
              </w:rPr>
              <w:t>Discount Rate</w:t>
            </w:r>
          </w:p>
        </w:tc>
        <w:tc>
          <w:tcPr>
            <w:tcW w:w="5980" w:type="dxa"/>
            <w:vAlign w:val="bottom"/>
            <w:tcBorders>
              <w:bottom w:val="single" w:sz="8" w:color="005C7D"/>
            </w:tcBorders>
          </w:tcPr>
          <w:p>
            <w:pPr>
              <w:ind w:left="2240"/>
              <w:spacing w:after="0"/>
              <w:rPr>
                <w:sz w:val="20"/>
                <w:szCs w:val="20"/>
                <w:color w:val="auto"/>
              </w:rPr>
            </w:pPr>
            <w:r>
              <w:rPr>
                <w:rFonts w:ascii="Arial" w:cs="Arial" w:eastAsia="Arial" w:hAnsi="Arial"/>
                <w:sz w:val="14"/>
                <w:szCs w:val="14"/>
                <w:b w:val="1"/>
                <w:bCs w:val="1"/>
                <w:color w:val="auto"/>
              </w:rPr>
              <w:t>Post-Retirement Mortality</w:t>
            </w:r>
          </w:p>
        </w:tc>
      </w:tr>
      <w:tr>
        <w:trPr>
          <w:trHeight w:val="200"/>
        </w:trPr>
        <w:tc>
          <w:tcPr>
            <w:tcW w:w="1640" w:type="dxa"/>
            <w:vAlign w:val="bottom"/>
            <w:shd w:val="clear" w:color="auto" w:fill="CDDAE6"/>
          </w:tcPr>
          <w:p>
            <w:pPr>
              <w:ind w:left="20"/>
              <w:spacing w:after="0"/>
              <w:rPr>
                <w:sz w:val="20"/>
                <w:szCs w:val="20"/>
                <w:color w:val="auto"/>
              </w:rPr>
            </w:pPr>
            <w:r>
              <w:rPr>
                <w:rFonts w:ascii="Arial" w:cs="Arial" w:eastAsia="Arial" w:hAnsi="Arial"/>
                <w:sz w:val="16"/>
                <w:szCs w:val="16"/>
                <w:color w:val="auto"/>
              </w:rPr>
              <w:t>2016</w:t>
            </w:r>
          </w:p>
        </w:tc>
        <w:tc>
          <w:tcPr>
            <w:tcW w:w="1160" w:type="dxa"/>
            <w:vAlign w:val="bottom"/>
            <w:shd w:val="clear" w:color="auto" w:fill="CDDAE6"/>
          </w:tcPr>
          <w:p>
            <w:pPr>
              <w:jc w:val="center"/>
              <w:spacing w:after="0"/>
              <w:rPr>
                <w:sz w:val="20"/>
                <w:szCs w:val="20"/>
                <w:color w:val="auto"/>
              </w:rPr>
            </w:pPr>
            <w:r>
              <w:rPr>
                <w:rFonts w:ascii="Arial" w:cs="Arial" w:eastAsia="Arial" w:hAnsi="Arial"/>
                <w:sz w:val="16"/>
                <w:szCs w:val="16"/>
                <w:color w:val="auto"/>
                <w:w w:val="92"/>
              </w:rPr>
              <w:t>4.46%</w:t>
            </w:r>
          </w:p>
        </w:tc>
        <w:tc>
          <w:tcPr>
            <w:tcW w:w="5980" w:type="dxa"/>
            <w:vAlign w:val="bottom"/>
            <w:shd w:val="clear" w:color="auto" w:fill="CDDAE6"/>
          </w:tcPr>
          <w:p>
            <w:pPr>
              <w:ind w:left="120"/>
              <w:spacing w:after="0"/>
              <w:rPr>
                <w:sz w:val="20"/>
                <w:szCs w:val="20"/>
                <w:color w:val="auto"/>
              </w:rPr>
            </w:pPr>
            <w:r>
              <w:rPr>
                <w:rFonts w:ascii="Arial" w:cs="Arial" w:eastAsia="Arial" w:hAnsi="Arial"/>
                <w:sz w:val="16"/>
                <w:szCs w:val="16"/>
                <w:color w:val="auto"/>
                <w:w w:val="93"/>
              </w:rPr>
              <w:t>RP-2014 Annuitant Mortality table (adjusted back to 2006), projected generationally with</w:t>
            </w:r>
          </w:p>
        </w:tc>
      </w:tr>
      <w:tr>
        <w:trPr>
          <w:trHeight w:val="226"/>
        </w:trPr>
        <w:tc>
          <w:tcPr>
            <w:tcW w:w="1640" w:type="dxa"/>
            <w:vAlign w:val="bottom"/>
            <w:shd w:val="clear" w:color="auto" w:fill="CDDAE6"/>
          </w:tcPr>
          <w:p>
            <w:pPr>
              <w:spacing w:after="0"/>
              <w:rPr>
                <w:sz w:val="19"/>
                <w:szCs w:val="19"/>
                <w:color w:val="auto"/>
              </w:rPr>
            </w:pPr>
          </w:p>
        </w:tc>
        <w:tc>
          <w:tcPr>
            <w:tcW w:w="1160" w:type="dxa"/>
            <w:vAlign w:val="bottom"/>
            <w:shd w:val="clear" w:color="auto" w:fill="CDDAE6"/>
          </w:tcPr>
          <w:p>
            <w:pPr>
              <w:spacing w:after="0"/>
              <w:rPr>
                <w:sz w:val="19"/>
                <w:szCs w:val="19"/>
                <w:color w:val="auto"/>
              </w:rPr>
            </w:pPr>
          </w:p>
        </w:tc>
        <w:tc>
          <w:tcPr>
            <w:tcW w:w="5980" w:type="dxa"/>
            <w:vAlign w:val="bottom"/>
            <w:shd w:val="clear" w:color="auto" w:fill="CDDAE6"/>
          </w:tcPr>
          <w:p>
            <w:pPr>
              <w:ind w:left="120"/>
              <w:spacing w:after="0"/>
              <w:rPr>
                <w:sz w:val="20"/>
                <w:szCs w:val="20"/>
                <w:color w:val="auto"/>
              </w:rPr>
            </w:pPr>
            <w:r>
              <w:rPr>
                <w:rFonts w:ascii="Arial" w:cs="Arial" w:eastAsia="Arial" w:hAnsi="Arial"/>
                <w:sz w:val="16"/>
                <w:szCs w:val="16"/>
                <w:color w:val="auto"/>
              </w:rPr>
              <w:t>the 2014 Social Security Administration Intermediate-Cost Projections Scale</w:t>
            </w:r>
          </w:p>
        </w:tc>
      </w:tr>
      <w:tr>
        <w:trPr>
          <w:trHeight w:val="206"/>
        </w:trPr>
        <w:tc>
          <w:tcPr>
            <w:tcW w:w="1640" w:type="dxa"/>
            <w:vAlign w:val="bottom"/>
          </w:tcPr>
          <w:p>
            <w:pPr>
              <w:ind w:left="20"/>
              <w:spacing w:after="0"/>
              <w:rPr>
                <w:sz w:val="20"/>
                <w:szCs w:val="20"/>
                <w:color w:val="auto"/>
              </w:rPr>
            </w:pPr>
            <w:r>
              <w:rPr>
                <w:rFonts w:ascii="Arial" w:cs="Arial" w:eastAsia="Arial" w:hAnsi="Arial"/>
                <w:sz w:val="16"/>
                <w:szCs w:val="16"/>
                <w:color w:val="auto"/>
              </w:rPr>
              <w:t>2015</w:t>
            </w:r>
          </w:p>
        </w:tc>
        <w:tc>
          <w:tcPr>
            <w:tcW w:w="1160" w:type="dxa"/>
            <w:vAlign w:val="bottom"/>
          </w:tcPr>
          <w:p>
            <w:pPr>
              <w:jc w:val="center"/>
              <w:spacing w:after="0"/>
              <w:rPr>
                <w:sz w:val="20"/>
                <w:szCs w:val="20"/>
                <w:color w:val="auto"/>
              </w:rPr>
            </w:pPr>
            <w:r>
              <w:rPr>
                <w:rFonts w:ascii="Arial" w:cs="Arial" w:eastAsia="Arial" w:hAnsi="Arial"/>
                <w:sz w:val="16"/>
                <w:szCs w:val="16"/>
                <w:color w:val="auto"/>
                <w:w w:val="92"/>
              </w:rPr>
              <w:t>4.70%</w:t>
            </w:r>
          </w:p>
        </w:tc>
        <w:tc>
          <w:tcPr>
            <w:tcW w:w="5980" w:type="dxa"/>
            <w:vAlign w:val="bottom"/>
          </w:tcPr>
          <w:p>
            <w:pPr>
              <w:ind w:left="120"/>
              <w:spacing w:after="0"/>
              <w:rPr>
                <w:sz w:val="20"/>
                <w:szCs w:val="20"/>
                <w:color w:val="auto"/>
              </w:rPr>
            </w:pPr>
            <w:r>
              <w:rPr>
                <w:rFonts w:ascii="Arial" w:cs="Arial" w:eastAsia="Arial" w:hAnsi="Arial"/>
                <w:sz w:val="16"/>
                <w:szCs w:val="16"/>
                <w:color w:val="auto"/>
                <w:w w:val="93"/>
              </w:rPr>
              <w:t>RP-2014 Annuitant Mortality table (adjusted back to 2006), projected generationally with</w:t>
            </w:r>
          </w:p>
        </w:tc>
      </w:tr>
      <w:tr>
        <w:trPr>
          <w:trHeight w:val="216"/>
        </w:trPr>
        <w:tc>
          <w:tcPr>
            <w:tcW w:w="1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980" w:type="dxa"/>
            <w:vAlign w:val="bottom"/>
          </w:tcPr>
          <w:p>
            <w:pPr>
              <w:ind w:left="120"/>
              <w:spacing w:after="0"/>
              <w:rPr>
                <w:sz w:val="20"/>
                <w:szCs w:val="20"/>
                <w:color w:val="auto"/>
              </w:rPr>
            </w:pPr>
            <w:r>
              <w:rPr>
                <w:rFonts w:ascii="Arial" w:cs="Arial" w:eastAsia="Arial" w:hAnsi="Arial"/>
                <w:sz w:val="16"/>
                <w:szCs w:val="16"/>
                <w:color w:val="auto"/>
              </w:rPr>
              <w:t>the 2014 Social Security Administration Intermediate-Cost Projections Scale</w:t>
            </w:r>
          </w:p>
        </w:tc>
      </w:tr>
      <w:tr>
        <w:trPr>
          <w:trHeight w:val="216"/>
        </w:trPr>
        <w:tc>
          <w:tcPr>
            <w:tcW w:w="1640" w:type="dxa"/>
            <w:vAlign w:val="bottom"/>
            <w:shd w:val="clear" w:color="auto" w:fill="CDDAE6"/>
          </w:tcPr>
          <w:p>
            <w:pPr>
              <w:ind w:left="20"/>
              <w:spacing w:after="0"/>
              <w:rPr>
                <w:sz w:val="20"/>
                <w:szCs w:val="20"/>
                <w:color w:val="auto"/>
              </w:rPr>
            </w:pPr>
            <w:r>
              <w:rPr>
                <w:rFonts w:ascii="Arial" w:cs="Arial" w:eastAsia="Arial" w:hAnsi="Arial"/>
                <w:sz w:val="16"/>
                <w:szCs w:val="16"/>
                <w:color w:val="auto"/>
              </w:rPr>
              <w:t>2014</w:t>
            </w:r>
          </w:p>
        </w:tc>
        <w:tc>
          <w:tcPr>
            <w:tcW w:w="1160" w:type="dxa"/>
            <w:vAlign w:val="bottom"/>
            <w:shd w:val="clear" w:color="auto" w:fill="CDDAE6"/>
          </w:tcPr>
          <w:p>
            <w:pPr>
              <w:jc w:val="center"/>
              <w:spacing w:after="0"/>
              <w:rPr>
                <w:sz w:val="20"/>
                <w:szCs w:val="20"/>
                <w:color w:val="auto"/>
              </w:rPr>
            </w:pPr>
            <w:r>
              <w:rPr>
                <w:rFonts w:ascii="Arial" w:cs="Arial" w:eastAsia="Arial" w:hAnsi="Arial"/>
                <w:sz w:val="16"/>
                <w:szCs w:val="16"/>
                <w:color w:val="auto"/>
                <w:w w:val="92"/>
              </w:rPr>
              <w:t>4.20%</w:t>
            </w:r>
          </w:p>
        </w:tc>
        <w:tc>
          <w:tcPr>
            <w:tcW w:w="5980" w:type="dxa"/>
            <w:vAlign w:val="bottom"/>
            <w:shd w:val="clear" w:color="auto" w:fill="CDDAE6"/>
          </w:tcPr>
          <w:p>
            <w:pPr>
              <w:ind w:left="120"/>
              <w:spacing w:after="0"/>
              <w:rPr>
                <w:sz w:val="20"/>
                <w:szCs w:val="20"/>
                <w:color w:val="auto"/>
              </w:rPr>
            </w:pPr>
            <w:r>
              <w:rPr>
                <w:rFonts w:ascii="Arial" w:cs="Arial" w:eastAsia="Arial" w:hAnsi="Arial"/>
                <w:sz w:val="16"/>
                <w:szCs w:val="16"/>
                <w:color w:val="auto"/>
                <w:w w:val="93"/>
              </w:rPr>
              <w:t>RP-2014 Annuitant Mortality table (adjusted back to 2006), projected generationally with</w:t>
            </w:r>
          </w:p>
        </w:tc>
      </w:tr>
      <w:tr>
        <w:trPr>
          <w:trHeight w:val="226"/>
        </w:trPr>
        <w:tc>
          <w:tcPr>
            <w:tcW w:w="1640" w:type="dxa"/>
            <w:vAlign w:val="bottom"/>
            <w:shd w:val="clear" w:color="auto" w:fill="CDDAE6"/>
          </w:tcPr>
          <w:p>
            <w:pPr>
              <w:spacing w:after="0"/>
              <w:rPr>
                <w:sz w:val="19"/>
                <w:szCs w:val="19"/>
                <w:color w:val="auto"/>
              </w:rPr>
            </w:pPr>
          </w:p>
        </w:tc>
        <w:tc>
          <w:tcPr>
            <w:tcW w:w="1160" w:type="dxa"/>
            <w:vAlign w:val="bottom"/>
            <w:shd w:val="clear" w:color="auto" w:fill="CDDAE6"/>
          </w:tcPr>
          <w:p>
            <w:pPr>
              <w:spacing w:after="0"/>
              <w:rPr>
                <w:sz w:val="19"/>
                <w:szCs w:val="19"/>
                <w:color w:val="auto"/>
              </w:rPr>
            </w:pPr>
          </w:p>
        </w:tc>
        <w:tc>
          <w:tcPr>
            <w:tcW w:w="5980" w:type="dxa"/>
            <w:vAlign w:val="bottom"/>
            <w:shd w:val="clear" w:color="auto" w:fill="CDDAE6"/>
          </w:tcPr>
          <w:p>
            <w:pPr>
              <w:ind w:left="120"/>
              <w:spacing w:after="0"/>
              <w:rPr>
                <w:sz w:val="20"/>
                <w:szCs w:val="20"/>
                <w:color w:val="auto"/>
              </w:rPr>
            </w:pPr>
            <w:r>
              <w:rPr>
                <w:rFonts w:ascii="Arial" w:cs="Arial" w:eastAsia="Arial" w:hAnsi="Arial"/>
                <w:sz w:val="16"/>
                <w:szCs w:val="16"/>
                <w:color w:val="auto"/>
              </w:rPr>
              <w:t>the 2014 Social Security Administration Intermediate-Cost Projections Scale</w:t>
            </w:r>
          </w:p>
        </w:tc>
      </w:tr>
      <w:tr>
        <w:trPr>
          <w:trHeight w:val="223"/>
        </w:trPr>
        <w:tc>
          <w:tcPr>
            <w:tcW w:w="1640" w:type="dxa"/>
            <w:vAlign w:val="bottom"/>
            <w:tcBorders>
              <w:bottom w:val="single" w:sz="8" w:color="005C7D"/>
            </w:tcBorders>
          </w:tcPr>
          <w:p>
            <w:pPr>
              <w:ind w:left="20"/>
              <w:spacing w:after="0"/>
              <w:rPr>
                <w:sz w:val="20"/>
                <w:szCs w:val="20"/>
                <w:color w:val="auto"/>
              </w:rPr>
            </w:pPr>
            <w:r>
              <w:rPr>
                <w:rFonts w:ascii="Arial" w:cs="Arial" w:eastAsia="Arial" w:hAnsi="Arial"/>
                <w:sz w:val="16"/>
                <w:szCs w:val="16"/>
                <w:color w:val="auto"/>
              </w:rPr>
              <w:t>2013</w:t>
            </w:r>
          </w:p>
        </w:tc>
        <w:tc>
          <w:tcPr>
            <w:tcW w:w="1160" w:type="dxa"/>
            <w:vAlign w:val="bottom"/>
            <w:tcBorders>
              <w:bottom w:val="single" w:sz="8" w:color="005C7D"/>
            </w:tcBorders>
          </w:tcPr>
          <w:p>
            <w:pPr>
              <w:jc w:val="center"/>
              <w:spacing w:after="0"/>
              <w:rPr>
                <w:sz w:val="20"/>
                <w:szCs w:val="20"/>
                <w:color w:val="auto"/>
              </w:rPr>
            </w:pPr>
            <w:r>
              <w:rPr>
                <w:rFonts w:ascii="Arial" w:cs="Arial" w:eastAsia="Arial" w:hAnsi="Arial"/>
                <w:sz w:val="16"/>
                <w:szCs w:val="16"/>
                <w:color w:val="auto"/>
                <w:w w:val="92"/>
              </w:rPr>
              <w:t>5.10%</w:t>
            </w:r>
          </w:p>
        </w:tc>
        <w:tc>
          <w:tcPr>
            <w:tcW w:w="5980" w:type="dxa"/>
            <w:vAlign w:val="bottom"/>
            <w:tcBorders>
              <w:bottom w:val="single" w:sz="8" w:color="005C7D"/>
            </w:tcBorders>
          </w:tcPr>
          <w:p>
            <w:pPr>
              <w:ind w:left="120"/>
              <w:spacing w:after="0"/>
              <w:rPr>
                <w:sz w:val="20"/>
                <w:szCs w:val="20"/>
                <w:color w:val="auto"/>
              </w:rPr>
            </w:pPr>
            <w:r>
              <w:rPr>
                <w:rFonts w:ascii="Arial" w:cs="Arial" w:eastAsia="Arial" w:hAnsi="Arial"/>
                <w:sz w:val="16"/>
                <w:szCs w:val="16"/>
                <w:color w:val="auto"/>
              </w:rPr>
              <w:t>RP-2000 Annuitant Mortality table, projected 7 years from valuation date</w:t>
            </w:r>
          </w:p>
        </w:tc>
      </w:tr>
    </w:tbl>
    <w:p>
      <w:pPr>
        <w:spacing w:after="0" w:line="125" w:lineRule="exact"/>
        <w:rPr>
          <w:rFonts w:ascii="Arial" w:cs="Arial" w:eastAsia="Arial" w:hAnsi="Arial"/>
          <w:sz w:val="16"/>
          <w:szCs w:val="16"/>
          <w:color w:val="auto"/>
        </w:rPr>
      </w:pPr>
    </w:p>
    <w:p>
      <w:pPr>
        <w:ind w:left="367" w:right="160"/>
        <w:spacing w:after="0" w:line="275" w:lineRule="auto"/>
        <w:rPr>
          <w:sz w:val="20"/>
          <w:szCs w:val="20"/>
          <w:color w:val="auto"/>
        </w:rPr>
      </w:pPr>
      <w:r>
        <w:rPr>
          <w:rFonts w:ascii="Arial" w:cs="Arial" w:eastAsia="Arial" w:hAnsi="Arial"/>
          <w:sz w:val="16"/>
          <w:szCs w:val="16"/>
          <w:color w:val="auto"/>
        </w:rPr>
        <w:t>If no change had been made to the 2013 discount rate and mortality assumptions, the amounts that would have been reported in this column for the named executive officers for 2016, 2015 and 2014 would have been as follows:</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244475</wp:posOffset>
            </wp:positionH>
            <wp:positionV relativeFrom="paragraph">
              <wp:posOffset>12700</wp:posOffset>
            </wp:positionV>
            <wp:extent cx="55829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18" w:lineRule="exact"/>
        <w:rPr>
          <w:rFonts w:ascii="Arial" w:cs="Arial" w:eastAsia="Arial" w:hAnsi="Arial"/>
          <w:sz w:val="16"/>
          <w:szCs w:val="16"/>
          <w:color w:val="auto"/>
        </w:rPr>
      </w:pPr>
    </w:p>
    <w:p>
      <w:pPr>
        <w:jc w:val="center"/>
        <w:ind w:left="5960"/>
        <w:spacing w:after="0"/>
        <w:rPr>
          <w:sz w:val="20"/>
          <w:szCs w:val="20"/>
          <w:color w:val="auto"/>
        </w:rPr>
      </w:pPr>
      <w:r>
        <w:rPr>
          <w:rFonts w:ascii="Arial" w:cs="Arial" w:eastAsia="Arial" w:hAnsi="Arial"/>
          <w:sz w:val="14"/>
          <w:szCs w:val="14"/>
          <w:b w:val="1"/>
          <w:bCs w:val="1"/>
          <w:color w:val="auto"/>
        </w:rPr>
        <w:t>Change in Pension Value and</w:t>
      </w:r>
    </w:p>
    <w:p>
      <w:pPr>
        <w:spacing w:after="0" w:line="17" w:lineRule="exact"/>
        <w:rPr>
          <w:rFonts w:ascii="Arial" w:cs="Arial" w:eastAsia="Arial" w:hAnsi="Arial"/>
          <w:sz w:val="16"/>
          <w:szCs w:val="16"/>
          <w:color w:val="auto"/>
        </w:rPr>
      </w:pPr>
    </w:p>
    <w:p>
      <w:pPr>
        <w:jc w:val="center"/>
        <w:ind w:left="5960"/>
        <w:spacing w:after="0"/>
        <w:rPr>
          <w:sz w:val="20"/>
          <w:szCs w:val="20"/>
          <w:color w:val="auto"/>
        </w:rPr>
      </w:pPr>
      <w:r>
        <w:rPr>
          <w:rFonts w:ascii="Arial" w:cs="Arial" w:eastAsia="Arial" w:hAnsi="Arial"/>
          <w:sz w:val="14"/>
          <w:szCs w:val="14"/>
          <w:b w:val="1"/>
          <w:bCs w:val="1"/>
          <w:color w:val="auto"/>
        </w:rPr>
        <w:t>Nonqualified Deferred</w:t>
      </w:r>
    </w:p>
    <w:p>
      <w:pPr>
        <w:spacing w:after="0" w:line="1" w:lineRule="exact"/>
        <w:rPr>
          <w:rFonts w:ascii="Arial" w:cs="Arial" w:eastAsia="Arial" w:hAnsi="Arial"/>
          <w:sz w:val="16"/>
          <w:szCs w:val="16"/>
          <w:color w:val="auto"/>
        </w:rPr>
      </w:pPr>
    </w:p>
    <w:p>
      <w:pPr>
        <w:jc w:val="center"/>
        <w:ind w:left="5960"/>
        <w:spacing w:after="0"/>
        <w:rPr>
          <w:sz w:val="20"/>
          <w:szCs w:val="20"/>
          <w:color w:val="auto"/>
        </w:rPr>
      </w:pPr>
      <w:r>
        <w:rPr>
          <w:rFonts w:ascii="Arial" w:cs="Arial" w:eastAsia="Arial" w:hAnsi="Arial"/>
          <w:sz w:val="14"/>
          <w:szCs w:val="14"/>
          <w:b w:val="1"/>
          <w:bCs w:val="1"/>
          <w:color w:val="auto"/>
        </w:rPr>
        <w:t>Compensation</w:t>
      </w:r>
    </w:p>
    <w:p>
      <w:pPr>
        <w:spacing w:after="0" w:line="1" w:lineRule="exact"/>
        <w:rPr>
          <w:rFonts w:ascii="Arial" w:cs="Arial" w:eastAsia="Arial" w:hAnsi="Arial"/>
          <w:sz w:val="16"/>
          <w:szCs w:val="16"/>
          <w:color w:val="auto"/>
        </w:rPr>
      </w:pPr>
    </w:p>
    <w:p>
      <w:pPr>
        <w:jc w:val="center"/>
        <w:ind w:left="5960"/>
        <w:spacing w:after="0"/>
        <w:rPr>
          <w:sz w:val="20"/>
          <w:szCs w:val="20"/>
          <w:color w:val="auto"/>
        </w:rPr>
      </w:pPr>
      <w:r>
        <w:rPr>
          <w:rFonts w:ascii="Arial" w:cs="Arial" w:eastAsia="Arial" w:hAnsi="Arial"/>
          <w:sz w:val="14"/>
          <w:szCs w:val="14"/>
          <w:b w:val="1"/>
          <w:bCs w:val="1"/>
          <w:color w:val="auto"/>
        </w:rPr>
        <w:t>Earnings</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4069080</wp:posOffset>
            </wp:positionH>
            <wp:positionV relativeFrom="paragraph">
              <wp:posOffset>5080</wp:posOffset>
            </wp:positionV>
            <wp:extent cx="16979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6" w:lineRule="exact"/>
        <w:rPr>
          <w:rFonts w:ascii="Arial" w:cs="Arial" w:eastAsia="Arial" w:hAnsi="Arial"/>
          <w:sz w:val="16"/>
          <w:szCs w:val="16"/>
          <w:color w:val="auto"/>
        </w:rPr>
      </w:pPr>
    </w:p>
    <w:tbl>
      <w:tblPr>
        <w:tblLayout w:type="fixed"/>
        <w:tblInd w:w="387"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3100" w:type="dxa"/>
            <w:vAlign w:val="bottom"/>
          </w:tcPr>
          <w:p>
            <w:pPr>
              <w:jc w:val="right"/>
              <w:ind w:right="322"/>
              <w:spacing w:after="0"/>
              <w:rPr>
                <w:sz w:val="20"/>
                <w:szCs w:val="20"/>
                <w:color w:val="auto"/>
              </w:rPr>
            </w:pPr>
            <w:r>
              <w:rPr>
                <w:rFonts w:ascii="Arial" w:cs="Arial" w:eastAsia="Arial" w:hAnsi="Arial"/>
                <w:sz w:val="14"/>
                <w:szCs w:val="14"/>
                <w:b w:val="1"/>
                <w:bCs w:val="1"/>
                <w:color w:val="auto"/>
              </w:rPr>
              <w:t>2016</w:t>
            </w:r>
          </w:p>
        </w:tc>
        <w:tc>
          <w:tcPr>
            <w:tcW w:w="960" w:type="dxa"/>
            <w:vAlign w:val="bottom"/>
          </w:tcPr>
          <w:p>
            <w:pPr>
              <w:jc w:val="right"/>
              <w:ind w:right="342"/>
              <w:spacing w:after="0"/>
              <w:rPr>
                <w:sz w:val="20"/>
                <w:szCs w:val="20"/>
                <w:color w:val="auto"/>
              </w:rPr>
            </w:pPr>
            <w:r>
              <w:rPr>
                <w:rFonts w:ascii="Arial" w:cs="Arial" w:eastAsia="Arial" w:hAnsi="Arial"/>
                <w:sz w:val="14"/>
                <w:szCs w:val="14"/>
                <w:b w:val="1"/>
                <w:bCs w:val="1"/>
                <w:color w:val="auto"/>
              </w:rPr>
              <w:t>2015</w:t>
            </w:r>
          </w:p>
        </w:tc>
        <w:tc>
          <w:tcPr>
            <w:tcW w:w="880" w:type="dxa"/>
            <w:vAlign w:val="bottom"/>
          </w:tcPr>
          <w:p>
            <w:pPr>
              <w:jc w:val="right"/>
              <w:ind w:right="242"/>
              <w:spacing w:after="0"/>
              <w:rPr>
                <w:sz w:val="20"/>
                <w:szCs w:val="20"/>
                <w:color w:val="auto"/>
              </w:rPr>
            </w:pPr>
            <w:r>
              <w:rPr>
                <w:rFonts w:ascii="Arial" w:cs="Arial" w:eastAsia="Arial" w:hAnsi="Arial"/>
                <w:sz w:val="14"/>
                <w:szCs w:val="14"/>
                <w:b w:val="1"/>
                <w:bCs w:val="1"/>
                <w:color w:val="auto"/>
              </w:rPr>
              <w:t>2014</w:t>
            </w:r>
          </w:p>
        </w:tc>
      </w:tr>
      <w:tr>
        <w:trPr>
          <w:trHeight w:val="185"/>
        </w:trPr>
        <w:tc>
          <w:tcPr>
            <w:tcW w:w="3840" w:type="dxa"/>
            <w:vAlign w:val="bottom"/>
            <w:tcBorders>
              <w:bottom w:val="single" w:sz="8" w:color="005C7D"/>
            </w:tcBorders>
          </w:tcPr>
          <w:p>
            <w:pPr>
              <w:ind w:left="20"/>
              <w:spacing w:after="0"/>
              <w:rPr>
                <w:sz w:val="20"/>
                <w:szCs w:val="20"/>
                <w:color w:val="auto"/>
              </w:rPr>
            </w:pPr>
            <w:r>
              <w:rPr>
                <w:rFonts w:ascii="Arial" w:cs="Arial" w:eastAsia="Arial" w:hAnsi="Arial"/>
                <w:sz w:val="14"/>
                <w:szCs w:val="14"/>
                <w:b w:val="1"/>
                <w:bCs w:val="1"/>
                <w:color w:val="auto"/>
              </w:rPr>
              <w:t>Name</w:t>
            </w:r>
          </w:p>
        </w:tc>
        <w:tc>
          <w:tcPr>
            <w:tcW w:w="3100" w:type="dxa"/>
            <w:vAlign w:val="bottom"/>
            <w:tcBorders>
              <w:bottom w:val="single" w:sz="8" w:color="005C7D"/>
            </w:tcBorders>
          </w:tcPr>
          <w:p>
            <w:pPr>
              <w:jc w:val="right"/>
              <w:ind w:right="382"/>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005C7D"/>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005C7D"/>
            </w:tcBorders>
          </w:tcPr>
          <w:p>
            <w:pPr>
              <w:jc w:val="right"/>
              <w:ind w:right="302"/>
              <w:spacing w:after="0"/>
              <w:rPr>
                <w:sz w:val="20"/>
                <w:szCs w:val="20"/>
                <w:color w:val="auto"/>
              </w:rPr>
            </w:pPr>
            <w:r>
              <w:rPr>
                <w:rFonts w:ascii="Arial" w:cs="Arial" w:eastAsia="Arial" w:hAnsi="Arial"/>
                <w:sz w:val="14"/>
                <w:szCs w:val="14"/>
                <w:b w:val="1"/>
                <w:bCs w:val="1"/>
                <w:color w:val="auto"/>
              </w:rPr>
              <w:t>($)</w:t>
            </w:r>
          </w:p>
        </w:tc>
      </w:tr>
      <w:tr>
        <w:trPr>
          <w:trHeight w:val="223"/>
        </w:trPr>
        <w:tc>
          <w:tcPr>
            <w:tcW w:w="3840" w:type="dxa"/>
            <w:vAlign w:val="bottom"/>
            <w:shd w:val="clear" w:color="auto" w:fill="CDDAE6"/>
          </w:tcPr>
          <w:p>
            <w:pPr>
              <w:ind w:left="20"/>
              <w:spacing w:after="0"/>
              <w:rPr>
                <w:sz w:val="20"/>
                <w:szCs w:val="20"/>
                <w:color w:val="auto"/>
              </w:rPr>
            </w:pPr>
            <w:r>
              <w:rPr>
                <w:rFonts w:ascii="Arial" w:cs="Arial" w:eastAsia="Arial" w:hAnsi="Arial"/>
                <w:sz w:val="16"/>
                <w:szCs w:val="16"/>
                <w:color w:val="auto"/>
              </w:rPr>
              <w:t>Michael T. Strianese</w:t>
            </w:r>
          </w:p>
        </w:tc>
        <w:tc>
          <w:tcPr>
            <w:tcW w:w="3100" w:type="dxa"/>
            <w:vAlign w:val="bottom"/>
            <w:shd w:val="clear" w:color="auto" w:fill="CDDAE6"/>
          </w:tcPr>
          <w:p>
            <w:pPr>
              <w:jc w:val="right"/>
              <w:ind w:right="82"/>
              <w:spacing w:after="0"/>
              <w:rPr>
                <w:sz w:val="20"/>
                <w:szCs w:val="20"/>
                <w:color w:val="auto"/>
              </w:rPr>
            </w:pPr>
            <w:r>
              <w:rPr>
                <w:rFonts w:ascii="Arial" w:cs="Arial" w:eastAsia="Arial" w:hAnsi="Arial"/>
                <w:sz w:val="16"/>
                <w:szCs w:val="16"/>
                <w:color w:val="auto"/>
              </w:rPr>
              <w:t>1,481,238</w:t>
            </w:r>
          </w:p>
        </w:tc>
        <w:tc>
          <w:tcPr>
            <w:tcW w:w="960" w:type="dxa"/>
            <w:vAlign w:val="bottom"/>
            <w:shd w:val="clear" w:color="auto" w:fill="CDDAE6"/>
          </w:tcPr>
          <w:p>
            <w:pPr>
              <w:jc w:val="right"/>
              <w:ind w:right="82"/>
              <w:spacing w:after="0"/>
              <w:rPr>
                <w:sz w:val="20"/>
                <w:szCs w:val="20"/>
                <w:color w:val="auto"/>
              </w:rPr>
            </w:pPr>
            <w:r>
              <w:rPr>
                <w:rFonts w:ascii="Arial" w:cs="Arial" w:eastAsia="Arial" w:hAnsi="Arial"/>
                <w:sz w:val="16"/>
                <w:szCs w:val="16"/>
                <w:color w:val="auto"/>
              </w:rPr>
              <w:t>1,378,372</w:t>
            </w:r>
          </w:p>
        </w:tc>
        <w:tc>
          <w:tcPr>
            <w:tcW w:w="880" w:type="dxa"/>
            <w:vAlign w:val="bottom"/>
            <w:shd w:val="clear" w:color="auto" w:fill="CDDAE6"/>
          </w:tcPr>
          <w:p>
            <w:pPr>
              <w:jc w:val="right"/>
              <w:ind w:right="2"/>
              <w:spacing w:after="0"/>
              <w:rPr>
                <w:sz w:val="20"/>
                <w:szCs w:val="20"/>
                <w:color w:val="auto"/>
              </w:rPr>
            </w:pPr>
            <w:r>
              <w:rPr>
                <w:rFonts w:ascii="Arial" w:cs="Arial" w:eastAsia="Arial" w:hAnsi="Arial"/>
                <w:sz w:val="16"/>
                <w:szCs w:val="16"/>
                <w:color w:val="auto"/>
              </w:rPr>
              <w:t>1,456,991</w:t>
            </w:r>
          </w:p>
        </w:tc>
      </w:tr>
      <w:tr>
        <w:trPr>
          <w:trHeight w:val="220"/>
        </w:trPr>
        <w:tc>
          <w:tcPr>
            <w:tcW w:w="3840" w:type="dxa"/>
            <w:vAlign w:val="bottom"/>
          </w:tcPr>
          <w:p>
            <w:pPr>
              <w:ind w:left="20"/>
              <w:spacing w:after="0"/>
              <w:rPr>
                <w:sz w:val="20"/>
                <w:szCs w:val="20"/>
                <w:color w:val="auto"/>
              </w:rPr>
            </w:pPr>
            <w:r>
              <w:rPr>
                <w:rFonts w:ascii="Arial" w:cs="Arial" w:eastAsia="Arial" w:hAnsi="Arial"/>
                <w:sz w:val="16"/>
                <w:szCs w:val="16"/>
                <w:color w:val="auto"/>
              </w:rPr>
              <w:t>Christopher E. Kubasik</w:t>
            </w:r>
          </w:p>
        </w:tc>
        <w:tc>
          <w:tcPr>
            <w:tcW w:w="31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9"/>
        </w:trPr>
        <w:tc>
          <w:tcPr>
            <w:tcW w:w="3840" w:type="dxa"/>
            <w:vAlign w:val="bottom"/>
            <w:shd w:val="clear" w:color="auto" w:fill="CDDAE6"/>
          </w:tcPr>
          <w:p>
            <w:pPr>
              <w:ind w:left="20"/>
              <w:spacing w:after="0"/>
              <w:rPr>
                <w:sz w:val="20"/>
                <w:szCs w:val="20"/>
                <w:color w:val="auto"/>
              </w:rPr>
            </w:pPr>
            <w:r>
              <w:rPr>
                <w:rFonts w:ascii="Arial" w:cs="Arial" w:eastAsia="Arial" w:hAnsi="Arial"/>
                <w:sz w:val="16"/>
                <w:szCs w:val="16"/>
                <w:color w:val="auto"/>
              </w:rPr>
              <w:t>Ralph G. D’Ambrosio</w:t>
            </w:r>
          </w:p>
        </w:tc>
        <w:tc>
          <w:tcPr>
            <w:tcW w:w="3100" w:type="dxa"/>
            <w:vAlign w:val="bottom"/>
            <w:shd w:val="clear" w:color="auto" w:fill="CDDAE6"/>
          </w:tcPr>
          <w:p>
            <w:pPr>
              <w:jc w:val="right"/>
              <w:ind w:right="82"/>
              <w:spacing w:after="0"/>
              <w:rPr>
                <w:sz w:val="20"/>
                <w:szCs w:val="20"/>
                <w:color w:val="auto"/>
              </w:rPr>
            </w:pPr>
            <w:r>
              <w:rPr>
                <w:rFonts w:ascii="Arial" w:cs="Arial" w:eastAsia="Arial" w:hAnsi="Arial"/>
                <w:sz w:val="16"/>
                <w:szCs w:val="16"/>
                <w:color w:val="auto"/>
              </w:rPr>
              <w:t>242,351</w:t>
            </w:r>
          </w:p>
        </w:tc>
        <w:tc>
          <w:tcPr>
            <w:tcW w:w="960" w:type="dxa"/>
            <w:vAlign w:val="bottom"/>
            <w:shd w:val="clear" w:color="auto" w:fill="CDDAE6"/>
          </w:tcPr>
          <w:p>
            <w:pPr>
              <w:jc w:val="right"/>
              <w:ind w:right="82"/>
              <w:spacing w:after="0"/>
              <w:rPr>
                <w:sz w:val="20"/>
                <w:szCs w:val="20"/>
                <w:color w:val="auto"/>
              </w:rPr>
            </w:pPr>
            <w:r>
              <w:rPr>
                <w:rFonts w:ascii="Arial" w:cs="Arial" w:eastAsia="Arial" w:hAnsi="Arial"/>
                <w:sz w:val="16"/>
                <w:szCs w:val="16"/>
                <w:color w:val="auto"/>
              </w:rPr>
              <w:t>224,501</w:t>
            </w:r>
          </w:p>
        </w:tc>
        <w:tc>
          <w:tcPr>
            <w:tcW w:w="880" w:type="dxa"/>
            <w:vAlign w:val="bottom"/>
            <w:shd w:val="clear" w:color="auto" w:fill="CDDAE6"/>
          </w:tcPr>
          <w:p>
            <w:pPr>
              <w:jc w:val="right"/>
              <w:ind w:right="2"/>
              <w:spacing w:after="0"/>
              <w:rPr>
                <w:sz w:val="20"/>
                <w:szCs w:val="20"/>
                <w:color w:val="auto"/>
              </w:rPr>
            </w:pPr>
            <w:r>
              <w:rPr>
                <w:rFonts w:ascii="Arial" w:cs="Arial" w:eastAsia="Arial" w:hAnsi="Arial"/>
                <w:sz w:val="16"/>
                <w:szCs w:val="16"/>
                <w:color w:val="auto"/>
              </w:rPr>
              <w:t>286,941</w:t>
            </w:r>
          </w:p>
        </w:tc>
      </w:tr>
      <w:tr>
        <w:trPr>
          <w:trHeight w:val="220"/>
        </w:trPr>
        <w:tc>
          <w:tcPr>
            <w:tcW w:w="3840" w:type="dxa"/>
            <w:vAlign w:val="bottom"/>
          </w:tcPr>
          <w:p>
            <w:pPr>
              <w:ind w:left="20"/>
              <w:spacing w:after="0"/>
              <w:rPr>
                <w:sz w:val="20"/>
                <w:szCs w:val="20"/>
                <w:color w:val="auto"/>
              </w:rPr>
            </w:pPr>
            <w:r>
              <w:rPr>
                <w:rFonts w:ascii="Arial" w:cs="Arial" w:eastAsia="Arial" w:hAnsi="Arial"/>
                <w:sz w:val="16"/>
                <w:szCs w:val="16"/>
                <w:color w:val="auto"/>
              </w:rPr>
              <w:t>Curtis Brunson</w:t>
            </w:r>
          </w:p>
        </w:tc>
        <w:tc>
          <w:tcPr>
            <w:tcW w:w="3100" w:type="dxa"/>
            <w:vAlign w:val="bottom"/>
          </w:tcPr>
          <w:p>
            <w:pPr>
              <w:jc w:val="right"/>
              <w:ind w:right="82"/>
              <w:spacing w:after="0"/>
              <w:rPr>
                <w:sz w:val="20"/>
                <w:szCs w:val="20"/>
                <w:color w:val="auto"/>
              </w:rPr>
            </w:pPr>
            <w:r>
              <w:rPr>
                <w:rFonts w:ascii="Arial" w:cs="Arial" w:eastAsia="Arial" w:hAnsi="Arial"/>
                <w:sz w:val="16"/>
                <w:szCs w:val="16"/>
                <w:color w:val="auto"/>
              </w:rPr>
              <w:t>135,492</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152,440</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223,309</w:t>
            </w:r>
          </w:p>
        </w:tc>
      </w:tr>
      <w:tr>
        <w:trPr>
          <w:trHeight w:val="233"/>
        </w:trPr>
        <w:tc>
          <w:tcPr>
            <w:tcW w:w="3840" w:type="dxa"/>
            <w:vAlign w:val="bottom"/>
            <w:tcBorders>
              <w:bottom w:val="single" w:sz="8" w:color="005C7D"/>
            </w:tcBorders>
            <w:shd w:val="clear" w:color="auto" w:fill="CDDAE6"/>
          </w:tcPr>
          <w:p>
            <w:pPr>
              <w:ind w:left="20"/>
              <w:spacing w:after="0"/>
              <w:rPr>
                <w:sz w:val="20"/>
                <w:szCs w:val="20"/>
                <w:color w:val="auto"/>
              </w:rPr>
            </w:pPr>
            <w:r>
              <w:rPr>
                <w:rFonts w:ascii="Arial" w:cs="Arial" w:eastAsia="Arial" w:hAnsi="Arial"/>
                <w:sz w:val="16"/>
                <w:szCs w:val="16"/>
                <w:color w:val="auto"/>
              </w:rPr>
              <w:t>Steve Kantor</w:t>
            </w:r>
          </w:p>
        </w:tc>
        <w:tc>
          <w:tcPr>
            <w:tcW w:w="3100" w:type="dxa"/>
            <w:vAlign w:val="bottom"/>
            <w:tcBorders>
              <w:bottom w:val="single" w:sz="8" w:color="005C7D"/>
            </w:tcBorders>
            <w:shd w:val="clear" w:color="auto" w:fill="CDDAE6"/>
          </w:tcPr>
          <w:p>
            <w:pPr>
              <w:jc w:val="right"/>
              <w:ind w:right="82"/>
              <w:spacing w:after="0"/>
              <w:rPr>
                <w:sz w:val="20"/>
                <w:szCs w:val="20"/>
                <w:color w:val="auto"/>
              </w:rPr>
            </w:pPr>
            <w:r>
              <w:rPr>
                <w:rFonts w:ascii="Arial" w:cs="Arial" w:eastAsia="Arial" w:hAnsi="Arial"/>
                <w:sz w:val="16"/>
                <w:szCs w:val="16"/>
                <w:color w:val="auto"/>
              </w:rPr>
              <w:t>332,116</w:t>
            </w:r>
          </w:p>
        </w:tc>
        <w:tc>
          <w:tcPr>
            <w:tcW w:w="960" w:type="dxa"/>
            <w:vAlign w:val="bottom"/>
            <w:tcBorders>
              <w:bottom w:val="single" w:sz="8" w:color="005C7D"/>
            </w:tcBorders>
            <w:shd w:val="clear" w:color="auto" w:fill="CDDAE6"/>
          </w:tcPr>
          <w:p>
            <w:pPr>
              <w:jc w:val="right"/>
              <w:ind w:right="82"/>
              <w:spacing w:after="0"/>
              <w:rPr>
                <w:sz w:val="20"/>
                <w:szCs w:val="20"/>
                <w:color w:val="auto"/>
              </w:rPr>
            </w:pPr>
            <w:r>
              <w:rPr>
                <w:rFonts w:ascii="Arial" w:cs="Arial" w:eastAsia="Arial" w:hAnsi="Arial"/>
                <w:sz w:val="16"/>
                <w:szCs w:val="16"/>
                <w:color w:val="auto"/>
              </w:rPr>
              <w:t>256,624</w:t>
            </w:r>
          </w:p>
        </w:tc>
        <w:tc>
          <w:tcPr>
            <w:tcW w:w="880" w:type="dxa"/>
            <w:vAlign w:val="bottom"/>
            <w:tcBorders>
              <w:bottom w:val="single" w:sz="8" w:color="005C7D"/>
            </w:tcBorders>
            <w:shd w:val="clear" w:color="auto" w:fill="CDDAE6"/>
          </w:tcPr>
          <w:p>
            <w:pPr>
              <w:jc w:val="right"/>
              <w:ind w:right="2"/>
              <w:spacing w:after="0"/>
              <w:rPr>
                <w:sz w:val="20"/>
                <w:szCs w:val="20"/>
                <w:color w:val="auto"/>
              </w:rPr>
            </w:pPr>
            <w:r>
              <w:rPr>
                <w:rFonts w:ascii="Arial" w:cs="Arial" w:eastAsia="Arial" w:hAnsi="Arial"/>
                <w:sz w:val="16"/>
                <w:szCs w:val="16"/>
                <w:color w:val="auto"/>
              </w:rPr>
              <w:t>322,787</w:t>
            </w:r>
          </w:p>
        </w:tc>
      </w:tr>
    </w:tbl>
    <w:p>
      <w:pPr>
        <w:spacing w:after="0" w:line="242" w:lineRule="exact"/>
        <w:rPr>
          <w:rFonts w:ascii="Arial" w:cs="Arial" w:eastAsia="Arial" w:hAnsi="Arial"/>
          <w:sz w:val="16"/>
          <w:szCs w:val="16"/>
          <w:color w:val="auto"/>
        </w:rPr>
      </w:pPr>
    </w:p>
    <w:p>
      <w:pPr>
        <w:ind w:left="7827"/>
        <w:spacing w:after="0"/>
        <w:tabs>
          <w:tab w:leader="none" w:pos="9326"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63</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4445</wp:posOffset>
            </wp:positionH>
            <wp:positionV relativeFrom="paragraph">
              <wp:posOffset>389890</wp:posOffset>
            </wp:positionV>
            <wp:extent cx="6071870" cy="431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-107315</wp:posOffset>
            </wp:positionV>
            <wp:extent cx="163195" cy="1631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9" w:name="page70"/>
    <w:bookmarkEnd w:id="69"/>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7"/>
        <w:spacing w:after="0"/>
        <w:rPr>
          <w:sz w:val="20"/>
          <w:szCs w:val="20"/>
          <w:color w:val="auto"/>
        </w:rPr>
      </w:pPr>
      <w:r>
        <w:rPr>
          <w:rFonts w:ascii="Arial" w:cs="Arial" w:eastAsia="Arial" w:hAnsi="Arial"/>
          <w:sz w:val="14"/>
          <w:szCs w:val="14"/>
          <w:color w:val="005C7D"/>
        </w:rPr>
        <w:t>TABULAR EXECUTIVE COMPENSATION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07187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6"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6"/>
          <w:szCs w:val="16"/>
          <w:color w:val="auto"/>
        </w:rPr>
        <w:t>(6)</w:t>
      </w:r>
      <w:r>
        <w:rPr>
          <w:sz w:val="20"/>
          <w:szCs w:val="20"/>
          <w:color w:val="auto"/>
        </w:rPr>
        <w:tab/>
      </w:r>
      <w:r>
        <w:rPr>
          <w:rFonts w:ascii="Arial" w:cs="Arial" w:eastAsia="Arial" w:hAnsi="Arial"/>
          <w:sz w:val="14"/>
          <w:szCs w:val="14"/>
          <w:color w:val="auto"/>
        </w:rPr>
        <w:t>The following table describes each component of the All Other Compensation column in the Summary Compensation Table above for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52070</wp:posOffset>
            </wp:positionV>
            <wp:extent cx="55829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80" w:lineRule="exact"/>
        <w:rPr>
          <w:sz w:val="20"/>
          <w:szCs w:val="20"/>
          <w:color w:val="auto"/>
        </w:rPr>
      </w:pPr>
    </w:p>
    <w:tbl>
      <w:tblPr>
        <w:tblLayout w:type="fixed"/>
        <w:tblInd w:w="387"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2200" w:type="dxa"/>
            <w:vAlign w:val="bottom"/>
          </w:tcPr>
          <w:p>
            <w:pPr>
              <w:jc w:val="center"/>
              <w:ind w:left="1063"/>
              <w:spacing w:after="0"/>
              <w:rPr>
                <w:sz w:val="20"/>
                <w:szCs w:val="20"/>
                <w:color w:val="auto"/>
              </w:rPr>
            </w:pPr>
            <w:r>
              <w:rPr>
                <w:rFonts w:ascii="Arial" w:cs="Arial" w:eastAsia="Arial" w:hAnsi="Arial"/>
                <w:sz w:val="14"/>
                <w:szCs w:val="14"/>
                <w:b w:val="1"/>
                <w:bCs w:val="1"/>
                <w:color w:val="auto"/>
                <w:w w:val="97"/>
              </w:rPr>
              <w:t>Employer</w:t>
            </w:r>
          </w:p>
        </w:tc>
        <w:tc>
          <w:tcPr>
            <w:tcW w:w="1000" w:type="dxa"/>
            <w:vAlign w:val="bottom"/>
          </w:tcPr>
          <w:p>
            <w:pPr>
              <w:spacing w:after="0"/>
              <w:rPr>
                <w:sz w:val="14"/>
                <w:szCs w:val="14"/>
                <w:color w:val="auto"/>
              </w:rPr>
            </w:pPr>
          </w:p>
        </w:tc>
        <w:tc>
          <w:tcPr>
            <w:tcW w:w="900" w:type="dxa"/>
            <w:vAlign w:val="bottom"/>
            <w:vMerge w:val="restart"/>
          </w:tcPr>
          <w:p>
            <w:pPr>
              <w:jc w:val="center"/>
              <w:ind w:right="4"/>
              <w:spacing w:after="0"/>
              <w:rPr>
                <w:sz w:val="20"/>
                <w:szCs w:val="20"/>
                <w:color w:val="auto"/>
              </w:rPr>
            </w:pPr>
            <w:r>
              <w:rPr>
                <w:rFonts w:ascii="Arial" w:cs="Arial" w:eastAsia="Arial" w:hAnsi="Arial"/>
                <w:sz w:val="14"/>
                <w:szCs w:val="14"/>
                <w:b w:val="1"/>
                <w:bCs w:val="1"/>
                <w:color w:val="auto"/>
                <w:w w:val="97"/>
              </w:rPr>
              <w:t>Medical</w:t>
            </w: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960" w:type="dxa"/>
            <w:vAlign w:val="bottom"/>
          </w:tcPr>
          <w:p>
            <w:pPr>
              <w:spacing w:after="0"/>
              <w:rPr>
                <w:sz w:val="12"/>
                <w:szCs w:val="12"/>
                <w:color w:val="auto"/>
              </w:rPr>
            </w:pPr>
          </w:p>
        </w:tc>
        <w:tc>
          <w:tcPr>
            <w:tcW w:w="2200" w:type="dxa"/>
            <w:vAlign w:val="bottom"/>
          </w:tcPr>
          <w:p>
            <w:pPr>
              <w:jc w:val="center"/>
              <w:ind w:left="1063"/>
              <w:spacing w:after="0" w:line="145" w:lineRule="exact"/>
              <w:rPr>
                <w:sz w:val="20"/>
                <w:szCs w:val="20"/>
                <w:color w:val="auto"/>
              </w:rPr>
            </w:pPr>
            <w:r>
              <w:rPr>
                <w:rFonts w:ascii="Arial" w:cs="Arial" w:eastAsia="Arial" w:hAnsi="Arial"/>
                <w:sz w:val="14"/>
                <w:szCs w:val="14"/>
                <w:b w:val="1"/>
                <w:bCs w:val="1"/>
                <w:color w:val="auto"/>
                <w:w w:val="97"/>
              </w:rPr>
              <w:t>Contribution</w:t>
            </w:r>
          </w:p>
        </w:tc>
        <w:tc>
          <w:tcPr>
            <w:tcW w:w="10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2200" w:type="dxa"/>
            <w:vAlign w:val="bottom"/>
          </w:tcPr>
          <w:p>
            <w:pPr>
              <w:jc w:val="center"/>
              <w:ind w:left="1063"/>
              <w:spacing w:after="0"/>
              <w:rPr>
                <w:sz w:val="20"/>
                <w:szCs w:val="20"/>
                <w:color w:val="auto"/>
              </w:rPr>
            </w:pPr>
            <w:r>
              <w:rPr>
                <w:rFonts w:ascii="Arial" w:cs="Arial" w:eastAsia="Arial" w:hAnsi="Arial"/>
                <w:sz w:val="14"/>
                <w:szCs w:val="14"/>
                <w:b w:val="1"/>
                <w:bCs w:val="1"/>
                <w:color w:val="auto"/>
                <w:w w:val="93"/>
              </w:rPr>
              <w:t>to Employee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900" w:type="dxa"/>
            <w:vAlign w:val="bottom"/>
          </w:tcPr>
          <w:p>
            <w:pPr>
              <w:jc w:val="center"/>
              <w:ind w:right="4"/>
              <w:spacing w:after="0"/>
              <w:rPr>
                <w:sz w:val="20"/>
                <w:szCs w:val="20"/>
                <w:color w:val="auto"/>
              </w:rPr>
            </w:pPr>
            <w:r>
              <w:rPr>
                <w:rFonts w:ascii="Arial" w:cs="Arial" w:eastAsia="Arial" w:hAnsi="Arial"/>
                <w:sz w:val="14"/>
                <w:szCs w:val="14"/>
                <w:b w:val="1"/>
                <w:bCs w:val="1"/>
                <w:color w:val="auto"/>
                <w:w w:val="93"/>
              </w:rPr>
              <w:t>Insurance</w:t>
            </w: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60" w:type="dxa"/>
            <w:vAlign w:val="bottom"/>
          </w:tcPr>
          <w:p>
            <w:pPr>
              <w:spacing w:after="0"/>
              <w:rPr>
                <w:sz w:val="15"/>
                <w:szCs w:val="15"/>
                <w:color w:val="auto"/>
              </w:rPr>
            </w:pPr>
          </w:p>
        </w:tc>
        <w:tc>
          <w:tcPr>
            <w:tcW w:w="2200" w:type="dxa"/>
            <w:vAlign w:val="bottom"/>
          </w:tcPr>
          <w:p>
            <w:pPr>
              <w:jc w:val="center"/>
              <w:ind w:left="1063"/>
              <w:spacing w:after="0"/>
              <w:rPr>
                <w:sz w:val="20"/>
                <w:szCs w:val="20"/>
                <w:color w:val="auto"/>
              </w:rPr>
            </w:pPr>
            <w:r>
              <w:rPr>
                <w:rFonts w:ascii="Arial" w:cs="Arial" w:eastAsia="Arial" w:hAnsi="Arial"/>
                <w:sz w:val="14"/>
                <w:szCs w:val="14"/>
                <w:b w:val="1"/>
                <w:bCs w:val="1"/>
                <w:color w:val="auto"/>
                <w:w w:val="89"/>
              </w:rPr>
              <w:t>Savings Plan</w:t>
            </w:r>
          </w:p>
        </w:tc>
        <w:tc>
          <w:tcPr>
            <w:tcW w:w="1000" w:type="dxa"/>
            <w:vAlign w:val="bottom"/>
          </w:tcPr>
          <w:p>
            <w:pPr>
              <w:jc w:val="center"/>
              <w:spacing w:after="0" w:line="180" w:lineRule="exact"/>
              <w:rPr>
                <w:sz w:val="20"/>
                <w:szCs w:val="20"/>
                <w:color w:val="auto"/>
              </w:rPr>
            </w:pPr>
            <w:r>
              <w:rPr>
                <w:rFonts w:ascii="Arial" w:cs="Arial" w:eastAsia="Arial" w:hAnsi="Arial"/>
                <w:sz w:val="12"/>
                <w:szCs w:val="12"/>
                <w:b w:val="1"/>
                <w:bCs w:val="1"/>
                <w:color w:val="auto"/>
              </w:rPr>
              <w:t>Insurance</w:t>
            </w:r>
            <w:r>
              <w:rPr>
                <w:rFonts w:ascii="Arial" w:cs="Arial" w:eastAsia="Arial" w:hAnsi="Arial"/>
                <w:sz w:val="20"/>
                <w:szCs w:val="20"/>
                <w:b w:val="1"/>
                <w:bCs w:val="1"/>
                <w:color w:val="auto"/>
                <w:vertAlign w:val="superscript"/>
              </w:rPr>
              <w:t>(a)</w:t>
            </w:r>
          </w:p>
        </w:tc>
        <w:tc>
          <w:tcPr>
            <w:tcW w:w="900" w:type="dxa"/>
            <w:vAlign w:val="bottom"/>
          </w:tcPr>
          <w:p>
            <w:pPr>
              <w:jc w:val="center"/>
              <w:spacing w:after="0" w:line="180" w:lineRule="exact"/>
              <w:rPr>
                <w:sz w:val="20"/>
                <w:szCs w:val="20"/>
                <w:color w:val="auto"/>
              </w:rPr>
            </w:pPr>
            <w:r>
              <w:rPr>
                <w:rFonts w:ascii="Arial" w:cs="Arial" w:eastAsia="Arial" w:hAnsi="Arial"/>
                <w:sz w:val="12"/>
                <w:szCs w:val="12"/>
                <w:b w:val="1"/>
                <w:bCs w:val="1"/>
                <w:color w:val="auto"/>
                <w:w w:val="99"/>
              </w:rPr>
              <w:t>Benefits</w:t>
            </w:r>
            <w:r>
              <w:rPr>
                <w:rFonts w:ascii="Arial" w:cs="Arial" w:eastAsia="Arial" w:hAnsi="Arial"/>
                <w:sz w:val="20"/>
                <w:szCs w:val="20"/>
                <w:b w:val="1"/>
                <w:bCs w:val="1"/>
                <w:color w:val="auto"/>
                <w:w w:val="99"/>
                <w:vertAlign w:val="superscript"/>
              </w:rPr>
              <w:t>(b)</w:t>
            </w:r>
          </w:p>
        </w:tc>
        <w:tc>
          <w:tcPr>
            <w:tcW w:w="980" w:type="dxa"/>
            <w:vAlign w:val="bottom"/>
          </w:tcPr>
          <w:p>
            <w:pPr>
              <w:jc w:val="right"/>
              <w:ind w:right="322"/>
              <w:spacing w:after="0"/>
              <w:rPr>
                <w:sz w:val="20"/>
                <w:szCs w:val="20"/>
                <w:color w:val="auto"/>
              </w:rPr>
            </w:pPr>
            <w:r>
              <w:rPr>
                <w:rFonts w:ascii="Arial" w:cs="Arial" w:eastAsia="Arial" w:hAnsi="Arial"/>
                <w:sz w:val="14"/>
                <w:szCs w:val="14"/>
                <w:b w:val="1"/>
                <w:bCs w:val="1"/>
                <w:color w:val="auto"/>
              </w:rPr>
              <w:t>Other</w:t>
            </w:r>
          </w:p>
        </w:tc>
        <w:tc>
          <w:tcPr>
            <w:tcW w:w="740" w:type="dxa"/>
            <w:vAlign w:val="bottom"/>
          </w:tcPr>
          <w:p>
            <w:pPr>
              <w:jc w:val="right"/>
              <w:ind w:right="1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960" w:type="dxa"/>
            <w:vAlign w:val="bottom"/>
            <w:tcBorders>
              <w:bottom w:val="single" w:sz="8" w:color="005C7D"/>
            </w:tcBorders>
          </w:tcPr>
          <w:p>
            <w:pPr>
              <w:ind w:left="20"/>
              <w:spacing w:after="0"/>
              <w:rPr>
                <w:sz w:val="20"/>
                <w:szCs w:val="20"/>
                <w:color w:val="auto"/>
              </w:rPr>
            </w:pPr>
            <w:r>
              <w:rPr>
                <w:rFonts w:ascii="Arial" w:cs="Arial" w:eastAsia="Arial" w:hAnsi="Arial"/>
                <w:sz w:val="14"/>
                <w:szCs w:val="14"/>
                <w:b w:val="1"/>
                <w:bCs w:val="1"/>
                <w:color w:val="auto"/>
              </w:rPr>
              <w:t>Name</w:t>
            </w:r>
          </w:p>
        </w:tc>
        <w:tc>
          <w:tcPr>
            <w:tcW w:w="2200" w:type="dxa"/>
            <w:vAlign w:val="bottom"/>
            <w:tcBorders>
              <w:bottom w:val="single" w:sz="8" w:color="005C7D"/>
            </w:tcBorders>
          </w:tcPr>
          <w:p>
            <w:pPr>
              <w:jc w:val="center"/>
              <w:ind w:left="1063"/>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005C7D"/>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900" w:type="dxa"/>
            <w:vAlign w:val="bottom"/>
            <w:tcBorders>
              <w:bottom w:val="single" w:sz="8" w:color="005C7D"/>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980" w:type="dxa"/>
            <w:vAlign w:val="bottom"/>
            <w:tcBorders>
              <w:bottom w:val="single" w:sz="8" w:color="005C7D"/>
            </w:tcBorders>
          </w:tcPr>
          <w:p>
            <w:pPr>
              <w:jc w:val="right"/>
              <w:ind w:right="422"/>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005C7D"/>
            </w:tcBorders>
          </w:tcPr>
          <w:p>
            <w:pPr>
              <w:jc w:val="right"/>
              <w:ind w:right="24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2960" w:type="dxa"/>
            <w:vAlign w:val="bottom"/>
            <w:shd w:val="clear" w:color="auto" w:fill="CDDAE6"/>
          </w:tcPr>
          <w:p>
            <w:pPr>
              <w:ind w:left="20"/>
              <w:spacing w:after="0" w:line="263" w:lineRule="exact"/>
              <w:rPr>
                <w:sz w:val="20"/>
                <w:szCs w:val="20"/>
                <w:color w:val="auto"/>
              </w:rPr>
            </w:pPr>
            <w:r>
              <w:rPr>
                <w:rFonts w:ascii="Arial" w:cs="Arial" w:eastAsia="Arial" w:hAnsi="Arial"/>
                <w:sz w:val="16"/>
                <w:szCs w:val="16"/>
                <w:color w:val="auto"/>
              </w:rPr>
              <w:t>Michael T. Strianese</w:t>
            </w:r>
            <w:r>
              <w:rPr>
                <w:rFonts w:ascii="Arial" w:cs="Arial" w:eastAsia="Arial" w:hAnsi="Arial"/>
                <w:sz w:val="27"/>
                <w:szCs w:val="27"/>
                <w:color w:val="auto"/>
                <w:vertAlign w:val="superscript"/>
              </w:rPr>
              <w:t>(c)</w:t>
            </w:r>
          </w:p>
        </w:tc>
        <w:tc>
          <w:tcPr>
            <w:tcW w:w="2200" w:type="dxa"/>
            <w:vAlign w:val="bottom"/>
            <w:shd w:val="clear" w:color="auto" w:fill="CDDAE6"/>
          </w:tcPr>
          <w:p>
            <w:pPr>
              <w:jc w:val="right"/>
              <w:ind w:right="43"/>
              <w:spacing w:after="0"/>
              <w:rPr>
                <w:sz w:val="20"/>
                <w:szCs w:val="20"/>
                <w:color w:val="auto"/>
              </w:rPr>
            </w:pPr>
            <w:r>
              <w:rPr>
                <w:rFonts w:ascii="Arial" w:cs="Arial" w:eastAsia="Arial" w:hAnsi="Arial"/>
                <w:sz w:val="16"/>
                <w:szCs w:val="16"/>
                <w:color w:val="auto"/>
              </w:rPr>
              <w:t>16,600</w:t>
            </w:r>
          </w:p>
        </w:tc>
        <w:tc>
          <w:tcPr>
            <w:tcW w:w="1000" w:type="dxa"/>
            <w:vAlign w:val="bottom"/>
            <w:shd w:val="clear" w:color="auto" w:fill="CDDAE6"/>
          </w:tcPr>
          <w:p>
            <w:pPr>
              <w:jc w:val="right"/>
              <w:ind w:right="4"/>
              <w:spacing w:after="0"/>
              <w:rPr>
                <w:sz w:val="20"/>
                <w:szCs w:val="20"/>
                <w:color w:val="auto"/>
              </w:rPr>
            </w:pPr>
            <w:r>
              <w:rPr>
                <w:rFonts w:ascii="Arial" w:cs="Arial" w:eastAsia="Arial" w:hAnsi="Arial"/>
                <w:sz w:val="16"/>
                <w:szCs w:val="16"/>
                <w:color w:val="auto"/>
              </w:rPr>
              <w:t>28,380</w:t>
            </w:r>
          </w:p>
        </w:tc>
        <w:tc>
          <w:tcPr>
            <w:tcW w:w="900" w:type="dxa"/>
            <w:vAlign w:val="bottom"/>
            <w:shd w:val="clear" w:color="auto" w:fill="CDDAE6"/>
          </w:tcPr>
          <w:p>
            <w:pPr>
              <w:jc w:val="right"/>
              <w:ind w:right="64"/>
              <w:spacing w:after="0"/>
              <w:rPr>
                <w:sz w:val="20"/>
                <w:szCs w:val="20"/>
                <w:color w:val="auto"/>
              </w:rPr>
            </w:pPr>
            <w:r>
              <w:rPr>
                <w:rFonts w:ascii="Arial" w:cs="Arial" w:eastAsia="Arial" w:hAnsi="Arial"/>
                <w:sz w:val="16"/>
                <w:szCs w:val="16"/>
                <w:color w:val="auto"/>
              </w:rPr>
              <w:t>9,690</w:t>
            </w:r>
          </w:p>
        </w:tc>
        <w:tc>
          <w:tcPr>
            <w:tcW w:w="980" w:type="dxa"/>
            <w:vAlign w:val="bottom"/>
            <w:shd w:val="clear" w:color="auto" w:fill="CDDAE6"/>
          </w:tcPr>
          <w:p>
            <w:pPr>
              <w:jc w:val="right"/>
              <w:ind w:right="62"/>
              <w:spacing w:after="0"/>
              <w:rPr>
                <w:sz w:val="20"/>
                <w:szCs w:val="20"/>
                <w:color w:val="auto"/>
              </w:rPr>
            </w:pPr>
            <w:r>
              <w:rPr>
                <w:rFonts w:ascii="Arial" w:cs="Arial" w:eastAsia="Arial" w:hAnsi="Arial"/>
                <w:sz w:val="16"/>
                <w:szCs w:val="16"/>
                <w:color w:val="auto"/>
              </w:rPr>
              <w:t>58,580</w:t>
            </w:r>
            <w:r>
              <w:rPr>
                <w:rFonts w:ascii="Arial" w:cs="Arial" w:eastAsia="Arial" w:hAnsi="Arial"/>
                <w:sz w:val="13"/>
                <w:szCs w:val="13"/>
                <w:color w:val="auto"/>
              </w:rPr>
              <w:t>(d)</w:t>
            </w:r>
          </w:p>
        </w:tc>
        <w:tc>
          <w:tcPr>
            <w:tcW w:w="740" w:type="dxa"/>
            <w:vAlign w:val="bottom"/>
            <w:shd w:val="clear" w:color="auto" w:fill="CDDAE6"/>
          </w:tcPr>
          <w:p>
            <w:pPr>
              <w:jc w:val="right"/>
              <w:ind w:right="2"/>
              <w:spacing w:after="0"/>
              <w:rPr>
                <w:sz w:val="20"/>
                <w:szCs w:val="20"/>
                <w:color w:val="auto"/>
              </w:rPr>
            </w:pPr>
            <w:r>
              <w:rPr>
                <w:rFonts w:ascii="Arial" w:cs="Arial" w:eastAsia="Arial" w:hAnsi="Arial"/>
                <w:sz w:val="16"/>
                <w:szCs w:val="16"/>
                <w:color w:val="auto"/>
              </w:rPr>
              <w:t>113,250</w:t>
            </w:r>
          </w:p>
        </w:tc>
        <w:tc>
          <w:tcPr>
            <w:tcW w:w="0" w:type="dxa"/>
            <w:vAlign w:val="bottom"/>
          </w:tcPr>
          <w:p>
            <w:pPr>
              <w:spacing w:after="0"/>
              <w:rPr>
                <w:sz w:val="1"/>
                <w:szCs w:val="1"/>
                <w:color w:val="auto"/>
              </w:rPr>
            </w:pPr>
          </w:p>
        </w:tc>
      </w:tr>
      <w:tr>
        <w:trPr>
          <w:trHeight w:val="270"/>
        </w:trPr>
        <w:tc>
          <w:tcPr>
            <w:tcW w:w="2960" w:type="dxa"/>
            <w:vAlign w:val="bottom"/>
          </w:tcPr>
          <w:p>
            <w:pPr>
              <w:ind w:left="20"/>
              <w:spacing w:after="0" w:line="270" w:lineRule="exact"/>
              <w:rPr>
                <w:sz w:val="20"/>
                <w:szCs w:val="20"/>
                <w:color w:val="auto"/>
              </w:rPr>
            </w:pPr>
            <w:r>
              <w:rPr>
                <w:rFonts w:ascii="Arial" w:cs="Arial" w:eastAsia="Arial" w:hAnsi="Arial"/>
                <w:sz w:val="16"/>
                <w:szCs w:val="16"/>
                <w:color w:val="auto"/>
              </w:rPr>
              <w:t>Christopher E. Kubasik</w:t>
            </w:r>
            <w:r>
              <w:rPr>
                <w:rFonts w:ascii="Arial" w:cs="Arial" w:eastAsia="Arial" w:hAnsi="Arial"/>
                <w:sz w:val="27"/>
                <w:szCs w:val="27"/>
                <w:color w:val="auto"/>
                <w:vertAlign w:val="superscript"/>
              </w:rPr>
              <w:t>(e)</w:t>
            </w:r>
          </w:p>
        </w:tc>
        <w:tc>
          <w:tcPr>
            <w:tcW w:w="2200" w:type="dxa"/>
            <w:vAlign w:val="bottom"/>
          </w:tcPr>
          <w:p>
            <w:pPr>
              <w:jc w:val="right"/>
              <w:ind w:right="43"/>
              <w:spacing w:after="0"/>
              <w:rPr>
                <w:sz w:val="20"/>
                <w:szCs w:val="20"/>
                <w:color w:val="auto"/>
              </w:rPr>
            </w:pPr>
            <w:r>
              <w:rPr>
                <w:rFonts w:ascii="Arial" w:cs="Arial" w:eastAsia="Arial" w:hAnsi="Arial"/>
                <w:sz w:val="16"/>
                <w:szCs w:val="16"/>
                <w:color w:val="auto"/>
              </w:rPr>
              <w:t>16,600</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28,184</w:t>
            </w:r>
          </w:p>
        </w:tc>
        <w:tc>
          <w:tcPr>
            <w:tcW w:w="900" w:type="dxa"/>
            <w:vAlign w:val="bottom"/>
          </w:tcPr>
          <w:p>
            <w:pPr>
              <w:jc w:val="right"/>
              <w:ind w:right="64"/>
              <w:spacing w:after="0"/>
              <w:rPr>
                <w:sz w:val="20"/>
                <w:szCs w:val="20"/>
                <w:color w:val="auto"/>
              </w:rPr>
            </w:pPr>
            <w:r>
              <w:rPr>
                <w:rFonts w:ascii="Arial" w:cs="Arial" w:eastAsia="Arial" w:hAnsi="Arial"/>
                <w:sz w:val="16"/>
                <w:szCs w:val="16"/>
                <w:color w:val="auto"/>
              </w:rPr>
              <w:t>15,403</w:t>
            </w:r>
          </w:p>
        </w:tc>
        <w:tc>
          <w:tcPr>
            <w:tcW w:w="980" w:type="dxa"/>
            <w:vAlign w:val="bottom"/>
          </w:tcPr>
          <w:p>
            <w:pPr>
              <w:jc w:val="right"/>
              <w:ind w:right="82"/>
              <w:spacing w:after="0"/>
              <w:rPr>
                <w:sz w:val="20"/>
                <w:szCs w:val="20"/>
                <w:color w:val="auto"/>
              </w:rPr>
            </w:pPr>
            <w:r>
              <w:rPr>
                <w:rFonts w:ascii="Arial" w:cs="Arial" w:eastAsia="Arial" w:hAnsi="Arial"/>
                <w:sz w:val="16"/>
                <w:szCs w:val="16"/>
                <w:color w:val="auto"/>
              </w:rPr>
              <w:t>172,322</w:t>
            </w:r>
            <w:r>
              <w:rPr>
                <w:rFonts w:ascii="Arial" w:cs="Arial" w:eastAsia="Arial" w:hAnsi="Arial"/>
                <w:sz w:val="13"/>
                <w:szCs w:val="13"/>
                <w:color w:val="auto"/>
              </w:rPr>
              <w:t>(f)</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232,509</w:t>
            </w:r>
          </w:p>
        </w:tc>
        <w:tc>
          <w:tcPr>
            <w:tcW w:w="0" w:type="dxa"/>
            <w:vAlign w:val="bottom"/>
          </w:tcPr>
          <w:p>
            <w:pPr>
              <w:spacing w:after="0"/>
              <w:rPr>
                <w:sz w:val="1"/>
                <w:szCs w:val="1"/>
                <w:color w:val="auto"/>
              </w:rPr>
            </w:pPr>
          </w:p>
        </w:tc>
      </w:tr>
      <w:tr>
        <w:trPr>
          <w:trHeight w:val="230"/>
        </w:trPr>
        <w:tc>
          <w:tcPr>
            <w:tcW w:w="2960" w:type="dxa"/>
            <w:vAlign w:val="bottom"/>
            <w:shd w:val="clear" w:color="auto" w:fill="CDDAE6"/>
          </w:tcPr>
          <w:p>
            <w:pPr>
              <w:ind w:left="20"/>
              <w:spacing w:after="0"/>
              <w:rPr>
                <w:sz w:val="20"/>
                <w:szCs w:val="20"/>
                <w:color w:val="auto"/>
              </w:rPr>
            </w:pPr>
            <w:r>
              <w:rPr>
                <w:rFonts w:ascii="Arial" w:cs="Arial" w:eastAsia="Arial" w:hAnsi="Arial"/>
                <w:sz w:val="16"/>
                <w:szCs w:val="16"/>
                <w:color w:val="auto"/>
              </w:rPr>
              <w:t>Ralph G. D’Ambrosio</w:t>
            </w:r>
          </w:p>
        </w:tc>
        <w:tc>
          <w:tcPr>
            <w:tcW w:w="2200" w:type="dxa"/>
            <w:vAlign w:val="bottom"/>
            <w:shd w:val="clear" w:color="auto" w:fill="CDDAE6"/>
          </w:tcPr>
          <w:p>
            <w:pPr>
              <w:jc w:val="right"/>
              <w:ind w:right="43"/>
              <w:spacing w:after="0"/>
              <w:rPr>
                <w:sz w:val="20"/>
                <w:szCs w:val="20"/>
                <w:color w:val="auto"/>
              </w:rPr>
            </w:pPr>
            <w:r>
              <w:rPr>
                <w:rFonts w:ascii="Arial" w:cs="Arial" w:eastAsia="Arial" w:hAnsi="Arial"/>
                <w:sz w:val="16"/>
                <w:szCs w:val="16"/>
                <w:color w:val="auto"/>
              </w:rPr>
              <w:t>10,600</w:t>
            </w:r>
          </w:p>
        </w:tc>
        <w:tc>
          <w:tcPr>
            <w:tcW w:w="1000" w:type="dxa"/>
            <w:vAlign w:val="bottom"/>
            <w:shd w:val="clear" w:color="auto" w:fill="CDDAE6"/>
          </w:tcPr>
          <w:p>
            <w:pPr>
              <w:jc w:val="right"/>
              <w:ind w:right="4"/>
              <w:spacing w:after="0"/>
              <w:rPr>
                <w:sz w:val="20"/>
                <w:szCs w:val="20"/>
                <w:color w:val="auto"/>
              </w:rPr>
            </w:pPr>
            <w:r>
              <w:rPr>
                <w:rFonts w:ascii="Arial" w:cs="Arial" w:eastAsia="Arial" w:hAnsi="Arial"/>
                <w:sz w:val="16"/>
                <w:szCs w:val="16"/>
                <w:color w:val="auto"/>
              </w:rPr>
              <w:t>12,144</w:t>
            </w:r>
          </w:p>
        </w:tc>
        <w:tc>
          <w:tcPr>
            <w:tcW w:w="900" w:type="dxa"/>
            <w:vAlign w:val="bottom"/>
            <w:shd w:val="clear" w:color="auto" w:fill="CDDAE6"/>
          </w:tcPr>
          <w:p>
            <w:pPr>
              <w:jc w:val="right"/>
              <w:ind w:right="64"/>
              <w:spacing w:after="0"/>
              <w:rPr>
                <w:sz w:val="20"/>
                <w:szCs w:val="20"/>
                <w:color w:val="auto"/>
              </w:rPr>
            </w:pPr>
            <w:r>
              <w:rPr>
                <w:rFonts w:ascii="Arial" w:cs="Arial" w:eastAsia="Arial" w:hAnsi="Arial"/>
                <w:sz w:val="16"/>
                <w:szCs w:val="16"/>
                <w:color w:val="auto"/>
              </w:rPr>
              <w:t>11,628</w:t>
            </w:r>
          </w:p>
        </w:tc>
        <w:tc>
          <w:tcPr>
            <w:tcW w:w="980" w:type="dxa"/>
            <w:vAlign w:val="bottom"/>
            <w:shd w:val="clear" w:color="auto" w:fill="CDDAE6"/>
          </w:tcPr>
          <w:p>
            <w:pPr>
              <w:jc w:val="right"/>
              <w:ind w:right="222"/>
              <w:spacing w:after="0"/>
              <w:rPr>
                <w:sz w:val="20"/>
                <w:szCs w:val="20"/>
                <w:color w:val="auto"/>
              </w:rPr>
            </w:pPr>
            <w:r>
              <w:rPr>
                <w:rFonts w:ascii="Arial" w:cs="Arial" w:eastAsia="Arial" w:hAnsi="Arial"/>
                <w:sz w:val="16"/>
                <w:szCs w:val="16"/>
                <w:color w:val="auto"/>
              </w:rPr>
              <w:t>—</w:t>
            </w:r>
          </w:p>
        </w:tc>
        <w:tc>
          <w:tcPr>
            <w:tcW w:w="740" w:type="dxa"/>
            <w:vAlign w:val="bottom"/>
            <w:shd w:val="clear" w:color="auto" w:fill="CDDAE6"/>
          </w:tcPr>
          <w:p>
            <w:pPr>
              <w:jc w:val="right"/>
              <w:ind w:right="2"/>
              <w:spacing w:after="0"/>
              <w:rPr>
                <w:sz w:val="20"/>
                <w:szCs w:val="20"/>
                <w:color w:val="auto"/>
              </w:rPr>
            </w:pPr>
            <w:r>
              <w:rPr>
                <w:rFonts w:ascii="Arial" w:cs="Arial" w:eastAsia="Arial" w:hAnsi="Arial"/>
                <w:sz w:val="16"/>
                <w:szCs w:val="16"/>
                <w:color w:val="auto"/>
              </w:rPr>
              <w:t>34,372</w:t>
            </w:r>
          </w:p>
        </w:tc>
        <w:tc>
          <w:tcPr>
            <w:tcW w:w="0" w:type="dxa"/>
            <w:vAlign w:val="bottom"/>
          </w:tcPr>
          <w:p>
            <w:pPr>
              <w:spacing w:after="0"/>
              <w:rPr>
                <w:sz w:val="1"/>
                <w:szCs w:val="1"/>
                <w:color w:val="auto"/>
              </w:rPr>
            </w:pPr>
          </w:p>
        </w:tc>
      </w:tr>
      <w:tr>
        <w:trPr>
          <w:trHeight w:val="220"/>
        </w:trPr>
        <w:tc>
          <w:tcPr>
            <w:tcW w:w="2960" w:type="dxa"/>
            <w:vAlign w:val="bottom"/>
          </w:tcPr>
          <w:p>
            <w:pPr>
              <w:ind w:left="20"/>
              <w:spacing w:after="0"/>
              <w:rPr>
                <w:sz w:val="20"/>
                <w:szCs w:val="20"/>
                <w:color w:val="auto"/>
              </w:rPr>
            </w:pPr>
            <w:r>
              <w:rPr>
                <w:rFonts w:ascii="Arial" w:cs="Arial" w:eastAsia="Arial" w:hAnsi="Arial"/>
                <w:sz w:val="16"/>
                <w:szCs w:val="16"/>
                <w:color w:val="auto"/>
              </w:rPr>
              <w:t>Curtis Brunson</w:t>
            </w:r>
          </w:p>
        </w:tc>
        <w:tc>
          <w:tcPr>
            <w:tcW w:w="2200" w:type="dxa"/>
            <w:vAlign w:val="bottom"/>
          </w:tcPr>
          <w:p>
            <w:pPr>
              <w:jc w:val="right"/>
              <w:ind w:right="43"/>
              <w:spacing w:after="0"/>
              <w:rPr>
                <w:sz w:val="20"/>
                <w:szCs w:val="20"/>
                <w:color w:val="auto"/>
              </w:rPr>
            </w:pPr>
            <w:r>
              <w:rPr>
                <w:rFonts w:ascii="Arial" w:cs="Arial" w:eastAsia="Arial" w:hAnsi="Arial"/>
                <w:sz w:val="16"/>
                <w:szCs w:val="16"/>
                <w:color w:val="auto"/>
              </w:rPr>
              <w:t>16,600</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26,318</w:t>
            </w:r>
          </w:p>
        </w:tc>
        <w:tc>
          <w:tcPr>
            <w:tcW w:w="900" w:type="dxa"/>
            <w:vAlign w:val="bottom"/>
          </w:tcPr>
          <w:p>
            <w:pPr>
              <w:jc w:val="right"/>
              <w:ind w:right="64"/>
              <w:spacing w:after="0"/>
              <w:rPr>
                <w:sz w:val="20"/>
                <w:szCs w:val="20"/>
                <w:color w:val="auto"/>
              </w:rPr>
            </w:pPr>
            <w:r>
              <w:rPr>
                <w:rFonts w:ascii="Arial" w:cs="Arial" w:eastAsia="Arial" w:hAnsi="Arial"/>
                <w:sz w:val="16"/>
                <w:szCs w:val="16"/>
                <w:color w:val="auto"/>
              </w:rPr>
              <w:t>9,690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15,600</w:t>
            </w:r>
            <w:r>
              <w:rPr>
                <w:rFonts w:ascii="Arial" w:cs="Arial" w:eastAsia="Arial" w:hAnsi="Arial"/>
                <w:sz w:val="13"/>
                <w:szCs w:val="13"/>
                <w:color w:val="auto"/>
              </w:rPr>
              <w:t>(g)</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68,208</w:t>
            </w:r>
          </w:p>
        </w:tc>
        <w:tc>
          <w:tcPr>
            <w:tcW w:w="0" w:type="dxa"/>
            <w:vAlign w:val="bottom"/>
          </w:tcPr>
          <w:p>
            <w:pPr>
              <w:spacing w:after="0"/>
              <w:rPr>
                <w:sz w:val="1"/>
                <w:szCs w:val="1"/>
                <w:color w:val="auto"/>
              </w:rPr>
            </w:pPr>
          </w:p>
        </w:tc>
      </w:tr>
      <w:tr>
        <w:trPr>
          <w:trHeight w:val="233"/>
        </w:trPr>
        <w:tc>
          <w:tcPr>
            <w:tcW w:w="2960" w:type="dxa"/>
            <w:vAlign w:val="bottom"/>
            <w:tcBorders>
              <w:bottom w:val="single" w:sz="8" w:color="005C7D"/>
            </w:tcBorders>
            <w:shd w:val="clear" w:color="auto" w:fill="CDDAE6"/>
          </w:tcPr>
          <w:p>
            <w:pPr>
              <w:ind w:left="20"/>
              <w:spacing w:after="0"/>
              <w:rPr>
                <w:sz w:val="20"/>
                <w:szCs w:val="20"/>
                <w:color w:val="auto"/>
              </w:rPr>
            </w:pPr>
            <w:r>
              <w:rPr>
                <w:rFonts w:ascii="Arial" w:cs="Arial" w:eastAsia="Arial" w:hAnsi="Arial"/>
                <w:sz w:val="16"/>
                <w:szCs w:val="16"/>
                <w:color w:val="auto"/>
              </w:rPr>
              <w:t>Steve Kantor</w:t>
            </w:r>
          </w:p>
        </w:tc>
        <w:tc>
          <w:tcPr>
            <w:tcW w:w="2200" w:type="dxa"/>
            <w:vAlign w:val="bottom"/>
            <w:tcBorders>
              <w:bottom w:val="single" w:sz="8" w:color="005C7D"/>
            </w:tcBorders>
            <w:shd w:val="clear" w:color="auto" w:fill="CDDAE6"/>
          </w:tcPr>
          <w:p>
            <w:pPr>
              <w:jc w:val="right"/>
              <w:ind w:right="43"/>
              <w:spacing w:after="0"/>
              <w:rPr>
                <w:sz w:val="20"/>
                <w:szCs w:val="20"/>
                <w:color w:val="auto"/>
              </w:rPr>
            </w:pPr>
            <w:r>
              <w:rPr>
                <w:rFonts w:ascii="Arial" w:cs="Arial" w:eastAsia="Arial" w:hAnsi="Arial"/>
                <w:sz w:val="16"/>
                <w:szCs w:val="16"/>
                <w:color w:val="auto"/>
              </w:rPr>
              <w:t>16,600</w:t>
            </w:r>
          </w:p>
        </w:tc>
        <w:tc>
          <w:tcPr>
            <w:tcW w:w="1000" w:type="dxa"/>
            <w:vAlign w:val="bottom"/>
            <w:tcBorders>
              <w:bottom w:val="single" w:sz="8" w:color="005C7D"/>
            </w:tcBorders>
            <w:shd w:val="clear" w:color="auto" w:fill="CDDAE6"/>
          </w:tcPr>
          <w:p>
            <w:pPr>
              <w:jc w:val="right"/>
              <w:ind w:right="4"/>
              <w:spacing w:after="0"/>
              <w:rPr>
                <w:sz w:val="20"/>
                <w:szCs w:val="20"/>
                <w:color w:val="auto"/>
              </w:rPr>
            </w:pPr>
            <w:r>
              <w:rPr>
                <w:rFonts w:ascii="Arial" w:cs="Arial" w:eastAsia="Arial" w:hAnsi="Arial"/>
                <w:sz w:val="16"/>
                <w:szCs w:val="16"/>
                <w:color w:val="auto"/>
              </w:rPr>
              <w:t>44,591</w:t>
            </w:r>
          </w:p>
        </w:tc>
        <w:tc>
          <w:tcPr>
            <w:tcW w:w="900" w:type="dxa"/>
            <w:vAlign w:val="bottom"/>
            <w:tcBorders>
              <w:bottom w:val="single" w:sz="8" w:color="005C7D"/>
            </w:tcBorders>
            <w:shd w:val="clear" w:color="auto" w:fill="CDDAE6"/>
          </w:tcPr>
          <w:p>
            <w:pPr>
              <w:jc w:val="right"/>
              <w:ind w:right="64"/>
              <w:spacing w:after="0"/>
              <w:rPr>
                <w:sz w:val="20"/>
                <w:szCs w:val="20"/>
                <w:color w:val="auto"/>
              </w:rPr>
            </w:pPr>
            <w:r>
              <w:rPr>
                <w:rFonts w:ascii="Arial" w:cs="Arial" w:eastAsia="Arial" w:hAnsi="Arial"/>
                <w:sz w:val="16"/>
                <w:szCs w:val="16"/>
                <w:color w:val="auto"/>
              </w:rPr>
              <w:t>9,690</w:t>
            </w:r>
          </w:p>
        </w:tc>
        <w:tc>
          <w:tcPr>
            <w:tcW w:w="980" w:type="dxa"/>
            <w:vAlign w:val="bottom"/>
            <w:tcBorders>
              <w:bottom w:val="single" w:sz="8" w:color="005C7D"/>
            </w:tcBorders>
            <w:shd w:val="clear" w:color="auto" w:fill="CDDAE6"/>
          </w:tcPr>
          <w:p>
            <w:pPr>
              <w:jc w:val="right"/>
              <w:ind w:right="62"/>
              <w:spacing w:after="0"/>
              <w:rPr>
                <w:sz w:val="20"/>
                <w:szCs w:val="20"/>
                <w:color w:val="auto"/>
              </w:rPr>
            </w:pPr>
            <w:r>
              <w:rPr>
                <w:rFonts w:ascii="Arial" w:cs="Arial" w:eastAsia="Arial" w:hAnsi="Arial"/>
                <w:sz w:val="16"/>
                <w:szCs w:val="16"/>
                <w:color w:val="auto"/>
              </w:rPr>
              <w:t>535</w:t>
            </w:r>
            <w:r>
              <w:rPr>
                <w:rFonts w:ascii="Arial" w:cs="Arial" w:eastAsia="Arial" w:hAnsi="Arial"/>
                <w:sz w:val="13"/>
                <w:szCs w:val="13"/>
                <w:color w:val="auto"/>
              </w:rPr>
              <w:t>(h)</w:t>
            </w:r>
          </w:p>
        </w:tc>
        <w:tc>
          <w:tcPr>
            <w:tcW w:w="740" w:type="dxa"/>
            <w:vAlign w:val="bottom"/>
            <w:tcBorders>
              <w:bottom w:val="single" w:sz="8" w:color="005C7D"/>
            </w:tcBorders>
            <w:shd w:val="clear" w:color="auto" w:fill="CDDAE6"/>
          </w:tcPr>
          <w:p>
            <w:pPr>
              <w:jc w:val="right"/>
              <w:ind w:right="2"/>
              <w:spacing w:after="0"/>
              <w:rPr>
                <w:sz w:val="20"/>
                <w:szCs w:val="20"/>
                <w:color w:val="auto"/>
              </w:rPr>
            </w:pPr>
            <w:r>
              <w:rPr>
                <w:rFonts w:ascii="Arial" w:cs="Arial" w:eastAsia="Arial" w:hAnsi="Arial"/>
                <w:sz w:val="16"/>
                <w:szCs w:val="16"/>
                <w:color w:val="auto"/>
              </w:rPr>
              <w:t>71,416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111760</wp:posOffset>
            </wp:positionV>
            <wp:extent cx="163766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186" w:lineRule="exact"/>
        <w:rPr>
          <w:sz w:val="20"/>
          <w:szCs w:val="20"/>
          <w:color w:val="auto"/>
        </w:rPr>
      </w:pPr>
    </w:p>
    <w:p>
      <w:pPr>
        <w:ind w:left="707" w:hanging="356"/>
        <w:spacing w:after="0"/>
        <w:tabs>
          <w:tab w:leader="none" w:pos="707" w:val="left"/>
        </w:tabs>
        <w:numPr>
          <w:ilvl w:val="1"/>
          <w:numId w:val="71"/>
        </w:numPr>
        <w:rPr>
          <w:rFonts w:ascii="Arial" w:cs="Arial" w:eastAsia="Arial" w:hAnsi="Arial"/>
          <w:sz w:val="16"/>
          <w:szCs w:val="16"/>
          <w:color w:val="auto"/>
        </w:rPr>
      </w:pPr>
      <w:r>
        <w:rPr>
          <w:rFonts w:ascii="Arial" w:cs="Arial" w:eastAsia="Arial" w:hAnsi="Arial"/>
          <w:sz w:val="16"/>
          <w:szCs w:val="16"/>
          <w:color w:val="auto"/>
        </w:rPr>
        <w:t>Represents payments of premiums for executive and group term life insurance.</w:t>
      </w:r>
    </w:p>
    <w:p>
      <w:pPr>
        <w:spacing w:after="0" w:line="45" w:lineRule="exact"/>
        <w:rPr>
          <w:rFonts w:ascii="Arial" w:cs="Arial" w:eastAsia="Arial" w:hAnsi="Arial"/>
          <w:sz w:val="16"/>
          <w:szCs w:val="16"/>
          <w:color w:val="auto"/>
        </w:rPr>
      </w:pPr>
    </w:p>
    <w:p>
      <w:pPr>
        <w:ind w:left="707" w:hanging="356"/>
        <w:spacing w:after="0"/>
        <w:tabs>
          <w:tab w:leader="none" w:pos="707" w:val="left"/>
        </w:tabs>
        <w:numPr>
          <w:ilvl w:val="1"/>
          <w:numId w:val="71"/>
        </w:numPr>
        <w:rPr>
          <w:rFonts w:ascii="Arial" w:cs="Arial" w:eastAsia="Arial" w:hAnsi="Arial"/>
          <w:sz w:val="16"/>
          <w:szCs w:val="16"/>
          <w:color w:val="auto"/>
        </w:rPr>
      </w:pPr>
      <w:r>
        <w:rPr>
          <w:rFonts w:ascii="Arial" w:cs="Arial" w:eastAsia="Arial" w:hAnsi="Arial"/>
          <w:sz w:val="16"/>
          <w:szCs w:val="16"/>
          <w:color w:val="auto"/>
        </w:rPr>
        <w:t>Represents payments of premiums for a Company-provided executive medical reimbursement plan.</w:t>
      </w:r>
    </w:p>
    <w:p>
      <w:pPr>
        <w:spacing w:after="0" w:line="45" w:lineRule="exact"/>
        <w:rPr>
          <w:rFonts w:ascii="Arial" w:cs="Arial" w:eastAsia="Arial" w:hAnsi="Arial"/>
          <w:sz w:val="16"/>
          <w:szCs w:val="16"/>
          <w:color w:val="auto"/>
        </w:rPr>
      </w:pPr>
    </w:p>
    <w:p>
      <w:pPr>
        <w:ind w:left="707" w:right="140" w:hanging="356"/>
        <w:spacing w:after="0" w:line="281" w:lineRule="auto"/>
        <w:tabs>
          <w:tab w:leader="none" w:pos="707" w:val="left"/>
        </w:tabs>
        <w:numPr>
          <w:ilvl w:val="1"/>
          <w:numId w:val="71"/>
        </w:numPr>
        <w:rPr>
          <w:rFonts w:ascii="Arial" w:cs="Arial" w:eastAsia="Arial" w:hAnsi="Arial"/>
          <w:sz w:val="16"/>
          <w:szCs w:val="16"/>
          <w:color w:val="auto"/>
        </w:rPr>
      </w:pPr>
      <w:r>
        <w:rPr>
          <w:rFonts w:ascii="Arial" w:cs="Arial" w:eastAsia="Arial" w:hAnsi="Arial"/>
          <w:sz w:val="16"/>
          <w:szCs w:val="16"/>
          <w:color w:val="auto"/>
        </w:rPr>
        <w:t>Mr. Strianese has access to L3’s fractionally-owned aircraft for occasional personal use. Mr. Strianese is required to and did reimburse L3 for all incremental costs incurred by L3 in connection with his personal use of the aircraft.</w:t>
      </w:r>
    </w:p>
    <w:p>
      <w:pPr>
        <w:spacing w:after="0" w:line="1" w:lineRule="exact"/>
        <w:rPr>
          <w:rFonts w:ascii="Arial" w:cs="Arial" w:eastAsia="Arial" w:hAnsi="Arial"/>
          <w:sz w:val="16"/>
          <w:szCs w:val="16"/>
          <w:color w:val="auto"/>
        </w:rPr>
      </w:pPr>
    </w:p>
    <w:p>
      <w:pPr>
        <w:ind w:left="707" w:right="300" w:hanging="356"/>
        <w:spacing w:after="0" w:line="322" w:lineRule="auto"/>
        <w:tabs>
          <w:tab w:leader="none" w:pos="707" w:val="left"/>
        </w:tabs>
        <w:numPr>
          <w:ilvl w:val="1"/>
          <w:numId w:val="71"/>
        </w:numPr>
        <w:rPr>
          <w:rFonts w:ascii="Arial" w:cs="Arial" w:eastAsia="Arial" w:hAnsi="Arial"/>
          <w:sz w:val="14"/>
          <w:szCs w:val="14"/>
          <w:color w:val="auto"/>
        </w:rPr>
      </w:pPr>
      <w:r>
        <w:rPr>
          <w:rFonts w:ascii="Arial" w:cs="Arial" w:eastAsia="Arial" w:hAnsi="Arial"/>
          <w:sz w:val="14"/>
          <w:szCs w:val="14"/>
          <w:color w:val="auto"/>
        </w:rPr>
        <w:t>Represents incremental costs of $37,780 associated with the use of a Company car, which include the monthly lease payments, maintenance, gas, tolls, parking and all other costs associated with the car, and payments of $20,800 for financial planning services.</w:t>
      </w:r>
    </w:p>
    <w:p>
      <w:pPr>
        <w:ind w:left="707" w:right="700" w:hanging="356"/>
        <w:spacing w:after="0" w:line="281" w:lineRule="auto"/>
        <w:tabs>
          <w:tab w:leader="none" w:pos="707" w:val="left"/>
        </w:tabs>
        <w:numPr>
          <w:ilvl w:val="1"/>
          <w:numId w:val="71"/>
        </w:numPr>
        <w:rPr>
          <w:rFonts w:ascii="Arial" w:cs="Arial" w:eastAsia="Arial" w:hAnsi="Arial"/>
          <w:sz w:val="16"/>
          <w:szCs w:val="16"/>
          <w:color w:val="auto"/>
        </w:rPr>
      </w:pPr>
      <w:r>
        <w:rPr>
          <w:rFonts w:ascii="Arial" w:cs="Arial" w:eastAsia="Arial" w:hAnsi="Arial"/>
          <w:sz w:val="16"/>
          <w:szCs w:val="16"/>
          <w:color w:val="auto"/>
        </w:rPr>
        <w:t>In 2016, Mr. Kubasik was provided access to L3’s fractionally-owned aircraft on a one-time basis in connection with a family emergency. Mr. Kubasik reimbursed L3 for all incremental costs incurred by L3 in connection with this use.</w:t>
      </w:r>
    </w:p>
    <w:p>
      <w:pPr>
        <w:spacing w:after="0" w:line="1" w:lineRule="exact"/>
        <w:rPr>
          <w:rFonts w:ascii="Arial" w:cs="Arial" w:eastAsia="Arial" w:hAnsi="Arial"/>
          <w:sz w:val="16"/>
          <w:szCs w:val="16"/>
          <w:color w:val="auto"/>
        </w:rPr>
      </w:pPr>
    </w:p>
    <w:p>
      <w:pPr>
        <w:ind w:left="707" w:hanging="356"/>
        <w:spacing w:after="0" w:line="273" w:lineRule="auto"/>
        <w:tabs>
          <w:tab w:leader="none" w:pos="707" w:val="left"/>
        </w:tabs>
        <w:numPr>
          <w:ilvl w:val="1"/>
          <w:numId w:val="71"/>
        </w:numPr>
        <w:rPr>
          <w:rFonts w:ascii="Arial" w:cs="Arial" w:eastAsia="Arial" w:hAnsi="Arial"/>
          <w:sz w:val="16"/>
          <w:szCs w:val="16"/>
          <w:color w:val="auto"/>
        </w:rPr>
      </w:pPr>
      <w:r>
        <w:rPr>
          <w:rFonts w:ascii="Arial" w:cs="Arial" w:eastAsia="Arial" w:hAnsi="Arial"/>
          <w:sz w:val="16"/>
          <w:szCs w:val="16"/>
          <w:color w:val="auto"/>
        </w:rPr>
        <w:t>Represents payments of $156,124 for relocation expenses and $16,198 for financial planning services. Consistent with our key employee relocation policy applicable to management employees generally, the amount for relocation expenses includes a gross-up payment of $82,500 related to the portion of the relocation expenses treated as taxable compensation, in order to make the relocation tax neutral to the employee.</w:t>
      </w:r>
    </w:p>
    <w:p>
      <w:pPr>
        <w:ind w:left="707" w:hanging="356"/>
        <w:spacing w:after="0"/>
        <w:tabs>
          <w:tab w:leader="none" w:pos="707" w:val="left"/>
        </w:tabs>
        <w:numPr>
          <w:ilvl w:val="1"/>
          <w:numId w:val="71"/>
        </w:numPr>
        <w:rPr>
          <w:rFonts w:ascii="Arial" w:cs="Arial" w:eastAsia="Arial" w:hAnsi="Arial"/>
          <w:sz w:val="16"/>
          <w:szCs w:val="16"/>
          <w:color w:val="auto"/>
        </w:rPr>
      </w:pPr>
      <w:r>
        <w:rPr>
          <w:rFonts w:ascii="Arial" w:cs="Arial" w:eastAsia="Arial" w:hAnsi="Arial"/>
          <w:sz w:val="16"/>
          <w:szCs w:val="16"/>
          <w:color w:val="auto"/>
        </w:rPr>
        <w:t>Represents payments for financial planning services.</w:t>
      </w:r>
    </w:p>
    <w:p>
      <w:pPr>
        <w:spacing w:after="0" w:line="45" w:lineRule="exact"/>
        <w:rPr>
          <w:rFonts w:ascii="Arial" w:cs="Arial" w:eastAsia="Arial" w:hAnsi="Arial"/>
          <w:sz w:val="16"/>
          <w:szCs w:val="16"/>
          <w:color w:val="auto"/>
        </w:rPr>
      </w:pPr>
    </w:p>
    <w:p>
      <w:pPr>
        <w:ind w:left="707" w:hanging="356"/>
        <w:spacing w:after="0"/>
        <w:tabs>
          <w:tab w:leader="none" w:pos="707" w:val="left"/>
        </w:tabs>
        <w:numPr>
          <w:ilvl w:val="1"/>
          <w:numId w:val="71"/>
        </w:numPr>
        <w:rPr>
          <w:rFonts w:ascii="Arial" w:cs="Arial" w:eastAsia="Arial" w:hAnsi="Arial"/>
          <w:sz w:val="16"/>
          <w:szCs w:val="16"/>
          <w:color w:val="auto"/>
        </w:rPr>
      </w:pPr>
      <w:r>
        <w:rPr>
          <w:rFonts w:ascii="Arial" w:cs="Arial" w:eastAsia="Arial" w:hAnsi="Arial"/>
          <w:sz w:val="16"/>
          <w:szCs w:val="16"/>
          <w:color w:val="auto"/>
        </w:rPr>
        <w:t>Represents payments for spousal travel to a Company-sponsored event.</w:t>
      </w:r>
    </w:p>
    <w:p>
      <w:pPr>
        <w:spacing w:after="0" w:line="45" w:lineRule="exact"/>
        <w:rPr>
          <w:rFonts w:ascii="Arial" w:cs="Arial" w:eastAsia="Arial" w:hAnsi="Arial"/>
          <w:sz w:val="16"/>
          <w:szCs w:val="16"/>
          <w:color w:val="auto"/>
        </w:rPr>
      </w:pPr>
    </w:p>
    <w:p>
      <w:pPr>
        <w:jc w:val="both"/>
        <w:ind w:left="347" w:right="40" w:hanging="347"/>
        <w:spacing w:after="0" w:line="335" w:lineRule="auto"/>
        <w:tabs>
          <w:tab w:leader="none" w:pos="347"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amounts in this column include increases in the actuarial value of defined benefit plans reported for each year, which are strongly related to changes in actuarial assumptions described in Note 5 above. If no changes had been made to these actuarial assumptions, the amounts that would have been reported in this column for the named executive officers for 2016, 2015 and 2014 would have been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-1270</wp:posOffset>
            </wp:positionV>
            <wp:extent cx="55829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tbl>
      <w:tblPr>
        <w:tblLayout w:type="fixed"/>
        <w:tblInd w:w="387"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1060" w:type="dxa"/>
            <w:vAlign w:val="bottom"/>
            <w:tcBorders>
              <w:bottom w:val="single" w:sz="8" w:color="005C7D"/>
            </w:tcBorders>
          </w:tcPr>
          <w:p>
            <w:pPr>
              <w:spacing w:after="0"/>
              <w:rPr>
                <w:sz w:val="16"/>
                <w:szCs w:val="16"/>
                <w:color w:val="auto"/>
              </w:rPr>
            </w:pPr>
          </w:p>
        </w:tc>
        <w:tc>
          <w:tcPr>
            <w:tcW w:w="1000" w:type="dxa"/>
            <w:vAlign w:val="bottom"/>
            <w:tcBorders>
              <w:bottom w:val="single" w:sz="8" w:color="005C7D"/>
            </w:tcBorders>
          </w:tcPr>
          <w:p>
            <w:pPr>
              <w:jc w:val="right"/>
              <w:ind w:right="303"/>
              <w:spacing w:after="0"/>
              <w:rPr>
                <w:sz w:val="20"/>
                <w:szCs w:val="20"/>
                <w:color w:val="auto"/>
              </w:rPr>
            </w:pPr>
            <w:r>
              <w:rPr>
                <w:rFonts w:ascii="Arial" w:cs="Arial" w:eastAsia="Arial" w:hAnsi="Arial"/>
                <w:sz w:val="14"/>
                <w:szCs w:val="14"/>
                <w:b w:val="1"/>
                <w:bCs w:val="1"/>
                <w:color w:val="auto"/>
              </w:rPr>
              <w:t>Total</w:t>
            </w:r>
          </w:p>
        </w:tc>
        <w:tc>
          <w:tcPr>
            <w:tcW w:w="960" w:type="dxa"/>
            <w:vAlign w:val="bottom"/>
            <w:tcBorders>
              <w:bottom w:val="single" w:sz="8" w:color="005C7D"/>
            </w:tcBorders>
          </w:tcPr>
          <w:p>
            <w:pPr>
              <w:spacing w:after="0"/>
              <w:rPr>
                <w:sz w:val="16"/>
                <w:szCs w:val="16"/>
                <w:color w:val="auto"/>
              </w:rPr>
            </w:pPr>
          </w:p>
        </w:tc>
      </w:tr>
      <w:tr>
        <w:trPr>
          <w:trHeight w:val="160"/>
        </w:trPr>
        <w:tc>
          <w:tcPr>
            <w:tcW w:w="5760" w:type="dxa"/>
            <w:vAlign w:val="bottom"/>
          </w:tcPr>
          <w:p>
            <w:pPr>
              <w:spacing w:after="0"/>
              <w:rPr>
                <w:sz w:val="13"/>
                <w:szCs w:val="13"/>
                <w:color w:val="auto"/>
              </w:rPr>
            </w:pPr>
          </w:p>
        </w:tc>
        <w:tc>
          <w:tcPr>
            <w:tcW w:w="1060" w:type="dxa"/>
            <w:vAlign w:val="bottom"/>
          </w:tcPr>
          <w:p>
            <w:pPr>
              <w:jc w:val="right"/>
              <w:ind w:right="342"/>
              <w:spacing w:after="0" w:line="160" w:lineRule="exact"/>
              <w:rPr>
                <w:sz w:val="20"/>
                <w:szCs w:val="20"/>
                <w:color w:val="auto"/>
              </w:rPr>
            </w:pPr>
            <w:r>
              <w:rPr>
                <w:rFonts w:ascii="Arial" w:cs="Arial" w:eastAsia="Arial" w:hAnsi="Arial"/>
                <w:sz w:val="14"/>
                <w:szCs w:val="14"/>
                <w:b w:val="1"/>
                <w:bCs w:val="1"/>
                <w:color w:val="auto"/>
              </w:rPr>
              <w:t>2016</w:t>
            </w:r>
          </w:p>
        </w:tc>
        <w:tc>
          <w:tcPr>
            <w:tcW w:w="1000" w:type="dxa"/>
            <w:vAlign w:val="bottom"/>
          </w:tcPr>
          <w:p>
            <w:pPr>
              <w:jc w:val="right"/>
              <w:ind w:right="343"/>
              <w:spacing w:after="0" w:line="160" w:lineRule="exact"/>
              <w:rPr>
                <w:sz w:val="20"/>
                <w:szCs w:val="20"/>
                <w:color w:val="auto"/>
              </w:rPr>
            </w:pPr>
            <w:r>
              <w:rPr>
                <w:rFonts w:ascii="Arial" w:cs="Arial" w:eastAsia="Arial" w:hAnsi="Arial"/>
                <w:sz w:val="14"/>
                <w:szCs w:val="14"/>
                <w:b w:val="1"/>
                <w:bCs w:val="1"/>
                <w:color w:val="auto"/>
              </w:rPr>
              <w:t>2015</w:t>
            </w:r>
          </w:p>
        </w:tc>
        <w:tc>
          <w:tcPr>
            <w:tcW w:w="960" w:type="dxa"/>
            <w:vAlign w:val="bottom"/>
          </w:tcPr>
          <w:p>
            <w:pPr>
              <w:jc w:val="right"/>
              <w:ind w:right="282"/>
              <w:spacing w:after="0" w:line="160" w:lineRule="exact"/>
              <w:rPr>
                <w:sz w:val="20"/>
                <w:szCs w:val="20"/>
                <w:color w:val="auto"/>
              </w:rPr>
            </w:pPr>
            <w:r>
              <w:rPr>
                <w:rFonts w:ascii="Arial" w:cs="Arial" w:eastAsia="Arial" w:hAnsi="Arial"/>
                <w:sz w:val="14"/>
                <w:szCs w:val="14"/>
                <w:b w:val="1"/>
                <w:bCs w:val="1"/>
                <w:color w:val="auto"/>
              </w:rPr>
              <w:t>2014</w:t>
            </w:r>
          </w:p>
        </w:tc>
      </w:tr>
      <w:tr>
        <w:trPr>
          <w:trHeight w:val="185"/>
        </w:trPr>
        <w:tc>
          <w:tcPr>
            <w:tcW w:w="5760" w:type="dxa"/>
            <w:vAlign w:val="bottom"/>
            <w:tcBorders>
              <w:bottom w:val="single" w:sz="8" w:color="005C7D"/>
            </w:tcBorders>
          </w:tcPr>
          <w:p>
            <w:pPr>
              <w:ind w:left="20"/>
              <w:spacing w:after="0"/>
              <w:rPr>
                <w:sz w:val="20"/>
                <w:szCs w:val="20"/>
                <w:color w:val="auto"/>
              </w:rPr>
            </w:pPr>
            <w:r>
              <w:rPr>
                <w:rFonts w:ascii="Arial" w:cs="Arial" w:eastAsia="Arial" w:hAnsi="Arial"/>
                <w:sz w:val="14"/>
                <w:szCs w:val="14"/>
                <w:b w:val="1"/>
                <w:bCs w:val="1"/>
                <w:color w:val="auto"/>
              </w:rPr>
              <w:t>Name</w:t>
            </w:r>
          </w:p>
        </w:tc>
        <w:tc>
          <w:tcPr>
            <w:tcW w:w="1060" w:type="dxa"/>
            <w:vAlign w:val="bottom"/>
            <w:tcBorders>
              <w:bottom w:val="single" w:sz="8" w:color="005C7D"/>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005C7D"/>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005C7D"/>
            </w:tcBorders>
          </w:tcPr>
          <w:p>
            <w:pPr>
              <w:jc w:val="right"/>
              <w:ind w:right="342"/>
              <w:spacing w:after="0"/>
              <w:rPr>
                <w:sz w:val="20"/>
                <w:szCs w:val="20"/>
                <w:color w:val="auto"/>
              </w:rPr>
            </w:pPr>
            <w:r>
              <w:rPr>
                <w:rFonts w:ascii="Arial" w:cs="Arial" w:eastAsia="Arial" w:hAnsi="Arial"/>
                <w:sz w:val="14"/>
                <w:szCs w:val="14"/>
                <w:b w:val="1"/>
                <w:bCs w:val="1"/>
                <w:color w:val="auto"/>
              </w:rPr>
              <w:t>($)</w:t>
            </w:r>
          </w:p>
        </w:tc>
      </w:tr>
      <w:tr>
        <w:trPr>
          <w:trHeight w:val="223"/>
        </w:trPr>
        <w:tc>
          <w:tcPr>
            <w:tcW w:w="5760" w:type="dxa"/>
            <w:vAlign w:val="bottom"/>
            <w:shd w:val="clear" w:color="auto" w:fill="CDDAE6"/>
          </w:tcPr>
          <w:p>
            <w:pPr>
              <w:ind w:left="20"/>
              <w:spacing w:after="0"/>
              <w:rPr>
                <w:sz w:val="20"/>
                <w:szCs w:val="20"/>
                <w:color w:val="auto"/>
              </w:rPr>
            </w:pPr>
            <w:r>
              <w:rPr>
                <w:rFonts w:ascii="Arial" w:cs="Arial" w:eastAsia="Arial" w:hAnsi="Arial"/>
                <w:sz w:val="16"/>
                <w:szCs w:val="16"/>
                <w:color w:val="auto"/>
              </w:rPr>
              <w:t>Michael T. Strianese</w:t>
            </w:r>
          </w:p>
        </w:tc>
        <w:tc>
          <w:tcPr>
            <w:tcW w:w="1060" w:type="dxa"/>
            <w:vAlign w:val="bottom"/>
            <w:shd w:val="clear" w:color="auto" w:fill="CDDAE6"/>
          </w:tcPr>
          <w:p>
            <w:pPr>
              <w:jc w:val="right"/>
              <w:ind w:right="62"/>
              <w:spacing w:after="0"/>
              <w:rPr>
                <w:sz w:val="20"/>
                <w:szCs w:val="20"/>
                <w:color w:val="auto"/>
              </w:rPr>
            </w:pPr>
            <w:r>
              <w:rPr>
                <w:rFonts w:ascii="Arial" w:cs="Arial" w:eastAsia="Arial" w:hAnsi="Arial"/>
                <w:sz w:val="16"/>
                <w:szCs w:val="16"/>
                <w:color w:val="auto"/>
              </w:rPr>
              <w:t>14,516,572</w:t>
            </w:r>
          </w:p>
        </w:tc>
        <w:tc>
          <w:tcPr>
            <w:tcW w:w="1000" w:type="dxa"/>
            <w:vAlign w:val="bottom"/>
            <w:shd w:val="clear" w:color="auto" w:fill="CDDAE6"/>
          </w:tcPr>
          <w:p>
            <w:pPr>
              <w:jc w:val="right"/>
              <w:ind w:right="63"/>
              <w:spacing w:after="0"/>
              <w:rPr>
                <w:sz w:val="20"/>
                <w:szCs w:val="20"/>
                <w:color w:val="auto"/>
              </w:rPr>
            </w:pPr>
            <w:r>
              <w:rPr>
                <w:rFonts w:ascii="Arial" w:cs="Arial" w:eastAsia="Arial" w:hAnsi="Arial"/>
                <w:sz w:val="16"/>
                <w:szCs w:val="16"/>
                <w:color w:val="auto"/>
              </w:rPr>
              <w:t>11,811,433</w:t>
            </w:r>
          </w:p>
        </w:tc>
        <w:tc>
          <w:tcPr>
            <w:tcW w:w="960" w:type="dxa"/>
            <w:vAlign w:val="bottom"/>
            <w:shd w:val="clear" w:color="auto" w:fill="CDDAE6"/>
          </w:tcPr>
          <w:p>
            <w:pPr>
              <w:jc w:val="right"/>
              <w:ind w:right="2"/>
              <w:spacing w:after="0"/>
              <w:rPr>
                <w:sz w:val="20"/>
                <w:szCs w:val="20"/>
                <w:color w:val="auto"/>
              </w:rPr>
            </w:pPr>
            <w:r>
              <w:rPr>
                <w:rFonts w:ascii="Arial" w:cs="Arial" w:eastAsia="Arial" w:hAnsi="Arial"/>
                <w:sz w:val="16"/>
                <w:szCs w:val="16"/>
                <w:color w:val="auto"/>
              </w:rPr>
              <w:t>11,639,092</w:t>
            </w:r>
          </w:p>
        </w:tc>
      </w:tr>
      <w:tr>
        <w:trPr>
          <w:trHeight w:val="220"/>
        </w:trPr>
        <w:tc>
          <w:tcPr>
            <w:tcW w:w="5760" w:type="dxa"/>
            <w:vAlign w:val="bottom"/>
          </w:tcPr>
          <w:p>
            <w:pPr>
              <w:ind w:left="20"/>
              <w:spacing w:after="0"/>
              <w:rPr>
                <w:sz w:val="20"/>
                <w:szCs w:val="20"/>
                <w:color w:val="auto"/>
              </w:rPr>
            </w:pPr>
            <w:r>
              <w:rPr>
                <w:rFonts w:ascii="Arial" w:cs="Arial" w:eastAsia="Arial" w:hAnsi="Arial"/>
                <w:sz w:val="16"/>
                <w:szCs w:val="16"/>
                <w:color w:val="auto"/>
              </w:rPr>
              <w:t>Christopher E. Kubasik</w:t>
            </w: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5,097,947</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9"/>
        </w:trPr>
        <w:tc>
          <w:tcPr>
            <w:tcW w:w="5760" w:type="dxa"/>
            <w:vAlign w:val="bottom"/>
            <w:shd w:val="clear" w:color="auto" w:fill="CDDAE6"/>
          </w:tcPr>
          <w:p>
            <w:pPr>
              <w:ind w:left="20"/>
              <w:spacing w:after="0"/>
              <w:rPr>
                <w:sz w:val="20"/>
                <w:szCs w:val="20"/>
                <w:color w:val="auto"/>
              </w:rPr>
            </w:pPr>
            <w:r>
              <w:rPr>
                <w:rFonts w:ascii="Arial" w:cs="Arial" w:eastAsia="Arial" w:hAnsi="Arial"/>
                <w:sz w:val="16"/>
                <w:szCs w:val="16"/>
                <w:color w:val="auto"/>
              </w:rPr>
              <w:t>Ralph G. D’Ambrosio</w:t>
            </w:r>
          </w:p>
        </w:tc>
        <w:tc>
          <w:tcPr>
            <w:tcW w:w="1060" w:type="dxa"/>
            <w:vAlign w:val="bottom"/>
            <w:shd w:val="clear" w:color="auto" w:fill="CDDAE6"/>
          </w:tcPr>
          <w:p>
            <w:pPr>
              <w:jc w:val="right"/>
              <w:ind w:right="62"/>
              <w:spacing w:after="0"/>
              <w:rPr>
                <w:sz w:val="20"/>
                <w:szCs w:val="20"/>
                <w:color w:val="auto"/>
              </w:rPr>
            </w:pPr>
            <w:r>
              <w:rPr>
                <w:rFonts w:ascii="Arial" w:cs="Arial" w:eastAsia="Arial" w:hAnsi="Arial"/>
                <w:sz w:val="16"/>
                <w:szCs w:val="16"/>
                <w:color w:val="auto"/>
              </w:rPr>
              <w:t>4,041,718</w:t>
            </w:r>
          </w:p>
        </w:tc>
        <w:tc>
          <w:tcPr>
            <w:tcW w:w="1000" w:type="dxa"/>
            <w:vAlign w:val="bottom"/>
            <w:shd w:val="clear" w:color="auto" w:fill="CDDAE6"/>
          </w:tcPr>
          <w:p>
            <w:pPr>
              <w:jc w:val="right"/>
              <w:ind w:right="63"/>
              <w:spacing w:after="0"/>
              <w:rPr>
                <w:sz w:val="20"/>
                <w:szCs w:val="20"/>
                <w:color w:val="auto"/>
              </w:rPr>
            </w:pPr>
            <w:r>
              <w:rPr>
                <w:rFonts w:ascii="Arial" w:cs="Arial" w:eastAsia="Arial" w:hAnsi="Arial"/>
                <w:sz w:val="16"/>
                <w:szCs w:val="16"/>
                <w:color w:val="auto"/>
              </w:rPr>
              <w:t>3,213,680</w:t>
            </w:r>
          </w:p>
        </w:tc>
        <w:tc>
          <w:tcPr>
            <w:tcW w:w="960" w:type="dxa"/>
            <w:vAlign w:val="bottom"/>
            <w:shd w:val="clear" w:color="auto" w:fill="CDDAE6"/>
          </w:tcPr>
          <w:p>
            <w:pPr>
              <w:jc w:val="right"/>
              <w:ind w:right="2"/>
              <w:spacing w:after="0"/>
              <w:rPr>
                <w:sz w:val="20"/>
                <w:szCs w:val="20"/>
                <w:color w:val="auto"/>
              </w:rPr>
            </w:pPr>
            <w:r>
              <w:rPr>
                <w:rFonts w:ascii="Arial" w:cs="Arial" w:eastAsia="Arial" w:hAnsi="Arial"/>
                <w:sz w:val="16"/>
                <w:szCs w:val="16"/>
                <w:color w:val="auto"/>
              </w:rPr>
              <w:t>3,383,090</w:t>
            </w:r>
          </w:p>
        </w:tc>
      </w:tr>
      <w:tr>
        <w:trPr>
          <w:trHeight w:val="220"/>
        </w:trPr>
        <w:tc>
          <w:tcPr>
            <w:tcW w:w="5760" w:type="dxa"/>
            <w:vAlign w:val="bottom"/>
          </w:tcPr>
          <w:p>
            <w:pPr>
              <w:ind w:left="20"/>
              <w:spacing w:after="0"/>
              <w:rPr>
                <w:sz w:val="20"/>
                <w:szCs w:val="20"/>
                <w:color w:val="auto"/>
              </w:rPr>
            </w:pPr>
            <w:r>
              <w:rPr>
                <w:rFonts w:ascii="Arial" w:cs="Arial" w:eastAsia="Arial" w:hAnsi="Arial"/>
                <w:sz w:val="16"/>
                <w:szCs w:val="16"/>
                <w:color w:val="auto"/>
              </w:rPr>
              <w:t>Curtis Brunson</w:t>
            </w: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3,961,458</w:t>
            </w:r>
          </w:p>
        </w:tc>
        <w:tc>
          <w:tcPr>
            <w:tcW w:w="1000" w:type="dxa"/>
            <w:vAlign w:val="bottom"/>
          </w:tcPr>
          <w:p>
            <w:pPr>
              <w:jc w:val="right"/>
              <w:ind w:right="63"/>
              <w:spacing w:after="0"/>
              <w:rPr>
                <w:sz w:val="20"/>
                <w:szCs w:val="20"/>
                <w:color w:val="auto"/>
              </w:rPr>
            </w:pPr>
            <w:r>
              <w:rPr>
                <w:rFonts w:ascii="Arial" w:cs="Arial" w:eastAsia="Arial" w:hAnsi="Arial"/>
                <w:sz w:val="16"/>
                <w:szCs w:val="16"/>
                <w:color w:val="auto"/>
              </w:rPr>
              <w:t>3,297,336</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3,425,112</w:t>
            </w:r>
          </w:p>
        </w:tc>
      </w:tr>
      <w:tr>
        <w:trPr>
          <w:trHeight w:val="233"/>
        </w:trPr>
        <w:tc>
          <w:tcPr>
            <w:tcW w:w="5760" w:type="dxa"/>
            <w:vAlign w:val="bottom"/>
            <w:tcBorders>
              <w:bottom w:val="single" w:sz="8" w:color="005C7D"/>
            </w:tcBorders>
            <w:shd w:val="clear" w:color="auto" w:fill="CDDAE6"/>
          </w:tcPr>
          <w:p>
            <w:pPr>
              <w:ind w:left="20"/>
              <w:spacing w:after="0"/>
              <w:rPr>
                <w:sz w:val="20"/>
                <w:szCs w:val="20"/>
                <w:color w:val="auto"/>
              </w:rPr>
            </w:pPr>
            <w:r>
              <w:rPr>
                <w:rFonts w:ascii="Arial" w:cs="Arial" w:eastAsia="Arial" w:hAnsi="Arial"/>
                <w:sz w:val="16"/>
                <w:szCs w:val="16"/>
                <w:color w:val="auto"/>
              </w:rPr>
              <w:t>Steve Kantor</w:t>
            </w:r>
          </w:p>
        </w:tc>
        <w:tc>
          <w:tcPr>
            <w:tcW w:w="1060" w:type="dxa"/>
            <w:vAlign w:val="bottom"/>
            <w:tcBorders>
              <w:bottom w:val="single" w:sz="8" w:color="005C7D"/>
            </w:tcBorders>
            <w:shd w:val="clear" w:color="auto" w:fill="CDDAE6"/>
          </w:tcPr>
          <w:p>
            <w:pPr>
              <w:jc w:val="right"/>
              <w:ind w:right="62"/>
              <w:spacing w:after="0"/>
              <w:rPr>
                <w:sz w:val="20"/>
                <w:szCs w:val="20"/>
                <w:color w:val="auto"/>
              </w:rPr>
            </w:pPr>
            <w:r>
              <w:rPr>
                <w:rFonts w:ascii="Arial" w:cs="Arial" w:eastAsia="Arial" w:hAnsi="Arial"/>
                <w:sz w:val="16"/>
                <w:szCs w:val="16"/>
                <w:color w:val="auto"/>
              </w:rPr>
              <w:t>3,627,571</w:t>
            </w:r>
          </w:p>
        </w:tc>
        <w:tc>
          <w:tcPr>
            <w:tcW w:w="1000" w:type="dxa"/>
            <w:vAlign w:val="bottom"/>
            <w:tcBorders>
              <w:bottom w:val="single" w:sz="8" w:color="005C7D"/>
            </w:tcBorders>
            <w:shd w:val="clear" w:color="auto" w:fill="CDDAE6"/>
          </w:tcPr>
          <w:p>
            <w:pPr>
              <w:jc w:val="right"/>
              <w:ind w:right="63"/>
              <w:spacing w:after="0"/>
              <w:rPr>
                <w:sz w:val="20"/>
                <w:szCs w:val="20"/>
                <w:color w:val="auto"/>
              </w:rPr>
            </w:pPr>
            <w:r>
              <w:rPr>
                <w:rFonts w:ascii="Arial" w:cs="Arial" w:eastAsia="Arial" w:hAnsi="Arial"/>
                <w:sz w:val="16"/>
                <w:szCs w:val="16"/>
                <w:color w:val="auto"/>
              </w:rPr>
              <w:t>3,224,137</w:t>
            </w:r>
          </w:p>
        </w:tc>
        <w:tc>
          <w:tcPr>
            <w:tcW w:w="960" w:type="dxa"/>
            <w:vAlign w:val="bottom"/>
            <w:tcBorders>
              <w:bottom w:val="single" w:sz="8" w:color="005C7D"/>
            </w:tcBorders>
            <w:shd w:val="clear" w:color="auto" w:fill="CDDAE6"/>
          </w:tcPr>
          <w:p>
            <w:pPr>
              <w:jc w:val="right"/>
              <w:ind w:right="2"/>
              <w:spacing w:after="0"/>
              <w:rPr>
                <w:sz w:val="20"/>
                <w:szCs w:val="20"/>
                <w:color w:val="auto"/>
              </w:rPr>
            </w:pPr>
            <w:r>
              <w:rPr>
                <w:rFonts w:ascii="Arial" w:cs="Arial" w:eastAsia="Arial" w:hAnsi="Arial"/>
                <w:sz w:val="16"/>
                <w:szCs w:val="16"/>
                <w:color w:val="auto"/>
              </w:rPr>
              <w:t>3,161,766</w:t>
            </w:r>
          </w:p>
        </w:tc>
      </w:tr>
    </w:tbl>
    <w:p>
      <w:pPr>
        <w:spacing w:after="0" w:line="17" w:lineRule="exact"/>
        <w:rPr>
          <w:sz w:val="20"/>
          <w:szCs w:val="20"/>
          <w:color w:val="auto"/>
        </w:rPr>
      </w:pPr>
    </w:p>
    <w:p>
      <w:pPr>
        <w:ind w:left="347" w:right="120" w:hanging="347"/>
        <w:spacing w:after="0" w:line="293" w:lineRule="auto"/>
        <w:tabs>
          <w:tab w:leader="none" w:pos="347" w:val="left"/>
        </w:tabs>
        <w:numPr>
          <w:ilvl w:val="0"/>
          <w:numId w:val="73"/>
        </w:numPr>
        <w:rPr>
          <w:rFonts w:ascii="Arial" w:cs="Arial" w:eastAsia="Arial" w:hAnsi="Arial"/>
          <w:sz w:val="16"/>
          <w:szCs w:val="16"/>
          <w:color w:val="auto"/>
        </w:rPr>
      </w:pPr>
      <w:r>
        <w:rPr>
          <w:rFonts w:ascii="Arial" w:cs="Arial" w:eastAsia="Arial" w:hAnsi="Arial"/>
          <w:sz w:val="16"/>
          <w:szCs w:val="16"/>
          <w:color w:val="auto"/>
        </w:rPr>
        <w:t>Messrs. Brunson and Kantor transitioned from their respective roles indicated in the table effective March 1, 2017, and will be retiring from the Company in the second quarter of 2017.</w:t>
      </w:r>
    </w:p>
    <w:p>
      <w:pPr>
        <w:spacing w:after="0" w:line="237" w:lineRule="exact"/>
        <w:rPr>
          <w:sz w:val="20"/>
          <w:szCs w:val="20"/>
          <w:color w:val="auto"/>
        </w:rPr>
      </w:pPr>
    </w:p>
    <w:p>
      <w:pPr>
        <w:ind w:left="47"/>
        <w:spacing w:after="0"/>
        <w:tabs>
          <w:tab w:leader="none" w:pos="666" w:val="left"/>
        </w:tabs>
        <w:rPr>
          <w:sz w:val="20"/>
          <w:szCs w:val="20"/>
          <w:color w:val="auto"/>
        </w:rPr>
      </w:pPr>
      <w:r>
        <w:rPr>
          <w:rFonts w:ascii="Arial" w:cs="Arial" w:eastAsia="Arial" w:hAnsi="Arial"/>
          <w:sz w:val="18"/>
          <w:szCs w:val="18"/>
          <w:color w:val="005C7D"/>
        </w:rPr>
        <w:t>64</w:t>
      </w:r>
      <w:r>
        <w:rPr>
          <w:sz w:val="20"/>
          <w:szCs w:val="20"/>
          <w:color w:val="auto"/>
        </w:rPr>
        <w:tab/>
      </w: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382270</wp:posOffset>
            </wp:positionV>
            <wp:extent cx="6071870" cy="431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-106045</wp:posOffset>
            </wp:positionV>
            <wp:extent cx="154305" cy="1543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70" w:name="page71"/>
    <w:bookmarkEnd w:id="70"/>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TABULAR EXECUTIVE COMPENSATION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07187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11"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2016 Grants of Plan-Based Awards</w:t>
      </w:r>
    </w:p>
    <w:p>
      <w:pPr>
        <w:spacing w:after="0" w:line="175" w:lineRule="exact"/>
        <w:rPr>
          <w:sz w:val="20"/>
          <w:szCs w:val="20"/>
          <w:color w:val="auto"/>
        </w:rPr>
      </w:pPr>
    </w:p>
    <w:p>
      <w:pPr>
        <w:ind w:left="7" w:right="20"/>
        <w:spacing w:after="0" w:line="259" w:lineRule="auto"/>
        <w:rPr>
          <w:sz w:val="20"/>
          <w:szCs w:val="20"/>
          <w:color w:val="auto"/>
        </w:rPr>
      </w:pPr>
      <w:r>
        <w:rPr>
          <w:rFonts w:ascii="Arial" w:cs="Arial" w:eastAsia="Arial" w:hAnsi="Arial"/>
          <w:sz w:val="18"/>
          <w:szCs w:val="18"/>
          <w:color w:val="auto"/>
        </w:rPr>
        <w:t>The following table provides information regarding: (1) annual incentive plan awards and long-term performance cash awards under the L3 Technologies, Inc. Amended and Restated 2012 Cash Incentive Plan, and (2) performance unit, RSU and stock option awards under the L3 Technologies, Inc. Amended and Restated 2008 Long Term Performance Plan. Plan-based awards are generally granted to the named executive officers on an annual basis in February.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607187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left="2847"/>
        <w:spacing w:after="0"/>
        <w:rPr>
          <w:sz w:val="20"/>
          <w:szCs w:val="20"/>
          <w:color w:val="auto"/>
        </w:rPr>
      </w:pPr>
      <w:r>
        <w:rPr>
          <w:rFonts w:ascii="Arial" w:cs="Arial" w:eastAsia="Arial" w:hAnsi="Arial"/>
          <w:sz w:val="14"/>
          <w:szCs w:val="14"/>
          <w:b w:val="1"/>
          <w:bCs w:val="1"/>
          <w:color w:val="auto"/>
        </w:rPr>
        <w:t>Estimated Future Payouts</w:t>
      </w:r>
    </w:p>
    <w:p>
      <w:pPr>
        <w:spacing w:after="0" w:line="17" w:lineRule="exact"/>
        <w:rPr>
          <w:sz w:val="20"/>
          <w:szCs w:val="20"/>
          <w:color w:val="auto"/>
        </w:rPr>
      </w:pPr>
    </w:p>
    <w:p>
      <w:pPr>
        <w:jc w:val="center"/>
        <w:ind w:left="2847"/>
        <w:spacing w:after="0"/>
        <w:rPr>
          <w:sz w:val="20"/>
          <w:szCs w:val="20"/>
          <w:color w:val="auto"/>
        </w:rPr>
      </w:pPr>
      <w:r>
        <w:rPr>
          <w:rFonts w:ascii="Arial" w:cs="Arial" w:eastAsia="Arial" w:hAnsi="Arial"/>
          <w:sz w:val="14"/>
          <w:szCs w:val="14"/>
          <w:b w:val="1"/>
          <w:bCs w:val="1"/>
          <w:color w:val="auto"/>
        </w:rPr>
        <w:t>Under Non-Equity Incentive Plan</w:t>
      </w:r>
    </w:p>
    <w:p>
      <w:pPr>
        <w:spacing w:after="0" w:line="1" w:lineRule="exact"/>
        <w:rPr>
          <w:sz w:val="20"/>
          <w:szCs w:val="20"/>
          <w:color w:val="auto"/>
        </w:rPr>
      </w:pPr>
    </w:p>
    <w:p>
      <w:pPr>
        <w:jc w:val="center"/>
        <w:ind w:left="2847"/>
        <w:spacing w:after="0"/>
        <w:rPr>
          <w:sz w:val="20"/>
          <w:szCs w:val="20"/>
          <w:color w:val="auto"/>
        </w:rPr>
      </w:pPr>
      <w:r>
        <w:rPr>
          <w:rFonts w:ascii="Arial" w:cs="Arial" w:eastAsia="Arial" w:hAnsi="Arial"/>
          <w:sz w:val="14"/>
          <w:szCs w:val="14"/>
          <w:b w:val="1"/>
          <w:bCs w:val="1"/>
          <w:color w:val="auto"/>
        </w:rPr>
        <w:t>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-3175</wp:posOffset>
            </wp:positionV>
            <wp:extent cx="13976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46" w:lineRule="exact"/>
        <w:rPr>
          <w:sz w:val="20"/>
          <w:szCs w:val="20"/>
          <w:color w:val="auto"/>
        </w:rPr>
      </w:pPr>
    </w:p>
    <w:p>
      <w:pPr>
        <w:ind w:left="1627"/>
        <w:spacing w:after="0"/>
        <w:tabs>
          <w:tab w:leader="none" w:pos="2226" w:val="left"/>
          <w:tab w:leader="none" w:pos="2806" w:val="left"/>
          <w:tab w:leader="none" w:pos="3686" w:val="left"/>
          <w:tab w:leader="none" w:pos="4386" w:val="left"/>
        </w:tabs>
        <w:rPr>
          <w:sz w:val="20"/>
          <w:szCs w:val="20"/>
          <w:color w:val="auto"/>
        </w:rPr>
      </w:pPr>
      <w:r>
        <w:rPr>
          <w:rFonts w:ascii="Arial" w:cs="Arial" w:eastAsia="Arial" w:hAnsi="Arial"/>
          <w:sz w:val="14"/>
          <w:szCs w:val="14"/>
          <w:b w:val="1"/>
          <w:bCs w:val="1"/>
          <w:color w:val="auto"/>
        </w:rPr>
        <w:t>Grant</w:t>
      </w:r>
      <w:r>
        <w:rPr>
          <w:sz w:val="20"/>
          <w:szCs w:val="20"/>
          <w:color w:val="auto"/>
        </w:rPr>
        <w:tab/>
      </w:r>
      <w:r>
        <w:rPr>
          <w:rFonts w:ascii="Arial" w:cs="Arial" w:eastAsia="Arial" w:hAnsi="Arial"/>
          <w:sz w:val="14"/>
          <w:szCs w:val="14"/>
          <w:b w:val="1"/>
          <w:bCs w:val="1"/>
          <w:color w:val="auto"/>
        </w:rPr>
        <w:t>Grant</w:t>
        <w:tab/>
        <w:t>Threshold</w:t>
      </w:r>
      <w:r>
        <w:rPr>
          <w:sz w:val="20"/>
          <w:szCs w:val="20"/>
          <w:color w:val="auto"/>
        </w:rPr>
        <w:tab/>
      </w:r>
      <w:r>
        <w:rPr>
          <w:rFonts w:ascii="Arial" w:cs="Arial" w:eastAsia="Arial" w:hAnsi="Arial"/>
          <w:sz w:val="14"/>
          <w:szCs w:val="14"/>
          <w:b w:val="1"/>
          <w:bCs w:val="1"/>
          <w:color w:val="auto"/>
        </w:rPr>
        <w:t>Target</w:t>
      </w:r>
      <w:r>
        <w:rPr>
          <w:sz w:val="20"/>
          <w:szCs w:val="20"/>
          <w:color w:val="auto"/>
        </w:rPr>
        <w:tab/>
      </w:r>
      <w:r>
        <w:rPr>
          <w:rFonts w:ascii="Arial" w:cs="Arial" w:eastAsia="Arial" w:hAnsi="Arial"/>
          <w:sz w:val="13"/>
          <w:szCs w:val="13"/>
          <w:b w:val="1"/>
          <w:bCs w:val="1"/>
          <w:color w:val="auto"/>
        </w:rPr>
        <w:t>Maximum</w:t>
      </w:r>
    </w:p>
    <w:p>
      <w:pPr>
        <w:spacing w:after="0" w:line="17" w:lineRule="exact"/>
        <w:rPr>
          <w:sz w:val="20"/>
          <w:szCs w:val="20"/>
          <w:color w:val="auto"/>
        </w:rPr>
      </w:pPr>
    </w:p>
    <w:p>
      <w:pPr>
        <w:ind w:left="1667"/>
        <w:spacing w:after="0"/>
        <w:tabs>
          <w:tab w:leader="none" w:pos="2266" w:val="left"/>
          <w:tab w:leader="none" w:pos="3026" w:val="left"/>
          <w:tab w:leader="none" w:pos="3806" w:val="left"/>
          <w:tab w:leader="none" w:pos="4626" w:val="left"/>
        </w:tabs>
        <w:rPr>
          <w:sz w:val="20"/>
          <w:szCs w:val="20"/>
          <w:color w:val="auto"/>
        </w:rPr>
      </w:pPr>
      <w:r>
        <w:rPr>
          <w:rFonts w:ascii="Arial" w:cs="Arial" w:eastAsia="Arial" w:hAnsi="Arial"/>
          <w:sz w:val="14"/>
          <w:szCs w:val="14"/>
          <w:b w:val="1"/>
          <w:bCs w:val="1"/>
          <w:color w:val="auto"/>
        </w:rPr>
        <w:t>Type</w:t>
      </w:r>
      <w:r>
        <w:rPr>
          <w:sz w:val="20"/>
          <w:szCs w:val="20"/>
          <w:color w:val="auto"/>
        </w:rPr>
        <w:tab/>
      </w:r>
      <w:r>
        <w:rPr>
          <w:rFonts w:ascii="Arial" w:cs="Arial" w:eastAsia="Arial" w:hAnsi="Arial"/>
          <w:sz w:val="14"/>
          <w:szCs w:val="14"/>
          <w:b w:val="1"/>
          <w:bCs w:val="1"/>
          <w:color w:val="auto"/>
        </w:rPr>
        <w:t>Date</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6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06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2"/>
              </w:rPr>
              <w:t>Estimated Future Payouts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2060" w:type="dxa"/>
            <w:vAlign w:val="bottom"/>
            <w:gridSpan w:val="4"/>
            <w:vMerge w:val="continue"/>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or Base</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206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5"/>
              </w:rPr>
              <w:t>Under Equity Incentive Plan</w:t>
            </w: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2060" w:type="dxa"/>
            <w:vAlign w:val="bottom"/>
            <w:gridSpan w:val="4"/>
            <w:vMerge w:val="continue"/>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Price of</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Stock and</w:t>
            </w: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Awards</w:t>
            </w: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660" w:type="dxa"/>
            <w:vAlign w:val="bottom"/>
            <w:tcBorders>
              <w:bottom w:val="single" w:sz="8" w:color="005C7D"/>
            </w:tcBorders>
          </w:tcPr>
          <w:p>
            <w:pPr>
              <w:spacing w:after="0"/>
              <w:rPr>
                <w:sz w:val="7"/>
                <w:szCs w:val="7"/>
                <w:color w:val="auto"/>
              </w:rPr>
            </w:pPr>
          </w:p>
        </w:tc>
        <w:tc>
          <w:tcPr>
            <w:tcW w:w="640" w:type="dxa"/>
            <w:vAlign w:val="bottom"/>
            <w:tcBorders>
              <w:bottom w:val="single" w:sz="8" w:color="005C7D"/>
            </w:tcBorders>
            <w:vMerge w:val="continue"/>
          </w:tcPr>
          <w:p>
            <w:pPr>
              <w:spacing w:after="0"/>
              <w:rPr>
                <w:sz w:val="7"/>
                <w:szCs w:val="7"/>
                <w:color w:val="auto"/>
              </w:rPr>
            </w:pPr>
          </w:p>
        </w:tc>
        <w:tc>
          <w:tcPr>
            <w:tcW w:w="700" w:type="dxa"/>
            <w:vAlign w:val="bottom"/>
            <w:tcBorders>
              <w:bottom w:val="single" w:sz="8" w:color="005C7D"/>
            </w:tcBorders>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72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w w:val="94"/>
              </w:rPr>
              <w:t>Threshold</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Target</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83"/>
        </w:trPr>
        <w:tc>
          <w:tcPr>
            <w:tcW w:w="72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7"/>
              </w:rPr>
              <w:t>($/Sh)</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047" w:space="120"/>
            <w:col w:w="4400"/>
          </w:cols>
          <w:pgMar w:left="1173" w:top="279" w:right="1159" w:bottom="1440" w:gutter="0" w:footer="0" w:header="0"/>
          <w:type w:val="continuous"/>
        </w:sectPr>
      </w:pPr>
    </w:p>
    <w:tbl>
      <w:tblPr>
        <w:tblLayout w:type="fixed"/>
        <w:tblInd w:w="7" w:type="dxa"/>
        <w:tblCellMar>
          <w:top w:w="0" w:type="dxa"/>
          <w:left w:w="0" w:type="dxa"/>
          <w:bottom w:w="0" w:type="dxa"/>
          <w:right w:w="0" w:type="dxa"/>
        </w:tblCellMar>
      </w:tblPr>
      <w:tr>
        <w:trPr>
          <w:trHeight w:val="212"/>
        </w:trPr>
        <w:tc>
          <w:tcPr>
            <w:tcW w:w="1500" w:type="dxa"/>
            <w:vAlign w:val="bottom"/>
            <w:tcBorders>
              <w:top w:val="single" w:sz="8" w:color="005C7D"/>
            </w:tcBorders>
            <w:shd w:val="clear" w:color="auto" w:fill="CDDAE6"/>
          </w:tcPr>
          <w:p>
            <w:pPr>
              <w:ind w:left="20"/>
              <w:spacing w:after="0"/>
              <w:rPr>
                <w:sz w:val="20"/>
                <w:szCs w:val="20"/>
                <w:color w:val="auto"/>
              </w:rPr>
            </w:pPr>
            <w:r>
              <w:rPr>
                <w:rFonts w:ascii="Arial" w:cs="Arial" w:eastAsia="Arial" w:hAnsi="Arial"/>
                <w:sz w:val="15"/>
                <w:szCs w:val="15"/>
                <w:color w:val="auto"/>
              </w:rPr>
              <w:t>Michael T. Strianese</w:t>
            </w:r>
          </w:p>
        </w:tc>
        <w:tc>
          <w:tcPr>
            <w:tcW w:w="660" w:type="dxa"/>
            <w:vAlign w:val="bottom"/>
            <w:tcBorders>
              <w:top w:val="single" w:sz="8" w:color="005C7D"/>
            </w:tcBorders>
            <w:shd w:val="clear" w:color="auto" w:fill="CDDAE6"/>
          </w:tcPr>
          <w:p>
            <w:pPr>
              <w:ind w:left="20"/>
              <w:spacing w:after="0" w:line="212" w:lineRule="exact"/>
              <w:rPr>
                <w:sz w:val="20"/>
                <w:szCs w:val="20"/>
                <w:color w:val="auto"/>
              </w:rPr>
            </w:pPr>
            <w:r>
              <w:rPr>
                <w:rFonts w:ascii="Arial" w:cs="Arial" w:eastAsia="Arial" w:hAnsi="Arial"/>
                <w:sz w:val="15"/>
                <w:szCs w:val="15"/>
                <w:color w:val="auto"/>
              </w:rPr>
              <w:t>AIP</w:t>
            </w:r>
            <w:r>
              <w:rPr>
                <w:rFonts w:ascii="Arial" w:cs="Arial" w:eastAsia="Arial" w:hAnsi="Arial"/>
                <w:sz w:val="24"/>
                <w:szCs w:val="24"/>
                <w:color w:val="auto"/>
                <w:vertAlign w:val="superscript"/>
              </w:rPr>
              <w:t>(1)</w:t>
            </w:r>
          </w:p>
        </w:tc>
        <w:tc>
          <w:tcPr>
            <w:tcW w:w="660" w:type="dxa"/>
            <w:vAlign w:val="bottom"/>
            <w:tcBorders>
              <w:top w:val="single" w:sz="8" w:color="005C7D"/>
            </w:tcBorders>
            <w:gridSpan w:val="2"/>
            <w:shd w:val="clear" w:color="auto" w:fill="CDDAE6"/>
          </w:tcPr>
          <w:p>
            <w:pPr>
              <w:jc w:val="right"/>
              <w:ind w:right="120"/>
              <w:spacing w:after="0"/>
              <w:rPr>
                <w:sz w:val="20"/>
                <w:szCs w:val="20"/>
                <w:color w:val="auto"/>
              </w:rPr>
            </w:pPr>
            <w:r>
              <w:rPr>
                <w:rFonts w:ascii="Arial" w:cs="Arial" w:eastAsia="Arial" w:hAnsi="Arial"/>
                <w:sz w:val="15"/>
                <w:szCs w:val="15"/>
                <w:color w:val="auto"/>
              </w:rPr>
              <w:t>2/16/16</w:t>
            </w:r>
          </w:p>
        </w:tc>
        <w:tc>
          <w:tcPr>
            <w:tcW w:w="700" w:type="dxa"/>
            <w:vAlign w:val="bottom"/>
            <w:tcBorders>
              <w:top w:val="single" w:sz="8" w:color="005C7D"/>
            </w:tcBorders>
            <w:shd w:val="clear" w:color="auto" w:fill="CDDAE6"/>
          </w:tcPr>
          <w:p>
            <w:pPr>
              <w:jc w:val="right"/>
              <w:ind w:right="23"/>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005C7D"/>
            </w:tcBorders>
            <w:shd w:val="clear" w:color="auto" w:fill="CDDAE6"/>
          </w:tcPr>
          <w:p>
            <w:pPr>
              <w:jc w:val="right"/>
              <w:ind w:right="23"/>
              <w:spacing w:after="0"/>
              <w:rPr>
                <w:sz w:val="20"/>
                <w:szCs w:val="20"/>
                <w:color w:val="auto"/>
              </w:rPr>
            </w:pPr>
            <w:r>
              <w:rPr>
                <w:rFonts w:ascii="Arial" w:cs="Arial" w:eastAsia="Arial" w:hAnsi="Arial"/>
                <w:sz w:val="15"/>
                <w:szCs w:val="15"/>
                <w:color w:val="auto"/>
              </w:rPr>
              <w:t>2,293,500</w:t>
            </w:r>
          </w:p>
        </w:tc>
        <w:tc>
          <w:tcPr>
            <w:tcW w:w="1500" w:type="dxa"/>
            <w:vAlign w:val="bottom"/>
            <w:tcBorders>
              <w:top w:val="single" w:sz="8" w:color="005C7D"/>
            </w:tcBorders>
            <w:shd w:val="clear" w:color="auto" w:fill="CDDAE6"/>
          </w:tcPr>
          <w:p>
            <w:pPr>
              <w:jc w:val="right"/>
              <w:ind w:right="703"/>
              <w:spacing w:after="0"/>
              <w:rPr>
                <w:sz w:val="20"/>
                <w:szCs w:val="20"/>
                <w:color w:val="auto"/>
              </w:rPr>
            </w:pPr>
            <w:r>
              <w:rPr>
                <w:rFonts w:ascii="Arial" w:cs="Arial" w:eastAsia="Arial" w:hAnsi="Arial"/>
                <w:sz w:val="15"/>
                <w:szCs w:val="15"/>
                <w:color w:val="auto"/>
              </w:rPr>
              <w:t>4,587,000</w:t>
            </w:r>
          </w:p>
        </w:tc>
        <w:tc>
          <w:tcPr>
            <w:tcW w:w="740" w:type="dxa"/>
            <w:vAlign w:val="bottom"/>
            <w:tcBorders>
              <w:top w:val="single" w:sz="8" w:color="005C7D"/>
            </w:tcBorders>
            <w:shd w:val="clear" w:color="auto" w:fill="CDDAE6"/>
          </w:tcPr>
          <w:p>
            <w:pPr>
              <w:spacing w:after="0"/>
              <w:rPr>
                <w:sz w:val="18"/>
                <w:szCs w:val="18"/>
                <w:color w:val="auto"/>
              </w:rPr>
            </w:pPr>
          </w:p>
        </w:tc>
        <w:tc>
          <w:tcPr>
            <w:tcW w:w="1540" w:type="dxa"/>
            <w:vAlign w:val="bottom"/>
            <w:tcBorders>
              <w:top w:val="single" w:sz="8" w:color="005C7D"/>
            </w:tcBorders>
            <w:shd w:val="clear" w:color="auto" w:fill="CDDAE6"/>
          </w:tcPr>
          <w:p>
            <w:pPr>
              <w:spacing w:after="0"/>
              <w:rPr>
                <w:sz w:val="18"/>
                <w:szCs w:val="18"/>
                <w:color w:val="auto"/>
              </w:rPr>
            </w:pPr>
          </w:p>
        </w:tc>
        <w:tc>
          <w:tcPr>
            <w:tcW w:w="660" w:type="dxa"/>
            <w:vAlign w:val="bottom"/>
            <w:tcBorders>
              <w:top w:val="single" w:sz="8" w:color="005C7D"/>
            </w:tcBorders>
            <w:shd w:val="clear" w:color="auto" w:fill="CDDAE6"/>
          </w:tcPr>
          <w:p>
            <w:pPr>
              <w:spacing w:after="0"/>
              <w:rPr>
                <w:sz w:val="18"/>
                <w:szCs w:val="18"/>
                <w:color w:val="auto"/>
              </w:rPr>
            </w:pPr>
          </w:p>
        </w:tc>
        <w:tc>
          <w:tcPr>
            <w:tcW w:w="760" w:type="dxa"/>
            <w:vAlign w:val="bottom"/>
            <w:tcBorders>
              <w:top w:val="single" w:sz="8" w:color="005C7D"/>
            </w:tcBorders>
            <w:shd w:val="clear" w:color="auto" w:fill="CDDAE6"/>
          </w:tcPr>
          <w:p>
            <w:pPr>
              <w:spacing w:after="0"/>
              <w:rPr>
                <w:sz w:val="18"/>
                <w:szCs w:val="18"/>
                <w:color w:val="auto"/>
              </w:rPr>
            </w:pPr>
          </w:p>
        </w:tc>
      </w:tr>
      <w:tr>
        <w:trPr>
          <w:trHeight w:val="216"/>
        </w:trPr>
        <w:tc>
          <w:tcPr>
            <w:tcW w:w="1500" w:type="dxa"/>
            <w:vAlign w:val="bottom"/>
            <w:shd w:val="clear" w:color="auto" w:fill="CDDAE6"/>
          </w:tcPr>
          <w:p>
            <w:pPr>
              <w:spacing w:after="0"/>
              <w:rPr>
                <w:sz w:val="18"/>
                <w:szCs w:val="18"/>
                <w:color w:val="auto"/>
              </w:rPr>
            </w:pPr>
          </w:p>
        </w:tc>
        <w:tc>
          <w:tcPr>
            <w:tcW w:w="660" w:type="dxa"/>
            <w:vAlign w:val="bottom"/>
            <w:shd w:val="clear" w:color="auto" w:fill="CDDAE6"/>
          </w:tcPr>
          <w:p>
            <w:pPr>
              <w:ind w:left="20"/>
              <w:spacing w:after="0" w:line="216" w:lineRule="exact"/>
              <w:rPr>
                <w:sz w:val="20"/>
                <w:szCs w:val="20"/>
                <w:color w:val="auto"/>
              </w:rPr>
            </w:pPr>
            <w:r>
              <w:rPr>
                <w:rFonts w:ascii="Arial" w:cs="Arial" w:eastAsia="Arial" w:hAnsi="Arial"/>
                <w:sz w:val="15"/>
                <w:szCs w:val="15"/>
                <w:color w:val="auto"/>
              </w:rPr>
              <w:t>PCA</w:t>
            </w:r>
            <w:r>
              <w:rPr>
                <w:rFonts w:ascii="Arial" w:cs="Arial" w:eastAsia="Arial" w:hAnsi="Arial"/>
                <w:sz w:val="25"/>
                <w:szCs w:val="25"/>
                <w:color w:val="auto"/>
                <w:vertAlign w:val="superscript"/>
              </w:rPr>
              <w:t>(2)</w:t>
            </w:r>
          </w:p>
        </w:tc>
        <w:tc>
          <w:tcPr>
            <w:tcW w:w="660" w:type="dxa"/>
            <w:vAlign w:val="bottom"/>
            <w:gridSpan w:val="2"/>
            <w:shd w:val="clear" w:color="auto" w:fill="CDDAE6"/>
          </w:tcPr>
          <w:p>
            <w:pPr>
              <w:jc w:val="right"/>
              <w:ind w:right="120"/>
              <w:spacing w:after="0"/>
              <w:rPr>
                <w:sz w:val="20"/>
                <w:szCs w:val="20"/>
                <w:color w:val="auto"/>
              </w:rPr>
            </w:pPr>
            <w:r>
              <w:rPr>
                <w:rFonts w:ascii="Arial" w:cs="Arial" w:eastAsia="Arial" w:hAnsi="Arial"/>
                <w:sz w:val="15"/>
                <w:szCs w:val="15"/>
                <w:color w:val="auto"/>
              </w:rPr>
              <w:t>2/16/16</w:t>
            </w:r>
          </w:p>
        </w:tc>
        <w:tc>
          <w:tcPr>
            <w:tcW w:w="700" w:type="dxa"/>
            <w:vAlign w:val="bottom"/>
            <w:shd w:val="clear" w:color="auto" w:fill="CDDAE6"/>
          </w:tcPr>
          <w:p>
            <w:pPr>
              <w:jc w:val="right"/>
              <w:ind w:right="23"/>
              <w:spacing w:after="0"/>
              <w:rPr>
                <w:sz w:val="20"/>
                <w:szCs w:val="20"/>
                <w:color w:val="auto"/>
              </w:rPr>
            </w:pPr>
            <w:r>
              <w:rPr>
                <w:rFonts w:ascii="Arial" w:cs="Arial" w:eastAsia="Arial" w:hAnsi="Arial"/>
                <w:sz w:val="15"/>
                <w:szCs w:val="15"/>
                <w:color w:val="auto"/>
              </w:rPr>
              <w:t>500,000</w:t>
            </w:r>
          </w:p>
        </w:tc>
        <w:tc>
          <w:tcPr>
            <w:tcW w:w="840" w:type="dxa"/>
            <w:vAlign w:val="bottom"/>
            <w:shd w:val="clear" w:color="auto" w:fill="CDDAE6"/>
          </w:tcPr>
          <w:p>
            <w:pPr>
              <w:jc w:val="right"/>
              <w:ind w:right="23"/>
              <w:spacing w:after="0"/>
              <w:rPr>
                <w:sz w:val="20"/>
                <w:szCs w:val="20"/>
                <w:color w:val="auto"/>
              </w:rPr>
            </w:pPr>
            <w:r>
              <w:rPr>
                <w:rFonts w:ascii="Arial" w:cs="Arial" w:eastAsia="Arial" w:hAnsi="Arial"/>
                <w:sz w:val="15"/>
                <w:szCs w:val="15"/>
                <w:color w:val="auto"/>
              </w:rPr>
              <w:t>2,000,000</w:t>
            </w:r>
          </w:p>
        </w:tc>
        <w:tc>
          <w:tcPr>
            <w:tcW w:w="1500" w:type="dxa"/>
            <w:vAlign w:val="bottom"/>
            <w:shd w:val="clear" w:color="auto" w:fill="CDDAE6"/>
          </w:tcPr>
          <w:p>
            <w:pPr>
              <w:jc w:val="right"/>
              <w:ind w:right="703"/>
              <w:spacing w:after="0"/>
              <w:rPr>
                <w:sz w:val="20"/>
                <w:szCs w:val="20"/>
                <w:color w:val="auto"/>
              </w:rPr>
            </w:pPr>
            <w:r>
              <w:rPr>
                <w:rFonts w:ascii="Arial" w:cs="Arial" w:eastAsia="Arial" w:hAnsi="Arial"/>
                <w:sz w:val="15"/>
                <w:szCs w:val="15"/>
                <w:color w:val="auto"/>
              </w:rPr>
              <w:t>4,000,000</w:t>
            </w:r>
          </w:p>
        </w:tc>
        <w:tc>
          <w:tcPr>
            <w:tcW w:w="740" w:type="dxa"/>
            <w:vAlign w:val="bottom"/>
            <w:shd w:val="clear" w:color="auto" w:fill="CDDAE6"/>
          </w:tcPr>
          <w:p>
            <w:pPr>
              <w:spacing w:after="0"/>
              <w:rPr>
                <w:sz w:val="18"/>
                <w:szCs w:val="18"/>
                <w:color w:val="auto"/>
              </w:rPr>
            </w:pPr>
          </w:p>
        </w:tc>
        <w:tc>
          <w:tcPr>
            <w:tcW w:w="1540" w:type="dxa"/>
            <w:vAlign w:val="bottom"/>
            <w:shd w:val="clear" w:color="auto" w:fill="CDDAE6"/>
          </w:tcPr>
          <w:p>
            <w:pPr>
              <w:spacing w:after="0"/>
              <w:rPr>
                <w:sz w:val="18"/>
                <w:szCs w:val="18"/>
                <w:color w:val="auto"/>
              </w:rPr>
            </w:pPr>
          </w:p>
        </w:tc>
        <w:tc>
          <w:tcPr>
            <w:tcW w:w="660" w:type="dxa"/>
            <w:vAlign w:val="bottom"/>
            <w:shd w:val="clear" w:color="auto" w:fill="CDDAE6"/>
          </w:tcPr>
          <w:p>
            <w:pPr>
              <w:spacing w:after="0"/>
              <w:rPr>
                <w:sz w:val="18"/>
                <w:szCs w:val="18"/>
                <w:color w:val="auto"/>
              </w:rPr>
            </w:pPr>
          </w:p>
        </w:tc>
        <w:tc>
          <w:tcPr>
            <w:tcW w:w="760" w:type="dxa"/>
            <w:vAlign w:val="bottom"/>
            <w:shd w:val="clear" w:color="auto" w:fill="CDDAE6"/>
          </w:tcPr>
          <w:p>
            <w:pPr>
              <w:spacing w:after="0"/>
              <w:rPr>
                <w:sz w:val="18"/>
                <w:szCs w:val="18"/>
                <w:color w:val="auto"/>
              </w:rPr>
            </w:pPr>
          </w:p>
        </w:tc>
      </w:tr>
      <w:tr>
        <w:trPr>
          <w:trHeight w:val="216"/>
        </w:trPr>
        <w:tc>
          <w:tcPr>
            <w:tcW w:w="1500" w:type="dxa"/>
            <w:vAlign w:val="bottom"/>
            <w:shd w:val="clear" w:color="auto" w:fill="CDDAE6"/>
          </w:tcPr>
          <w:p>
            <w:pPr>
              <w:spacing w:after="0"/>
              <w:rPr>
                <w:sz w:val="18"/>
                <w:szCs w:val="18"/>
                <w:color w:val="auto"/>
              </w:rPr>
            </w:pPr>
          </w:p>
        </w:tc>
        <w:tc>
          <w:tcPr>
            <w:tcW w:w="660" w:type="dxa"/>
            <w:vAlign w:val="bottom"/>
            <w:shd w:val="clear" w:color="auto" w:fill="CDDAE6"/>
          </w:tcPr>
          <w:p>
            <w:pPr>
              <w:ind w:left="20"/>
              <w:spacing w:after="0" w:line="216" w:lineRule="exact"/>
              <w:rPr>
                <w:sz w:val="20"/>
                <w:szCs w:val="20"/>
                <w:color w:val="auto"/>
              </w:rPr>
            </w:pPr>
            <w:r>
              <w:rPr>
                <w:rFonts w:ascii="Arial" w:cs="Arial" w:eastAsia="Arial" w:hAnsi="Arial"/>
                <w:sz w:val="25"/>
                <w:szCs w:val="25"/>
                <w:color w:val="auto"/>
                <w:vertAlign w:val="subscript"/>
              </w:rPr>
              <w:t>PU</w:t>
            </w:r>
            <w:r>
              <w:rPr>
                <w:rFonts w:ascii="Arial" w:cs="Arial" w:eastAsia="Arial" w:hAnsi="Arial"/>
                <w:sz w:val="11"/>
                <w:szCs w:val="11"/>
                <w:color w:val="auto"/>
              </w:rPr>
              <w:t>(3)</w:t>
            </w:r>
          </w:p>
        </w:tc>
        <w:tc>
          <w:tcPr>
            <w:tcW w:w="660" w:type="dxa"/>
            <w:vAlign w:val="bottom"/>
            <w:gridSpan w:val="2"/>
            <w:shd w:val="clear" w:color="auto" w:fill="CDDAE6"/>
          </w:tcPr>
          <w:p>
            <w:pPr>
              <w:jc w:val="right"/>
              <w:ind w:right="120"/>
              <w:spacing w:after="0"/>
              <w:rPr>
                <w:sz w:val="20"/>
                <w:szCs w:val="20"/>
                <w:color w:val="auto"/>
              </w:rPr>
            </w:pPr>
            <w:r>
              <w:rPr>
                <w:rFonts w:ascii="Arial" w:cs="Arial" w:eastAsia="Arial" w:hAnsi="Arial"/>
                <w:sz w:val="15"/>
                <w:szCs w:val="15"/>
                <w:color w:val="auto"/>
              </w:rPr>
              <w:t>2/16/16</w:t>
            </w:r>
          </w:p>
        </w:tc>
        <w:tc>
          <w:tcPr>
            <w:tcW w:w="700" w:type="dxa"/>
            <w:vAlign w:val="bottom"/>
            <w:shd w:val="clear" w:color="auto" w:fill="CDDAE6"/>
          </w:tcPr>
          <w:p>
            <w:pPr>
              <w:spacing w:after="0"/>
              <w:rPr>
                <w:sz w:val="18"/>
                <w:szCs w:val="18"/>
                <w:color w:val="auto"/>
              </w:rPr>
            </w:pPr>
          </w:p>
        </w:tc>
        <w:tc>
          <w:tcPr>
            <w:tcW w:w="840" w:type="dxa"/>
            <w:vAlign w:val="bottom"/>
            <w:shd w:val="clear" w:color="auto" w:fill="CDDAE6"/>
          </w:tcPr>
          <w:p>
            <w:pPr>
              <w:spacing w:after="0"/>
              <w:rPr>
                <w:sz w:val="18"/>
                <w:szCs w:val="18"/>
                <w:color w:val="auto"/>
              </w:rPr>
            </w:pPr>
          </w:p>
        </w:tc>
        <w:tc>
          <w:tcPr>
            <w:tcW w:w="1500" w:type="dxa"/>
            <w:vAlign w:val="bottom"/>
            <w:shd w:val="clear" w:color="auto" w:fill="CDDAE6"/>
          </w:tcPr>
          <w:p>
            <w:pPr>
              <w:jc w:val="right"/>
              <w:ind w:right="43"/>
              <w:spacing w:after="0"/>
              <w:rPr>
                <w:sz w:val="20"/>
                <w:szCs w:val="20"/>
                <w:color w:val="auto"/>
              </w:rPr>
            </w:pPr>
            <w:r>
              <w:rPr>
                <w:rFonts w:ascii="Arial" w:cs="Arial" w:eastAsia="Arial" w:hAnsi="Arial"/>
                <w:sz w:val="15"/>
                <w:szCs w:val="15"/>
                <w:color w:val="auto"/>
              </w:rPr>
              <w:t>8,606</w:t>
            </w:r>
          </w:p>
        </w:tc>
        <w:tc>
          <w:tcPr>
            <w:tcW w:w="740" w:type="dxa"/>
            <w:vAlign w:val="bottom"/>
            <w:shd w:val="clear" w:color="auto" w:fill="CDDAE6"/>
          </w:tcPr>
          <w:p>
            <w:pPr>
              <w:jc w:val="right"/>
              <w:ind w:right="43"/>
              <w:spacing w:after="0"/>
              <w:rPr>
                <w:sz w:val="20"/>
                <w:szCs w:val="20"/>
                <w:color w:val="auto"/>
              </w:rPr>
            </w:pPr>
            <w:r>
              <w:rPr>
                <w:rFonts w:ascii="Arial" w:cs="Arial" w:eastAsia="Arial" w:hAnsi="Arial"/>
                <w:sz w:val="15"/>
                <w:szCs w:val="15"/>
                <w:color w:val="auto"/>
              </w:rPr>
              <w:t>17,212</w:t>
            </w:r>
          </w:p>
        </w:tc>
        <w:tc>
          <w:tcPr>
            <w:tcW w:w="1540" w:type="dxa"/>
            <w:vAlign w:val="bottom"/>
            <w:shd w:val="clear" w:color="auto" w:fill="CDDAE6"/>
          </w:tcPr>
          <w:p>
            <w:pPr>
              <w:jc w:val="right"/>
              <w:ind w:right="863"/>
              <w:spacing w:after="0"/>
              <w:rPr>
                <w:sz w:val="20"/>
                <w:szCs w:val="20"/>
                <w:color w:val="auto"/>
              </w:rPr>
            </w:pPr>
            <w:r>
              <w:rPr>
                <w:rFonts w:ascii="Arial" w:cs="Arial" w:eastAsia="Arial" w:hAnsi="Arial"/>
                <w:sz w:val="15"/>
                <w:szCs w:val="15"/>
                <w:color w:val="auto"/>
              </w:rPr>
              <w:t>34,424</w:t>
            </w:r>
          </w:p>
        </w:tc>
        <w:tc>
          <w:tcPr>
            <w:tcW w:w="660" w:type="dxa"/>
            <w:vAlign w:val="bottom"/>
            <w:shd w:val="clear" w:color="auto" w:fill="CDDAE6"/>
          </w:tcPr>
          <w:p>
            <w:pPr>
              <w:spacing w:after="0"/>
              <w:rPr>
                <w:sz w:val="18"/>
                <w:szCs w:val="18"/>
                <w:color w:val="auto"/>
              </w:rPr>
            </w:pP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2,000,034</w:t>
            </w:r>
          </w:p>
        </w:tc>
      </w:tr>
      <w:tr>
        <w:trPr>
          <w:trHeight w:val="216"/>
        </w:trPr>
        <w:tc>
          <w:tcPr>
            <w:tcW w:w="1500" w:type="dxa"/>
            <w:vAlign w:val="bottom"/>
            <w:shd w:val="clear" w:color="auto" w:fill="CDDAE6"/>
          </w:tcPr>
          <w:p>
            <w:pPr>
              <w:spacing w:after="0"/>
              <w:rPr>
                <w:sz w:val="18"/>
                <w:szCs w:val="18"/>
                <w:color w:val="auto"/>
              </w:rPr>
            </w:pPr>
          </w:p>
        </w:tc>
        <w:tc>
          <w:tcPr>
            <w:tcW w:w="660" w:type="dxa"/>
            <w:vAlign w:val="bottom"/>
            <w:shd w:val="clear" w:color="auto" w:fill="CDDAE6"/>
          </w:tcPr>
          <w:p>
            <w:pPr>
              <w:ind w:left="20"/>
              <w:spacing w:after="0" w:line="216" w:lineRule="exact"/>
              <w:rPr>
                <w:sz w:val="20"/>
                <w:szCs w:val="20"/>
                <w:color w:val="auto"/>
              </w:rPr>
            </w:pPr>
            <w:r>
              <w:rPr>
                <w:rFonts w:ascii="Arial" w:cs="Arial" w:eastAsia="Arial" w:hAnsi="Arial"/>
                <w:sz w:val="15"/>
                <w:szCs w:val="15"/>
                <w:color w:val="auto"/>
              </w:rPr>
              <w:t>RSU</w:t>
            </w:r>
            <w:r>
              <w:rPr>
                <w:rFonts w:ascii="Arial" w:cs="Arial" w:eastAsia="Arial" w:hAnsi="Arial"/>
                <w:sz w:val="25"/>
                <w:szCs w:val="25"/>
                <w:color w:val="auto"/>
                <w:vertAlign w:val="superscript"/>
              </w:rPr>
              <w:t>(4)</w:t>
            </w:r>
          </w:p>
        </w:tc>
        <w:tc>
          <w:tcPr>
            <w:tcW w:w="660" w:type="dxa"/>
            <w:vAlign w:val="bottom"/>
            <w:gridSpan w:val="2"/>
            <w:shd w:val="clear" w:color="auto" w:fill="CDDAE6"/>
          </w:tcPr>
          <w:p>
            <w:pPr>
              <w:jc w:val="right"/>
              <w:ind w:right="120"/>
              <w:spacing w:after="0"/>
              <w:rPr>
                <w:sz w:val="20"/>
                <w:szCs w:val="20"/>
                <w:color w:val="auto"/>
              </w:rPr>
            </w:pPr>
            <w:r>
              <w:rPr>
                <w:rFonts w:ascii="Arial" w:cs="Arial" w:eastAsia="Arial" w:hAnsi="Arial"/>
                <w:sz w:val="15"/>
                <w:szCs w:val="15"/>
                <w:color w:val="auto"/>
              </w:rPr>
              <w:t>2/16/16</w:t>
            </w:r>
          </w:p>
        </w:tc>
        <w:tc>
          <w:tcPr>
            <w:tcW w:w="700" w:type="dxa"/>
            <w:vAlign w:val="bottom"/>
            <w:shd w:val="clear" w:color="auto" w:fill="CDDAE6"/>
          </w:tcPr>
          <w:p>
            <w:pPr>
              <w:spacing w:after="0"/>
              <w:rPr>
                <w:sz w:val="18"/>
                <w:szCs w:val="18"/>
                <w:color w:val="auto"/>
              </w:rPr>
            </w:pPr>
          </w:p>
        </w:tc>
        <w:tc>
          <w:tcPr>
            <w:tcW w:w="840" w:type="dxa"/>
            <w:vAlign w:val="bottom"/>
            <w:shd w:val="clear" w:color="auto" w:fill="CDDAE6"/>
          </w:tcPr>
          <w:p>
            <w:pPr>
              <w:spacing w:after="0"/>
              <w:rPr>
                <w:sz w:val="18"/>
                <w:szCs w:val="18"/>
                <w:color w:val="auto"/>
              </w:rPr>
            </w:pPr>
          </w:p>
        </w:tc>
        <w:tc>
          <w:tcPr>
            <w:tcW w:w="1500" w:type="dxa"/>
            <w:vAlign w:val="bottom"/>
            <w:shd w:val="clear" w:color="auto" w:fill="CDDAE6"/>
          </w:tcPr>
          <w:p>
            <w:pPr>
              <w:jc w:val="right"/>
              <w:ind w:right="43"/>
              <w:spacing w:after="0"/>
              <w:rPr>
                <w:sz w:val="20"/>
                <w:szCs w:val="20"/>
                <w:color w:val="auto"/>
              </w:rPr>
            </w:pPr>
            <w:r>
              <w:rPr>
                <w:rFonts w:ascii="Arial" w:cs="Arial" w:eastAsia="Arial" w:hAnsi="Arial"/>
                <w:sz w:val="15"/>
                <w:szCs w:val="15"/>
                <w:color w:val="auto"/>
              </w:rPr>
              <w:t>—</w:t>
            </w:r>
          </w:p>
        </w:tc>
        <w:tc>
          <w:tcPr>
            <w:tcW w:w="740" w:type="dxa"/>
            <w:vAlign w:val="bottom"/>
            <w:shd w:val="clear" w:color="auto" w:fill="CDDAE6"/>
          </w:tcPr>
          <w:p>
            <w:pPr>
              <w:jc w:val="right"/>
              <w:ind w:right="43"/>
              <w:spacing w:after="0"/>
              <w:rPr>
                <w:sz w:val="20"/>
                <w:szCs w:val="20"/>
                <w:color w:val="auto"/>
              </w:rPr>
            </w:pPr>
            <w:r>
              <w:rPr>
                <w:rFonts w:ascii="Arial" w:cs="Arial" w:eastAsia="Arial" w:hAnsi="Arial"/>
                <w:sz w:val="15"/>
                <w:szCs w:val="15"/>
                <w:color w:val="auto"/>
              </w:rPr>
              <w:t>25,818</w:t>
            </w:r>
          </w:p>
        </w:tc>
        <w:tc>
          <w:tcPr>
            <w:tcW w:w="1540" w:type="dxa"/>
            <w:vAlign w:val="bottom"/>
            <w:shd w:val="clear" w:color="auto" w:fill="CDDAE6"/>
          </w:tcPr>
          <w:p>
            <w:pPr>
              <w:jc w:val="right"/>
              <w:ind w:right="863"/>
              <w:spacing w:after="0"/>
              <w:rPr>
                <w:sz w:val="20"/>
                <w:szCs w:val="20"/>
                <w:color w:val="auto"/>
              </w:rPr>
            </w:pPr>
            <w:r>
              <w:rPr>
                <w:rFonts w:ascii="Arial" w:cs="Arial" w:eastAsia="Arial" w:hAnsi="Arial"/>
                <w:sz w:val="15"/>
                <w:szCs w:val="15"/>
                <w:color w:val="auto"/>
              </w:rPr>
              <w:t>25,818</w:t>
            </w:r>
          </w:p>
        </w:tc>
        <w:tc>
          <w:tcPr>
            <w:tcW w:w="660" w:type="dxa"/>
            <w:vAlign w:val="bottom"/>
            <w:shd w:val="clear" w:color="auto" w:fill="CDDAE6"/>
          </w:tcPr>
          <w:p>
            <w:pPr>
              <w:spacing w:after="0"/>
              <w:rPr>
                <w:sz w:val="18"/>
                <w:szCs w:val="18"/>
                <w:color w:val="auto"/>
              </w:rPr>
            </w:pP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3,000,052</w:t>
            </w:r>
          </w:p>
        </w:tc>
      </w:tr>
      <w:tr>
        <w:trPr>
          <w:trHeight w:val="216"/>
        </w:trPr>
        <w:tc>
          <w:tcPr>
            <w:tcW w:w="1500" w:type="dxa"/>
            <w:vAlign w:val="bottom"/>
            <w:shd w:val="clear" w:color="auto" w:fill="CDDAE6"/>
          </w:tcPr>
          <w:p>
            <w:pPr>
              <w:spacing w:after="0"/>
              <w:rPr>
                <w:sz w:val="18"/>
                <w:szCs w:val="18"/>
                <w:color w:val="auto"/>
              </w:rPr>
            </w:pPr>
          </w:p>
        </w:tc>
        <w:tc>
          <w:tcPr>
            <w:tcW w:w="660" w:type="dxa"/>
            <w:vAlign w:val="bottom"/>
            <w:shd w:val="clear" w:color="auto" w:fill="CDDAE6"/>
          </w:tcPr>
          <w:p>
            <w:pPr>
              <w:ind w:left="20"/>
              <w:spacing w:after="0" w:line="216" w:lineRule="exact"/>
              <w:rPr>
                <w:sz w:val="20"/>
                <w:szCs w:val="20"/>
                <w:color w:val="auto"/>
              </w:rPr>
            </w:pPr>
            <w:r>
              <w:rPr>
                <w:rFonts w:ascii="Arial" w:cs="Arial" w:eastAsia="Arial" w:hAnsi="Arial"/>
                <w:sz w:val="15"/>
                <w:szCs w:val="15"/>
                <w:color w:val="auto"/>
                <w:w w:val="95"/>
              </w:rPr>
              <w:t>Option</w:t>
            </w:r>
            <w:r>
              <w:rPr>
                <w:rFonts w:ascii="Arial" w:cs="Arial" w:eastAsia="Arial" w:hAnsi="Arial"/>
                <w:sz w:val="25"/>
                <w:szCs w:val="25"/>
                <w:color w:val="auto"/>
                <w:w w:val="95"/>
                <w:vertAlign w:val="superscript"/>
              </w:rPr>
              <w:t>(5)</w:t>
            </w:r>
          </w:p>
        </w:tc>
        <w:tc>
          <w:tcPr>
            <w:tcW w:w="660" w:type="dxa"/>
            <w:vAlign w:val="bottom"/>
            <w:gridSpan w:val="2"/>
            <w:shd w:val="clear" w:color="auto" w:fill="CDDAE6"/>
          </w:tcPr>
          <w:p>
            <w:pPr>
              <w:jc w:val="right"/>
              <w:ind w:right="120"/>
              <w:spacing w:after="0"/>
              <w:rPr>
                <w:sz w:val="20"/>
                <w:szCs w:val="20"/>
                <w:color w:val="auto"/>
              </w:rPr>
            </w:pPr>
            <w:r>
              <w:rPr>
                <w:rFonts w:ascii="Arial" w:cs="Arial" w:eastAsia="Arial" w:hAnsi="Arial"/>
                <w:sz w:val="15"/>
                <w:szCs w:val="15"/>
                <w:color w:val="auto"/>
              </w:rPr>
              <w:t>2/16/16</w:t>
            </w:r>
          </w:p>
        </w:tc>
        <w:tc>
          <w:tcPr>
            <w:tcW w:w="700" w:type="dxa"/>
            <w:vAlign w:val="bottom"/>
            <w:shd w:val="clear" w:color="auto" w:fill="CDDAE6"/>
          </w:tcPr>
          <w:p>
            <w:pPr>
              <w:spacing w:after="0"/>
              <w:rPr>
                <w:sz w:val="18"/>
                <w:szCs w:val="18"/>
                <w:color w:val="auto"/>
              </w:rPr>
            </w:pPr>
          </w:p>
        </w:tc>
        <w:tc>
          <w:tcPr>
            <w:tcW w:w="840" w:type="dxa"/>
            <w:vAlign w:val="bottom"/>
            <w:shd w:val="clear" w:color="auto" w:fill="CDDAE6"/>
          </w:tcPr>
          <w:p>
            <w:pPr>
              <w:spacing w:after="0"/>
              <w:rPr>
                <w:sz w:val="18"/>
                <w:szCs w:val="18"/>
                <w:color w:val="auto"/>
              </w:rPr>
            </w:pPr>
          </w:p>
        </w:tc>
        <w:tc>
          <w:tcPr>
            <w:tcW w:w="1500" w:type="dxa"/>
            <w:vAlign w:val="bottom"/>
            <w:shd w:val="clear" w:color="auto" w:fill="CDDAE6"/>
          </w:tcPr>
          <w:p>
            <w:pPr>
              <w:jc w:val="right"/>
              <w:ind w:right="43"/>
              <w:spacing w:after="0"/>
              <w:rPr>
                <w:sz w:val="20"/>
                <w:szCs w:val="20"/>
                <w:color w:val="auto"/>
              </w:rPr>
            </w:pPr>
            <w:r>
              <w:rPr>
                <w:rFonts w:ascii="Arial" w:cs="Arial" w:eastAsia="Arial" w:hAnsi="Arial"/>
                <w:sz w:val="15"/>
                <w:szCs w:val="15"/>
                <w:color w:val="auto"/>
              </w:rPr>
              <w:t>91,575</w:t>
            </w:r>
          </w:p>
        </w:tc>
        <w:tc>
          <w:tcPr>
            <w:tcW w:w="740" w:type="dxa"/>
            <w:vAlign w:val="bottom"/>
            <w:shd w:val="clear" w:color="auto" w:fill="CDDAE6"/>
          </w:tcPr>
          <w:p>
            <w:pPr>
              <w:jc w:val="right"/>
              <w:ind w:right="43"/>
              <w:spacing w:after="0"/>
              <w:rPr>
                <w:sz w:val="20"/>
                <w:szCs w:val="20"/>
                <w:color w:val="auto"/>
              </w:rPr>
            </w:pPr>
            <w:r>
              <w:rPr>
                <w:rFonts w:ascii="Arial" w:cs="Arial" w:eastAsia="Arial" w:hAnsi="Arial"/>
                <w:sz w:val="15"/>
                <w:szCs w:val="15"/>
                <w:color w:val="auto"/>
              </w:rPr>
              <w:t>183,150</w:t>
            </w:r>
          </w:p>
        </w:tc>
        <w:tc>
          <w:tcPr>
            <w:tcW w:w="1540" w:type="dxa"/>
            <w:vAlign w:val="bottom"/>
            <w:shd w:val="clear" w:color="auto" w:fill="CDDAE6"/>
          </w:tcPr>
          <w:p>
            <w:pPr>
              <w:jc w:val="right"/>
              <w:ind w:right="863"/>
              <w:spacing w:after="0"/>
              <w:rPr>
                <w:sz w:val="20"/>
                <w:szCs w:val="20"/>
                <w:color w:val="auto"/>
              </w:rPr>
            </w:pPr>
            <w:r>
              <w:rPr>
                <w:rFonts w:ascii="Arial" w:cs="Arial" w:eastAsia="Arial" w:hAnsi="Arial"/>
                <w:sz w:val="15"/>
                <w:szCs w:val="15"/>
                <w:color w:val="auto"/>
              </w:rPr>
              <w:t>183,150</w:t>
            </w:r>
          </w:p>
        </w:tc>
        <w:tc>
          <w:tcPr>
            <w:tcW w:w="660" w:type="dxa"/>
            <w:vAlign w:val="bottom"/>
            <w:shd w:val="clear" w:color="auto" w:fill="CDDAE6"/>
          </w:tcPr>
          <w:p>
            <w:pPr>
              <w:jc w:val="right"/>
              <w:ind w:right="23"/>
              <w:spacing w:after="0"/>
              <w:rPr>
                <w:sz w:val="20"/>
                <w:szCs w:val="20"/>
                <w:color w:val="auto"/>
              </w:rPr>
            </w:pPr>
            <w:r>
              <w:rPr>
                <w:rFonts w:ascii="Arial" w:cs="Arial" w:eastAsia="Arial" w:hAnsi="Arial"/>
                <w:sz w:val="15"/>
                <w:szCs w:val="15"/>
                <w:color w:val="auto"/>
              </w:rPr>
              <w:t>116.20</w:t>
            </w: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2,999,997</w:t>
            </w:r>
          </w:p>
        </w:tc>
      </w:tr>
      <w:tr>
        <w:trPr>
          <w:trHeight w:val="216"/>
        </w:trPr>
        <w:tc>
          <w:tcPr>
            <w:tcW w:w="2160" w:type="dxa"/>
            <w:vAlign w:val="bottom"/>
            <w:gridSpan w:val="2"/>
          </w:tcPr>
          <w:p>
            <w:pPr>
              <w:ind w:left="20"/>
              <w:spacing w:after="0" w:line="216" w:lineRule="exact"/>
              <w:rPr>
                <w:sz w:val="20"/>
                <w:szCs w:val="20"/>
                <w:color w:val="auto"/>
              </w:rPr>
            </w:pPr>
            <w:r>
              <w:rPr>
                <w:rFonts w:ascii="Arial" w:cs="Arial" w:eastAsia="Arial" w:hAnsi="Arial"/>
                <w:sz w:val="15"/>
                <w:szCs w:val="15"/>
                <w:color w:val="auto"/>
              </w:rPr>
              <w:t>Christopher E. Kubasik AIP</w:t>
            </w:r>
            <w:r>
              <w:rPr>
                <w:rFonts w:ascii="Arial" w:cs="Arial" w:eastAsia="Arial" w:hAnsi="Arial"/>
                <w:sz w:val="25"/>
                <w:szCs w:val="25"/>
                <w:color w:val="auto"/>
                <w:vertAlign w:val="superscript"/>
              </w:rPr>
              <w:t>(1)</w:t>
            </w: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2/16/16</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907,500</w:t>
            </w:r>
          </w:p>
        </w:tc>
        <w:tc>
          <w:tcPr>
            <w:tcW w:w="1500" w:type="dxa"/>
            <w:vAlign w:val="bottom"/>
          </w:tcPr>
          <w:p>
            <w:pPr>
              <w:jc w:val="right"/>
              <w:ind w:right="703"/>
              <w:spacing w:after="0"/>
              <w:rPr>
                <w:sz w:val="20"/>
                <w:szCs w:val="20"/>
                <w:color w:val="auto"/>
              </w:rPr>
            </w:pPr>
            <w:r>
              <w:rPr>
                <w:rFonts w:ascii="Arial" w:cs="Arial" w:eastAsia="Arial" w:hAnsi="Arial"/>
                <w:sz w:val="15"/>
                <w:szCs w:val="15"/>
                <w:color w:val="auto"/>
              </w:rPr>
              <w:t>1,815,000</w:t>
            </w:r>
          </w:p>
        </w:tc>
        <w:tc>
          <w:tcPr>
            <w:tcW w:w="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500" w:type="dxa"/>
            <w:vAlign w:val="bottom"/>
            <w:shd w:val="clear" w:color="auto" w:fill="CDDAE6"/>
          </w:tcPr>
          <w:p>
            <w:pPr>
              <w:spacing w:after="0"/>
              <w:rPr>
                <w:sz w:val="18"/>
                <w:szCs w:val="18"/>
                <w:color w:val="auto"/>
              </w:rPr>
            </w:pPr>
          </w:p>
        </w:tc>
        <w:tc>
          <w:tcPr>
            <w:tcW w:w="660" w:type="dxa"/>
            <w:vAlign w:val="bottom"/>
            <w:shd w:val="clear" w:color="auto" w:fill="CDDAE6"/>
          </w:tcPr>
          <w:p>
            <w:pPr>
              <w:ind w:left="20"/>
              <w:spacing w:after="0" w:line="216" w:lineRule="exact"/>
              <w:rPr>
                <w:sz w:val="20"/>
                <w:szCs w:val="20"/>
                <w:color w:val="auto"/>
              </w:rPr>
            </w:pPr>
            <w:r>
              <w:rPr>
                <w:rFonts w:ascii="Arial" w:cs="Arial" w:eastAsia="Arial" w:hAnsi="Arial"/>
                <w:sz w:val="15"/>
                <w:szCs w:val="15"/>
                <w:color w:val="auto"/>
              </w:rPr>
              <w:t>PCA</w:t>
            </w:r>
            <w:r>
              <w:rPr>
                <w:rFonts w:ascii="Arial" w:cs="Arial" w:eastAsia="Arial" w:hAnsi="Arial"/>
                <w:sz w:val="25"/>
                <w:szCs w:val="25"/>
                <w:color w:val="auto"/>
                <w:vertAlign w:val="superscript"/>
              </w:rPr>
              <w:t>(2)</w:t>
            </w:r>
          </w:p>
        </w:tc>
        <w:tc>
          <w:tcPr>
            <w:tcW w:w="660" w:type="dxa"/>
            <w:vAlign w:val="bottom"/>
            <w:gridSpan w:val="2"/>
            <w:shd w:val="clear" w:color="auto" w:fill="CDDAE6"/>
          </w:tcPr>
          <w:p>
            <w:pPr>
              <w:jc w:val="right"/>
              <w:ind w:right="120"/>
              <w:spacing w:after="0"/>
              <w:rPr>
                <w:sz w:val="20"/>
                <w:szCs w:val="20"/>
                <w:color w:val="auto"/>
              </w:rPr>
            </w:pPr>
            <w:r>
              <w:rPr>
                <w:rFonts w:ascii="Arial" w:cs="Arial" w:eastAsia="Arial" w:hAnsi="Arial"/>
                <w:sz w:val="15"/>
                <w:szCs w:val="15"/>
                <w:color w:val="auto"/>
              </w:rPr>
              <w:t>2/16/16</w:t>
            </w:r>
          </w:p>
        </w:tc>
        <w:tc>
          <w:tcPr>
            <w:tcW w:w="700" w:type="dxa"/>
            <w:vAlign w:val="bottom"/>
            <w:shd w:val="clear" w:color="auto" w:fill="CDDAE6"/>
          </w:tcPr>
          <w:p>
            <w:pPr>
              <w:jc w:val="right"/>
              <w:ind w:right="23"/>
              <w:spacing w:after="0"/>
              <w:rPr>
                <w:sz w:val="20"/>
                <w:szCs w:val="20"/>
                <w:color w:val="auto"/>
              </w:rPr>
            </w:pPr>
            <w:r>
              <w:rPr>
                <w:rFonts w:ascii="Arial" w:cs="Arial" w:eastAsia="Arial" w:hAnsi="Arial"/>
                <w:sz w:val="15"/>
                <w:szCs w:val="15"/>
                <w:color w:val="auto"/>
              </w:rPr>
              <w:t>160,000</w:t>
            </w:r>
          </w:p>
        </w:tc>
        <w:tc>
          <w:tcPr>
            <w:tcW w:w="840" w:type="dxa"/>
            <w:vAlign w:val="bottom"/>
            <w:shd w:val="clear" w:color="auto" w:fill="CDDAE6"/>
          </w:tcPr>
          <w:p>
            <w:pPr>
              <w:jc w:val="right"/>
              <w:ind w:right="23"/>
              <w:spacing w:after="0"/>
              <w:rPr>
                <w:sz w:val="20"/>
                <w:szCs w:val="20"/>
                <w:color w:val="auto"/>
              </w:rPr>
            </w:pPr>
            <w:r>
              <w:rPr>
                <w:rFonts w:ascii="Arial" w:cs="Arial" w:eastAsia="Arial" w:hAnsi="Arial"/>
                <w:sz w:val="15"/>
                <w:szCs w:val="15"/>
                <w:color w:val="auto"/>
              </w:rPr>
              <w:t>640,000</w:t>
            </w:r>
          </w:p>
        </w:tc>
        <w:tc>
          <w:tcPr>
            <w:tcW w:w="1500" w:type="dxa"/>
            <w:vAlign w:val="bottom"/>
            <w:shd w:val="clear" w:color="auto" w:fill="CDDAE6"/>
          </w:tcPr>
          <w:p>
            <w:pPr>
              <w:jc w:val="right"/>
              <w:ind w:right="703"/>
              <w:spacing w:after="0"/>
              <w:rPr>
                <w:sz w:val="20"/>
                <w:szCs w:val="20"/>
                <w:color w:val="auto"/>
              </w:rPr>
            </w:pPr>
            <w:r>
              <w:rPr>
                <w:rFonts w:ascii="Arial" w:cs="Arial" w:eastAsia="Arial" w:hAnsi="Arial"/>
                <w:sz w:val="15"/>
                <w:szCs w:val="15"/>
                <w:color w:val="auto"/>
              </w:rPr>
              <w:t>1,280,000</w:t>
            </w:r>
          </w:p>
        </w:tc>
        <w:tc>
          <w:tcPr>
            <w:tcW w:w="740" w:type="dxa"/>
            <w:vAlign w:val="bottom"/>
            <w:shd w:val="clear" w:color="auto" w:fill="CDDAE6"/>
          </w:tcPr>
          <w:p>
            <w:pPr>
              <w:spacing w:after="0"/>
              <w:rPr>
                <w:sz w:val="18"/>
                <w:szCs w:val="18"/>
                <w:color w:val="auto"/>
              </w:rPr>
            </w:pPr>
          </w:p>
        </w:tc>
        <w:tc>
          <w:tcPr>
            <w:tcW w:w="1540" w:type="dxa"/>
            <w:vAlign w:val="bottom"/>
            <w:shd w:val="clear" w:color="auto" w:fill="CDDAE6"/>
          </w:tcPr>
          <w:p>
            <w:pPr>
              <w:spacing w:after="0"/>
              <w:rPr>
                <w:sz w:val="18"/>
                <w:szCs w:val="18"/>
                <w:color w:val="auto"/>
              </w:rPr>
            </w:pPr>
          </w:p>
        </w:tc>
        <w:tc>
          <w:tcPr>
            <w:tcW w:w="660" w:type="dxa"/>
            <w:vAlign w:val="bottom"/>
            <w:shd w:val="clear" w:color="auto" w:fill="CDDAE6"/>
          </w:tcPr>
          <w:p>
            <w:pPr>
              <w:spacing w:after="0"/>
              <w:rPr>
                <w:sz w:val="18"/>
                <w:szCs w:val="18"/>
                <w:color w:val="auto"/>
              </w:rPr>
            </w:pPr>
          </w:p>
        </w:tc>
        <w:tc>
          <w:tcPr>
            <w:tcW w:w="760" w:type="dxa"/>
            <w:vAlign w:val="bottom"/>
            <w:shd w:val="clear" w:color="auto" w:fill="CDDAE6"/>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60" w:type="dxa"/>
            <w:vAlign w:val="bottom"/>
          </w:tcPr>
          <w:p>
            <w:pPr>
              <w:ind w:left="20"/>
              <w:spacing w:after="0" w:line="216" w:lineRule="exact"/>
              <w:rPr>
                <w:sz w:val="20"/>
                <w:szCs w:val="20"/>
                <w:color w:val="auto"/>
              </w:rPr>
            </w:pPr>
            <w:r>
              <w:rPr>
                <w:rFonts w:ascii="Arial" w:cs="Arial" w:eastAsia="Arial" w:hAnsi="Arial"/>
                <w:sz w:val="25"/>
                <w:szCs w:val="25"/>
                <w:color w:val="auto"/>
                <w:vertAlign w:val="subscript"/>
              </w:rPr>
              <w:t>PU</w:t>
            </w:r>
            <w:r>
              <w:rPr>
                <w:rFonts w:ascii="Arial" w:cs="Arial" w:eastAsia="Arial" w:hAnsi="Arial"/>
                <w:sz w:val="11"/>
                <w:szCs w:val="11"/>
                <w:color w:val="auto"/>
              </w:rPr>
              <w:t>(3)</w:t>
            </w: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2/16/16</w:t>
            </w: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00" w:type="dxa"/>
            <w:vAlign w:val="bottom"/>
          </w:tcPr>
          <w:p>
            <w:pPr>
              <w:jc w:val="right"/>
              <w:ind w:right="43"/>
              <w:spacing w:after="0"/>
              <w:rPr>
                <w:sz w:val="20"/>
                <w:szCs w:val="20"/>
                <w:color w:val="auto"/>
              </w:rPr>
            </w:pPr>
            <w:r>
              <w:rPr>
                <w:rFonts w:ascii="Arial" w:cs="Arial" w:eastAsia="Arial" w:hAnsi="Arial"/>
                <w:sz w:val="15"/>
                <w:szCs w:val="15"/>
                <w:color w:val="auto"/>
              </w:rPr>
              <w:t>2,754</w:t>
            </w: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5,508</w:t>
            </w:r>
          </w:p>
        </w:tc>
        <w:tc>
          <w:tcPr>
            <w:tcW w:w="1540" w:type="dxa"/>
            <w:vAlign w:val="bottom"/>
          </w:tcPr>
          <w:p>
            <w:pPr>
              <w:jc w:val="right"/>
              <w:ind w:right="863"/>
              <w:spacing w:after="0"/>
              <w:rPr>
                <w:sz w:val="20"/>
                <w:szCs w:val="20"/>
                <w:color w:val="auto"/>
              </w:rPr>
            </w:pPr>
            <w:r>
              <w:rPr>
                <w:rFonts w:ascii="Arial" w:cs="Arial" w:eastAsia="Arial" w:hAnsi="Arial"/>
                <w:sz w:val="15"/>
                <w:szCs w:val="15"/>
                <w:color w:val="auto"/>
              </w:rPr>
              <w:t>11,016</w:t>
            </w:r>
          </w:p>
        </w:tc>
        <w:tc>
          <w:tcPr>
            <w:tcW w:w="6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640,030</w:t>
            </w:r>
          </w:p>
        </w:tc>
      </w:tr>
      <w:tr>
        <w:trPr>
          <w:trHeight w:val="216"/>
        </w:trPr>
        <w:tc>
          <w:tcPr>
            <w:tcW w:w="1500" w:type="dxa"/>
            <w:vAlign w:val="bottom"/>
            <w:shd w:val="clear" w:color="auto" w:fill="CDDAE6"/>
          </w:tcPr>
          <w:p>
            <w:pPr>
              <w:spacing w:after="0"/>
              <w:rPr>
                <w:sz w:val="18"/>
                <w:szCs w:val="18"/>
                <w:color w:val="auto"/>
              </w:rPr>
            </w:pPr>
          </w:p>
        </w:tc>
        <w:tc>
          <w:tcPr>
            <w:tcW w:w="660" w:type="dxa"/>
            <w:vAlign w:val="bottom"/>
            <w:shd w:val="clear" w:color="auto" w:fill="CDDAE6"/>
          </w:tcPr>
          <w:p>
            <w:pPr>
              <w:ind w:left="20"/>
              <w:spacing w:after="0" w:line="216" w:lineRule="exact"/>
              <w:rPr>
                <w:sz w:val="20"/>
                <w:szCs w:val="20"/>
                <w:color w:val="auto"/>
              </w:rPr>
            </w:pPr>
            <w:r>
              <w:rPr>
                <w:rFonts w:ascii="Arial" w:cs="Arial" w:eastAsia="Arial" w:hAnsi="Arial"/>
                <w:sz w:val="15"/>
                <w:szCs w:val="15"/>
                <w:color w:val="auto"/>
              </w:rPr>
              <w:t>RSU</w:t>
            </w:r>
            <w:r>
              <w:rPr>
                <w:rFonts w:ascii="Arial" w:cs="Arial" w:eastAsia="Arial" w:hAnsi="Arial"/>
                <w:sz w:val="25"/>
                <w:szCs w:val="25"/>
                <w:color w:val="auto"/>
                <w:vertAlign w:val="superscript"/>
              </w:rPr>
              <w:t>(4)</w:t>
            </w:r>
          </w:p>
        </w:tc>
        <w:tc>
          <w:tcPr>
            <w:tcW w:w="660" w:type="dxa"/>
            <w:vAlign w:val="bottom"/>
            <w:gridSpan w:val="2"/>
            <w:shd w:val="clear" w:color="auto" w:fill="CDDAE6"/>
          </w:tcPr>
          <w:p>
            <w:pPr>
              <w:jc w:val="right"/>
              <w:ind w:right="120"/>
              <w:spacing w:after="0"/>
              <w:rPr>
                <w:sz w:val="20"/>
                <w:szCs w:val="20"/>
                <w:color w:val="auto"/>
              </w:rPr>
            </w:pPr>
            <w:r>
              <w:rPr>
                <w:rFonts w:ascii="Arial" w:cs="Arial" w:eastAsia="Arial" w:hAnsi="Arial"/>
                <w:sz w:val="15"/>
                <w:szCs w:val="15"/>
                <w:color w:val="auto"/>
              </w:rPr>
              <w:t>2/16/16</w:t>
            </w:r>
          </w:p>
        </w:tc>
        <w:tc>
          <w:tcPr>
            <w:tcW w:w="700" w:type="dxa"/>
            <w:vAlign w:val="bottom"/>
            <w:shd w:val="clear" w:color="auto" w:fill="CDDAE6"/>
          </w:tcPr>
          <w:p>
            <w:pPr>
              <w:spacing w:after="0"/>
              <w:rPr>
                <w:sz w:val="18"/>
                <w:szCs w:val="18"/>
                <w:color w:val="auto"/>
              </w:rPr>
            </w:pPr>
          </w:p>
        </w:tc>
        <w:tc>
          <w:tcPr>
            <w:tcW w:w="840" w:type="dxa"/>
            <w:vAlign w:val="bottom"/>
            <w:shd w:val="clear" w:color="auto" w:fill="CDDAE6"/>
          </w:tcPr>
          <w:p>
            <w:pPr>
              <w:spacing w:after="0"/>
              <w:rPr>
                <w:sz w:val="18"/>
                <w:szCs w:val="18"/>
                <w:color w:val="auto"/>
              </w:rPr>
            </w:pPr>
          </w:p>
        </w:tc>
        <w:tc>
          <w:tcPr>
            <w:tcW w:w="1500" w:type="dxa"/>
            <w:vAlign w:val="bottom"/>
            <w:shd w:val="clear" w:color="auto" w:fill="CDDAE6"/>
          </w:tcPr>
          <w:p>
            <w:pPr>
              <w:jc w:val="right"/>
              <w:ind w:right="43"/>
              <w:spacing w:after="0"/>
              <w:rPr>
                <w:sz w:val="20"/>
                <w:szCs w:val="20"/>
                <w:color w:val="auto"/>
              </w:rPr>
            </w:pPr>
            <w:r>
              <w:rPr>
                <w:rFonts w:ascii="Arial" w:cs="Arial" w:eastAsia="Arial" w:hAnsi="Arial"/>
                <w:sz w:val="15"/>
                <w:szCs w:val="15"/>
                <w:color w:val="auto"/>
              </w:rPr>
              <w:t>—</w:t>
            </w:r>
          </w:p>
        </w:tc>
        <w:tc>
          <w:tcPr>
            <w:tcW w:w="740" w:type="dxa"/>
            <w:vAlign w:val="bottom"/>
            <w:shd w:val="clear" w:color="auto" w:fill="CDDAE6"/>
          </w:tcPr>
          <w:p>
            <w:pPr>
              <w:jc w:val="right"/>
              <w:ind w:right="43"/>
              <w:spacing w:after="0"/>
              <w:rPr>
                <w:sz w:val="20"/>
                <w:szCs w:val="20"/>
                <w:color w:val="auto"/>
              </w:rPr>
            </w:pPr>
            <w:r>
              <w:rPr>
                <w:rFonts w:ascii="Arial" w:cs="Arial" w:eastAsia="Arial" w:hAnsi="Arial"/>
                <w:sz w:val="15"/>
                <w:szCs w:val="15"/>
                <w:color w:val="auto"/>
              </w:rPr>
              <w:t>8,262</w:t>
            </w:r>
          </w:p>
        </w:tc>
        <w:tc>
          <w:tcPr>
            <w:tcW w:w="1540" w:type="dxa"/>
            <w:vAlign w:val="bottom"/>
            <w:shd w:val="clear" w:color="auto" w:fill="CDDAE6"/>
          </w:tcPr>
          <w:p>
            <w:pPr>
              <w:jc w:val="right"/>
              <w:ind w:right="863"/>
              <w:spacing w:after="0"/>
              <w:rPr>
                <w:sz w:val="20"/>
                <w:szCs w:val="20"/>
                <w:color w:val="auto"/>
              </w:rPr>
            </w:pPr>
            <w:r>
              <w:rPr>
                <w:rFonts w:ascii="Arial" w:cs="Arial" w:eastAsia="Arial" w:hAnsi="Arial"/>
                <w:sz w:val="15"/>
                <w:szCs w:val="15"/>
                <w:color w:val="auto"/>
              </w:rPr>
              <w:t>8,262</w:t>
            </w:r>
          </w:p>
        </w:tc>
        <w:tc>
          <w:tcPr>
            <w:tcW w:w="660" w:type="dxa"/>
            <w:vAlign w:val="bottom"/>
            <w:shd w:val="clear" w:color="auto" w:fill="CDDAE6"/>
          </w:tcPr>
          <w:p>
            <w:pPr>
              <w:spacing w:after="0"/>
              <w:rPr>
                <w:sz w:val="18"/>
                <w:szCs w:val="18"/>
                <w:color w:val="auto"/>
              </w:rPr>
            </w:pP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960,044</w:t>
            </w:r>
          </w:p>
        </w:tc>
      </w:tr>
      <w:tr>
        <w:trPr>
          <w:trHeight w:val="216"/>
        </w:trPr>
        <w:tc>
          <w:tcPr>
            <w:tcW w:w="1500" w:type="dxa"/>
            <w:vAlign w:val="bottom"/>
          </w:tcPr>
          <w:p>
            <w:pPr>
              <w:spacing w:after="0"/>
              <w:rPr>
                <w:sz w:val="18"/>
                <w:szCs w:val="18"/>
                <w:color w:val="auto"/>
              </w:rPr>
            </w:pPr>
          </w:p>
        </w:tc>
        <w:tc>
          <w:tcPr>
            <w:tcW w:w="660" w:type="dxa"/>
            <w:vAlign w:val="bottom"/>
          </w:tcPr>
          <w:p>
            <w:pPr>
              <w:ind w:left="20"/>
              <w:spacing w:after="0" w:line="216" w:lineRule="exact"/>
              <w:rPr>
                <w:sz w:val="20"/>
                <w:szCs w:val="20"/>
                <w:color w:val="auto"/>
              </w:rPr>
            </w:pPr>
            <w:r>
              <w:rPr>
                <w:rFonts w:ascii="Arial" w:cs="Arial" w:eastAsia="Arial" w:hAnsi="Arial"/>
                <w:sz w:val="15"/>
                <w:szCs w:val="15"/>
                <w:color w:val="auto"/>
                <w:w w:val="95"/>
              </w:rPr>
              <w:t>Option</w:t>
            </w:r>
            <w:r>
              <w:rPr>
                <w:rFonts w:ascii="Arial" w:cs="Arial" w:eastAsia="Arial" w:hAnsi="Arial"/>
                <w:sz w:val="25"/>
                <w:szCs w:val="25"/>
                <w:color w:val="auto"/>
                <w:w w:val="95"/>
                <w:vertAlign w:val="superscript"/>
              </w:rPr>
              <w:t>(5)</w:t>
            </w: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2/16/16</w:t>
            </w: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tcPr>
          <w:p>
            <w:pPr>
              <w:jc w:val="right"/>
              <w:ind w:right="83"/>
              <w:spacing w:after="0"/>
              <w:rPr>
                <w:sz w:val="20"/>
                <w:szCs w:val="20"/>
                <w:color w:val="auto"/>
              </w:rPr>
            </w:pPr>
            <w:r>
              <w:rPr>
                <w:rFonts w:ascii="Arial" w:cs="Arial" w:eastAsia="Arial" w:hAnsi="Arial"/>
                <w:sz w:val="15"/>
                <w:szCs w:val="15"/>
                <w:color w:val="auto"/>
              </w:rPr>
              <w:t>58,608</w:t>
            </w: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116.20</w:t>
            </w:r>
          </w:p>
        </w:tc>
        <w:tc>
          <w:tcPr>
            <w:tcW w:w="760" w:type="dxa"/>
            <w:vAlign w:val="bottom"/>
          </w:tcPr>
          <w:p>
            <w:pPr>
              <w:jc w:val="right"/>
              <w:spacing w:after="0"/>
              <w:rPr>
                <w:sz w:val="20"/>
                <w:szCs w:val="20"/>
                <w:color w:val="auto"/>
              </w:rPr>
            </w:pPr>
            <w:r>
              <w:rPr>
                <w:rFonts w:ascii="Arial" w:cs="Arial" w:eastAsia="Arial" w:hAnsi="Arial"/>
                <w:sz w:val="15"/>
                <w:szCs w:val="15"/>
                <w:color w:val="auto"/>
              </w:rPr>
              <w:t>959,999</w:t>
            </w:r>
          </w:p>
        </w:tc>
      </w:tr>
      <w:tr>
        <w:trPr>
          <w:trHeight w:val="216"/>
        </w:trPr>
        <w:tc>
          <w:tcPr>
            <w:tcW w:w="1500" w:type="dxa"/>
            <w:vAlign w:val="bottom"/>
            <w:shd w:val="clear" w:color="auto" w:fill="CDDAE6"/>
          </w:tcPr>
          <w:p>
            <w:pPr>
              <w:ind w:left="20"/>
              <w:spacing w:after="0"/>
              <w:rPr>
                <w:sz w:val="20"/>
                <w:szCs w:val="20"/>
                <w:color w:val="auto"/>
              </w:rPr>
            </w:pPr>
            <w:r>
              <w:rPr>
                <w:rFonts w:ascii="Arial" w:cs="Arial" w:eastAsia="Arial" w:hAnsi="Arial"/>
                <w:sz w:val="15"/>
                <w:szCs w:val="15"/>
                <w:color w:val="auto"/>
              </w:rPr>
              <w:t>Ralph G. D’Ambrosio</w:t>
            </w:r>
          </w:p>
        </w:tc>
        <w:tc>
          <w:tcPr>
            <w:tcW w:w="660" w:type="dxa"/>
            <w:vAlign w:val="bottom"/>
            <w:shd w:val="clear" w:color="auto" w:fill="CDDAE6"/>
          </w:tcPr>
          <w:p>
            <w:pPr>
              <w:ind w:left="20"/>
              <w:spacing w:after="0" w:line="216" w:lineRule="exact"/>
              <w:rPr>
                <w:sz w:val="20"/>
                <w:szCs w:val="20"/>
                <w:color w:val="auto"/>
              </w:rPr>
            </w:pPr>
            <w:r>
              <w:rPr>
                <w:rFonts w:ascii="Arial" w:cs="Arial" w:eastAsia="Arial" w:hAnsi="Arial"/>
                <w:sz w:val="15"/>
                <w:szCs w:val="15"/>
                <w:color w:val="auto"/>
              </w:rPr>
              <w:t>AIP</w:t>
            </w:r>
            <w:r>
              <w:rPr>
                <w:rFonts w:ascii="Arial" w:cs="Arial" w:eastAsia="Arial" w:hAnsi="Arial"/>
                <w:sz w:val="25"/>
                <w:szCs w:val="25"/>
                <w:color w:val="auto"/>
                <w:vertAlign w:val="superscript"/>
              </w:rPr>
              <w:t>(1)</w:t>
            </w:r>
          </w:p>
        </w:tc>
        <w:tc>
          <w:tcPr>
            <w:tcW w:w="660" w:type="dxa"/>
            <w:vAlign w:val="bottom"/>
            <w:gridSpan w:val="2"/>
            <w:shd w:val="clear" w:color="auto" w:fill="CDDAE6"/>
          </w:tcPr>
          <w:p>
            <w:pPr>
              <w:jc w:val="right"/>
              <w:ind w:right="120"/>
              <w:spacing w:after="0"/>
              <w:rPr>
                <w:sz w:val="20"/>
                <w:szCs w:val="20"/>
                <w:color w:val="auto"/>
              </w:rPr>
            </w:pPr>
            <w:r>
              <w:rPr>
                <w:rFonts w:ascii="Arial" w:cs="Arial" w:eastAsia="Arial" w:hAnsi="Arial"/>
                <w:sz w:val="15"/>
                <w:szCs w:val="15"/>
                <w:color w:val="auto"/>
              </w:rPr>
              <w:t>2/16/16</w:t>
            </w:r>
          </w:p>
        </w:tc>
        <w:tc>
          <w:tcPr>
            <w:tcW w:w="700" w:type="dxa"/>
            <w:vAlign w:val="bottom"/>
            <w:shd w:val="clear" w:color="auto" w:fill="CDDAE6"/>
          </w:tcPr>
          <w:p>
            <w:pPr>
              <w:jc w:val="right"/>
              <w:ind w:right="23"/>
              <w:spacing w:after="0"/>
              <w:rPr>
                <w:sz w:val="20"/>
                <w:szCs w:val="20"/>
                <w:color w:val="auto"/>
              </w:rPr>
            </w:pPr>
            <w:r>
              <w:rPr>
                <w:rFonts w:ascii="Arial" w:cs="Arial" w:eastAsia="Arial" w:hAnsi="Arial"/>
                <w:sz w:val="15"/>
                <w:szCs w:val="15"/>
                <w:color w:val="auto"/>
              </w:rPr>
              <w:t>—</w:t>
            </w:r>
          </w:p>
        </w:tc>
        <w:tc>
          <w:tcPr>
            <w:tcW w:w="840" w:type="dxa"/>
            <w:vAlign w:val="bottom"/>
            <w:shd w:val="clear" w:color="auto" w:fill="CDDAE6"/>
          </w:tcPr>
          <w:p>
            <w:pPr>
              <w:jc w:val="right"/>
              <w:ind w:right="23"/>
              <w:spacing w:after="0"/>
              <w:rPr>
                <w:sz w:val="20"/>
                <w:szCs w:val="20"/>
                <w:color w:val="auto"/>
              </w:rPr>
            </w:pPr>
            <w:r>
              <w:rPr>
                <w:rFonts w:ascii="Arial" w:cs="Arial" w:eastAsia="Arial" w:hAnsi="Arial"/>
                <w:sz w:val="15"/>
                <w:szCs w:val="15"/>
                <w:color w:val="auto"/>
              </w:rPr>
              <w:t>638,100</w:t>
            </w:r>
          </w:p>
        </w:tc>
        <w:tc>
          <w:tcPr>
            <w:tcW w:w="1500" w:type="dxa"/>
            <w:vAlign w:val="bottom"/>
            <w:shd w:val="clear" w:color="auto" w:fill="CDDAE6"/>
          </w:tcPr>
          <w:p>
            <w:pPr>
              <w:jc w:val="right"/>
              <w:ind w:right="703"/>
              <w:spacing w:after="0"/>
              <w:rPr>
                <w:sz w:val="20"/>
                <w:szCs w:val="20"/>
                <w:color w:val="auto"/>
              </w:rPr>
            </w:pPr>
            <w:r>
              <w:rPr>
                <w:rFonts w:ascii="Arial" w:cs="Arial" w:eastAsia="Arial" w:hAnsi="Arial"/>
                <w:sz w:val="15"/>
                <w:szCs w:val="15"/>
                <w:color w:val="auto"/>
              </w:rPr>
              <w:t>1,276,200</w:t>
            </w:r>
          </w:p>
        </w:tc>
        <w:tc>
          <w:tcPr>
            <w:tcW w:w="740" w:type="dxa"/>
            <w:vAlign w:val="bottom"/>
            <w:shd w:val="clear" w:color="auto" w:fill="CDDAE6"/>
          </w:tcPr>
          <w:p>
            <w:pPr>
              <w:spacing w:after="0"/>
              <w:rPr>
                <w:sz w:val="18"/>
                <w:szCs w:val="18"/>
                <w:color w:val="auto"/>
              </w:rPr>
            </w:pPr>
          </w:p>
        </w:tc>
        <w:tc>
          <w:tcPr>
            <w:tcW w:w="1540" w:type="dxa"/>
            <w:vAlign w:val="bottom"/>
            <w:shd w:val="clear" w:color="auto" w:fill="CDDAE6"/>
          </w:tcPr>
          <w:p>
            <w:pPr>
              <w:spacing w:after="0"/>
              <w:rPr>
                <w:sz w:val="18"/>
                <w:szCs w:val="18"/>
                <w:color w:val="auto"/>
              </w:rPr>
            </w:pPr>
          </w:p>
        </w:tc>
        <w:tc>
          <w:tcPr>
            <w:tcW w:w="660" w:type="dxa"/>
            <w:vAlign w:val="bottom"/>
            <w:shd w:val="clear" w:color="auto" w:fill="CDDAE6"/>
          </w:tcPr>
          <w:p>
            <w:pPr>
              <w:spacing w:after="0"/>
              <w:rPr>
                <w:sz w:val="18"/>
                <w:szCs w:val="18"/>
                <w:color w:val="auto"/>
              </w:rPr>
            </w:pPr>
          </w:p>
        </w:tc>
        <w:tc>
          <w:tcPr>
            <w:tcW w:w="760" w:type="dxa"/>
            <w:vAlign w:val="bottom"/>
            <w:shd w:val="clear" w:color="auto" w:fill="CDDAE6"/>
          </w:tcPr>
          <w:p>
            <w:pPr>
              <w:spacing w:after="0"/>
              <w:rPr>
                <w:sz w:val="18"/>
                <w:szCs w:val="18"/>
                <w:color w:val="auto"/>
              </w:rPr>
            </w:pPr>
          </w:p>
        </w:tc>
      </w:tr>
      <w:tr>
        <w:trPr>
          <w:trHeight w:val="216"/>
        </w:trPr>
        <w:tc>
          <w:tcPr>
            <w:tcW w:w="1500" w:type="dxa"/>
            <w:vAlign w:val="bottom"/>
            <w:shd w:val="clear" w:color="auto" w:fill="CDDAE6"/>
          </w:tcPr>
          <w:p>
            <w:pPr>
              <w:spacing w:after="0"/>
              <w:rPr>
                <w:sz w:val="18"/>
                <w:szCs w:val="18"/>
                <w:color w:val="auto"/>
              </w:rPr>
            </w:pPr>
          </w:p>
        </w:tc>
        <w:tc>
          <w:tcPr>
            <w:tcW w:w="660" w:type="dxa"/>
            <w:vAlign w:val="bottom"/>
            <w:shd w:val="clear" w:color="auto" w:fill="CDDAE6"/>
          </w:tcPr>
          <w:p>
            <w:pPr>
              <w:ind w:left="20"/>
              <w:spacing w:after="0" w:line="216" w:lineRule="exact"/>
              <w:rPr>
                <w:sz w:val="20"/>
                <w:szCs w:val="20"/>
                <w:color w:val="auto"/>
              </w:rPr>
            </w:pPr>
            <w:r>
              <w:rPr>
                <w:rFonts w:ascii="Arial" w:cs="Arial" w:eastAsia="Arial" w:hAnsi="Arial"/>
                <w:sz w:val="15"/>
                <w:szCs w:val="15"/>
                <w:color w:val="auto"/>
              </w:rPr>
              <w:t>PCA</w:t>
            </w:r>
            <w:r>
              <w:rPr>
                <w:rFonts w:ascii="Arial" w:cs="Arial" w:eastAsia="Arial" w:hAnsi="Arial"/>
                <w:sz w:val="25"/>
                <w:szCs w:val="25"/>
                <w:color w:val="auto"/>
                <w:vertAlign w:val="superscript"/>
              </w:rPr>
              <w:t>(2)</w:t>
            </w:r>
          </w:p>
        </w:tc>
        <w:tc>
          <w:tcPr>
            <w:tcW w:w="660" w:type="dxa"/>
            <w:vAlign w:val="bottom"/>
            <w:gridSpan w:val="2"/>
            <w:shd w:val="clear" w:color="auto" w:fill="CDDAE6"/>
          </w:tcPr>
          <w:p>
            <w:pPr>
              <w:jc w:val="right"/>
              <w:ind w:right="120"/>
              <w:spacing w:after="0"/>
              <w:rPr>
                <w:sz w:val="20"/>
                <w:szCs w:val="20"/>
                <w:color w:val="auto"/>
              </w:rPr>
            </w:pPr>
            <w:r>
              <w:rPr>
                <w:rFonts w:ascii="Arial" w:cs="Arial" w:eastAsia="Arial" w:hAnsi="Arial"/>
                <w:sz w:val="15"/>
                <w:szCs w:val="15"/>
                <w:color w:val="auto"/>
              </w:rPr>
              <w:t>2/16/16</w:t>
            </w:r>
          </w:p>
        </w:tc>
        <w:tc>
          <w:tcPr>
            <w:tcW w:w="700" w:type="dxa"/>
            <w:vAlign w:val="bottom"/>
            <w:shd w:val="clear" w:color="auto" w:fill="CDDAE6"/>
          </w:tcPr>
          <w:p>
            <w:pPr>
              <w:jc w:val="right"/>
              <w:ind w:right="23"/>
              <w:spacing w:after="0"/>
              <w:rPr>
                <w:sz w:val="20"/>
                <w:szCs w:val="20"/>
                <w:color w:val="auto"/>
              </w:rPr>
            </w:pPr>
            <w:r>
              <w:rPr>
                <w:rFonts w:ascii="Arial" w:cs="Arial" w:eastAsia="Arial" w:hAnsi="Arial"/>
                <w:sz w:val="15"/>
                <w:szCs w:val="15"/>
                <w:color w:val="auto"/>
              </w:rPr>
              <w:t>131,250</w:t>
            </w:r>
          </w:p>
        </w:tc>
        <w:tc>
          <w:tcPr>
            <w:tcW w:w="840" w:type="dxa"/>
            <w:vAlign w:val="bottom"/>
            <w:shd w:val="clear" w:color="auto" w:fill="CDDAE6"/>
          </w:tcPr>
          <w:p>
            <w:pPr>
              <w:jc w:val="right"/>
              <w:ind w:right="23"/>
              <w:spacing w:after="0"/>
              <w:rPr>
                <w:sz w:val="20"/>
                <w:szCs w:val="20"/>
                <w:color w:val="auto"/>
              </w:rPr>
            </w:pPr>
            <w:r>
              <w:rPr>
                <w:rFonts w:ascii="Arial" w:cs="Arial" w:eastAsia="Arial" w:hAnsi="Arial"/>
                <w:sz w:val="15"/>
                <w:szCs w:val="15"/>
                <w:color w:val="auto"/>
              </w:rPr>
              <w:t>525,000</w:t>
            </w:r>
          </w:p>
        </w:tc>
        <w:tc>
          <w:tcPr>
            <w:tcW w:w="1500" w:type="dxa"/>
            <w:vAlign w:val="bottom"/>
            <w:shd w:val="clear" w:color="auto" w:fill="CDDAE6"/>
          </w:tcPr>
          <w:p>
            <w:pPr>
              <w:jc w:val="right"/>
              <w:ind w:right="703"/>
              <w:spacing w:after="0"/>
              <w:rPr>
                <w:sz w:val="20"/>
                <w:szCs w:val="20"/>
                <w:color w:val="auto"/>
              </w:rPr>
            </w:pPr>
            <w:r>
              <w:rPr>
                <w:rFonts w:ascii="Arial" w:cs="Arial" w:eastAsia="Arial" w:hAnsi="Arial"/>
                <w:sz w:val="15"/>
                <w:szCs w:val="15"/>
                <w:color w:val="auto"/>
              </w:rPr>
              <w:t>1,050,000</w:t>
            </w:r>
          </w:p>
        </w:tc>
        <w:tc>
          <w:tcPr>
            <w:tcW w:w="740" w:type="dxa"/>
            <w:vAlign w:val="bottom"/>
            <w:shd w:val="clear" w:color="auto" w:fill="CDDAE6"/>
          </w:tcPr>
          <w:p>
            <w:pPr>
              <w:spacing w:after="0"/>
              <w:rPr>
                <w:sz w:val="18"/>
                <w:szCs w:val="18"/>
                <w:color w:val="auto"/>
              </w:rPr>
            </w:pPr>
          </w:p>
        </w:tc>
        <w:tc>
          <w:tcPr>
            <w:tcW w:w="1540" w:type="dxa"/>
            <w:vAlign w:val="bottom"/>
            <w:shd w:val="clear" w:color="auto" w:fill="CDDAE6"/>
          </w:tcPr>
          <w:p>
            <w:pPr>
              <w:spacing w:after="0"/>
              <w:rPr>
                <w:sz w:val="18"/>
                <w:szCs w:val="18"/>
                <w:color w:val="auto"/>
              </w:rPr>
            </w:pPr>
          </w:p>
        </w:tc>
        <w:tc>
          <w:tcPr>
            <w:tcW w:w="660" w:type="dxa"/>
            <w:vAlign w:val="bottom"/>
            <w:shd w:val="clear" w:color="auto" w:fill="CDDAE6"/>
          </w:tcPr>
          <w:p>
            <w:pPr>
              <w:spacing w:after="0"/>
              <w:rPr>
                <w:sz w:val="18"/>
                <w:szCs w:val="18"/>
                <w:color w:val="auto"/>
              </w:rPr>
            </w:pPr>
          </w:p>
        </w:tc>
        <w:tc>
          <w:tcPr>
            <w:tcW w:w="760" w:type="dxa"/>
            <w:vAlign w:val="bottom"/>
            <w:shd w:val="clear" w:color="auto" w:fill="CDDAE6"/>
          </w:tcPr>
          <w:p>
            <w:pPr>
              <w:spacing w:after="0"/>
              <w:rPr>
                <w:sz w:val="18"/>
                <w:szCs w:val="18"/>
                <w:color w:val="auto"/>
              </w:rPr>
            </w:pPr>
          </w:p>
        </w:tc>
      </w:tr>
      <w:tr>
        <w:trPr>
          <w:trHeight w:val="216"/>
        </w:trPr>
        <w:tc>
          <w:tcPr>
            <w:tcW w:w="1500" w:type="dxa"/>
            <w:vAlign w:val="bottom"/>
            <w:shd w:val="clear" w:color="auto" w:fill="CDDAE6"/>
          </w:tcPr>
          <w:p>
            <w:pPr>
              <w:spacing w:after="0"/>
              <w:rPr>
                <w:sz w:val="18"/>
                <w:szCs w:val="18"/>
                <w:color w:val="auto"/>
              </w:rPr>
            </w:pPr>
          </w:p>
        </w:tc>
        <w:tc>
          <w:tcPr>
            <w:tcW w:w="660" w:type="dxa"/>
            <w:vAlign w:val="bottom"/>
            <w:shd w:val="clear" w:color="auto" w:fill="CDDAE6"/>
          </w:tcPr>
          <w:p>
            <w:pPr>
              <w:ind w:left="20"/>
              <w:spacing w:after="0" w:line="216" w:lineRule="exact"/>
              <w:rPr>
                <w:sz w:val="20"/>
                <w:szCs w:val="20"/>
                <w:color w:val="auto"/>
              </w:rPr>
            </w:pPr>
            <w:r>
              <w:rPr>
                <w:rFonts w:ascii="Arial" w:cs="Arial" w:eastAsia="Arial" w:hAnsi="Arial"/>
                <w:sz w:val="25"/>
                <w:szCs w:val="25"/>
                <w:color w:val="auto"/>
                <w:vertAlign w:val="subscript"/>
              </w:rPr>
              <w:t>PU</w:t>
            </w:r>
            <w:r>
              <w:rPr>
                <w:rFonts w:ascii="Arial" w:cs="Arial" w:eastAsia="Arial" w:hAnsi="Arial"/>
                <w:sz w:val="11"/>
                <w:szCs w:val="11"/>
                <w:color w:val="auto"/>
              </w:rPr>
              <w:t>(3)</w:t>
            </w:r>
          </w:p>
        </w:tc>
        <w:tc>
          <w:tcPr>
            <w:tcW w:w="660" w:type="dxa"/>
            <w:vAlign w:val="bottom"/>
            <w:gridSpan w:val="2"/>
            <w:shd w:val="clear" w:color="auto" w:fill="CDDAE6"/>
          </w:tcPr>
          <w:p>
            <w:pPr>
              <w:jc w:val="right"/>
              <w:ind w:right="120"/>
              <w:spacing w:after="0"/>
              <w:rPr>
                <w:sz w:val="20"/>
                <w:szCs w:val="20"/>
                <w:color w:val="auto"/>
              </w:rPr>
            </w:pPr>
            <w:r>
              <w:rPr>
                <w:rFonts w:ascii="Arial" w:cs="Arial" w:eastAsia="Arial" w:hAnsi="Arial"/>
                <w:sz w:val="15"/>
                <w:szCs w:val="15"/>
                <w:color w:val="auto"/>
              </w:rPr>
              <w:t>2/16/16</w:t>
            </w:r>
          </w:p>
        </w:tc>
        <w:tc>
          <w:tcPr>
            <w:tcW w:w="700" w:type="dxa"/>
            <w:vAlign w:val="bottom"/>
            <w:shd w:val="clear" w:color="auto" w:fill="CDDAE6"/>
          </w:tcPr>
          <w:p>
            <w:pPr>
              <w:spacing w:after="0"/>
              <w:rPr>
                <w:sz w:val="18"/>
                <w:szCs w:val="18"/>
                <w:color w:val="auto"/>
              </w:rPr>
            </w:pPr>
          </w:p>
        </w:tc>
        <w:tc>
          <w:tcPr>
            <w:tcW w:w="840" w:type="dxa"/>
            <w:vAlign w:val="bottom"/>
            <w:shd w:val="clear" w:color="auto" w:fill="CDDAE6"/>
          </w:tcPr>
          <w:p>
            <w:pPr>
              <w:spacing w:after="0"/>
              <w:rPr>
                <w:sz w:val="18"/>
                <w:szCs w:val="18"/>
                <w:color w:val="auto"/>
              </w:rPr>
            </w:pPr>
          </w:p>
        </w:tc>
        <w:tc>
          <w:tcPr>
            <w:tcW w:w="1500" w:type="dxa"/>
            <w:vAlign w:val="bottom"/>
            <w:shd w:val="clear" w:color="auto" w:fill="CDDAE6"/>
          </w:tcPr>
          <w:p>
            <w:pPr>
              <w:jc w:val="right"/>
              <w:ind w:right="43"/>
              <w:spacing w:after="0"/>
              <w:rPr>
                <w:sz w:val="20"/>
                <w:szCs w:val="20"/>
                <w:color w:val="auto"/>
              </w:rPr>
            </w:pPr>
            <w:r>
              <w:rPr>
                <w:rFonts w:ascii="Arial" w:cs="Arial" w:eastAsia="Arial" w:hAnsi="Arial"/>
                <w:sz w:val="15"/>
                <w:szCs w:val="15"/>
                <w:color w:val="auto"/>
              </w:rPr>
              <w:t>2,259</w:t>
            </w:r>
          </w:p>
        </w:tc>
        <w:tc>
          <w:tcPr>
            <w:tcW w:w="740" w:type="dxa"/>
            <w:vAlign w:val="bottom"/>
            <w:shd w:val="clear" w:color="auto" w:fill="CDDAE6"/>
          </w:tcPr>
          <w:p>
            <w:pPr>
              <w:jc w:val="right"/>
              <w:ind w:right="43"/>
              <w:spacing w:after="0"/>
              <w:rPr>
                <w:sz w:val="20"/>
                <w:szCs w:val="20"/>
                <w:color w:val="auto"/>
              </w:rPr>
            </w:pPr>
            <w:r>
              <w:rPr>
                <w:rFonts w:ascii="Arial" w:cs="Arial" w:eastAsia="Arial" w:hAnsi="Arial"/>
                <w:sz w:val="15"/>
                <w:szCs w:val="15"/>
                <w:color w:val="auto"/>
              </w:rPr>
              <w:t>4,518</w:t>
            </w:r>
          </w:p>
        </w:tc>
        <w:tc>
          <w:tcPr>
            <w:tcW w:w="1540" w:type="dxa"/>
            <w:vAlign w:val="bottom"/>
            <w:shd w:val="clear" w:color="auto" w:fill="CDDAE6"/>
          </w:tcPr>
          <w:p>
            <w:pPr>
              <w:jc w:val="right"/>
              <w:ind w:right="863"/>
              <w:spacing w:after="0"/>
              <w:rPr>
                <w:sz w:val="20"/>
                <w:szCs w:val="20"/>
                <w:color w:val="auto"/>
              </w:rPr>
            </w:pPr>
            <w:r>
              <w:rPr>
                <w:rFonts w:ascii="Arial" w:cs="Arial" w:eastAsia="Arial" w:hAnsi="Arial"/>
                <w:sz w:val="15"/>
                <w:szCs w:val="15"/>
                <w:color w:val="auto"/>
              </w:rPr>
              <w:t>9,036</w:t>
            </w:r>
          </w:p>
        </w:tc>
        <w:tc>
          <w:tcPr>
            <w:tcW w:w="660" w:type="dxa"/>
            <w:vAlign w:val="bottom"/>
            <w:shd w:val="clear" w:color="auto" w:fill="CDDAE6"/>
          </w:tcPr>
          <w:p>
            <w:pPr>
              <w:spacing w:after="0"/>
              <w:rPr>
                <w:sz w:val="18"/>
                <w:szCs w:val="18"/>
                <w:color w:val="auto"/>
              </w:rPr>
            </w:pP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524,992</w:t>
            </w:r>
          </w:p>
        </w:tc>
      </w:tr>
      <w:tr>
        <w:trPr>
          <w:trHeight w:val="216"/>
        </w:trPr>
        <w:tc>
          <w:tcPr>
            <w:tcW w:w="1500" w:type="dxa"/>
            <w:vAlign w:val="bottom"/>
            <w:shd w:val="clear" w:color="auto" w:fill="CDDAE6"/>
          </w:tcPr>
          <w:p>
            <w:pPr>
              <w:spacing w:after="0"/>
              <w:rPr>
                <w:sz w:val="18"/>
                <w:szCs w:val="18"/>
                <w:color w:val="auto"/>
              </w:rPr>
            </w:pPr>
          </w:p>
        </w:tc>
        <w:tc>
          <w:tcPr>
            <w:tcW w:w="660" w:type="dxa"/>
            <w:vAlign w:val="bottom"/>
            <w:shd w:val="clear" w:color="auto" w:fill="CDDAE6"/>
          </w:tcPr>
          <w:p>
            <w:pPr>
              <w:ind w:left="20"/>
              <w:spacing w:after="0" w:line="216" w:lineRule="exact"/>
              <w:rPr>
                <w:sz w:val="20"/>
                <w:szCs w:val="20"/>
                <w:color w:val="auto"/>
              </w:rPr>
            </w:pPr>
            <w:r>
              <w:rPr>
                <w:rFonts w:ascii="Arial" w:cs="Arial" w:eastAsia="Arial" w:hAnsi="Arial"/>
                <w:sz w:val="15"/>
                <w:szCs w:val="15"/>
                <w:color w:val="auto"/>
              </w:rPr>
              <w:t>RSU</w:t>
            </w:r>
            <w:r>
              <w:rPr>
                <w:rFonts w:ascii="Arial" w:cs="Arial" w:eastAsia="Arial" w:hAnsi="Arial"/>
                <w:sz w:val="25"/>
                <w:szCs w:val="25"/>
                <w:color w:val="auto"/>
                <w:vertAlign w:val="superscript"/>
              </w:rPr>
              <w:t>(4)</w:t>
            </w:r>
          </w:p>
        </w:tc>
        <w:tc>
          <w:tcPr>
            <w:tcW w:w="660" w:type="dxa"/>
            <w:vAlign w:val="bottom"/>
            <w:gridSpan w:val="2"/>
            <w:shd w:val="clear" w:color="auto" w:fill="CDDAE6"/>
          </w:tcPr>
          <w:p>
            <w:pPr>
              <w:jc w:val="right"/>
              <w:ind w:right="120"/>
              <w:spacing w:after="0"/>
              <w:rPr>
                <w:sz w:val="20"/>
                <w:szCs w:val="20"/>
                <w:color w:val="auto"/>
              </w:rPr>
            </w:pPr>
            <w:r>
              <w:rPr>
                <w:rFonts w:ascii="Arial" w:cs="Arial" w:eastAsia="Arial" w:hAnsi="Arial"/>
                <w:sz w:val="15"/>
                <w:szCs w:val="15"/>
                <w:color w:val="auto"/>
              </w:rPr>
              <w:t>2/16/16</w:t>
            </w:r>
          </w:p>
        </w:tc>
        <w:tc>
          <w:tcPr>
            <w:tcW w:w="700" w:type="dxa"/>
            <w:vAlign w:val="bottom"/>
            <w:shd w:val="clear" w:color="auto" w:fill="CDDAE6"/>
          </w:tcPr>
          <w:p>
            <w:pPr>
              <w:spacing w:after="0"/>
              <w:rPr>
                <w:sz w:val="18"/>
                <w:szCs w:val="18"/>
                <w:color w:val="auto"/>
              </w:rPr>
            </w:pPr>
          </w:p>
        </w:tc>
        <w:tc>
          <w:tcPr>
            <w:tcW w:w="840" w:type="dxa"/>
            <w:vAlign w:val="bottom"/>
            <w:shd w:val="clear" w:color="auto" w:fill="CDDAE6"/>
          </w:tcPr>
          <w:p>
            <w:pPr>
              <w:spacing w:after="0"/>
              <w:rPr>
                <w:sz w:val="18"/>
                <w:szCs w:val="18"/>
                <w:color w:val="auto"/>
              </w:rPr>
            </w:pPr>
          </w:p>
        </w:tc>
        <w:tc>
          <w:tcPr>
            <w:tcW w:w="1500" w:type="dxa"/>
            <w:vAlign w:val="bottom"/>
            <w:shd w:val="clear" w:color="auto" w:fill="CDDAE6"/>
          </w:tcPr>
          <w:p>
            <w:pPr>
              <w:jc w:val="right"/>
              <w:ind w:right="43"/>
              <w:spacing w:after="0"/>
              <w:rPr>
                <w:sz w:val="20"/>
                <w:szCs w:val="20"/>
                <w:color w:val="auto"/>
              </w:rPr>
            </w:pPr>
            <w:r>
              <w:rPr>
                <w:rFonts w:ascii="Arial" w:cs="Arial" w:eastAsia="Arial" w:hAnsi="Arial"/>
                <w:sz w:val="15"/>
                <w:szCs w:val="15"/>
                <w:color w:val="auto"/>
              </w:rPr>
              <w:t>—</w:t>
            </w:r>
          </w:p>
        </w:tc>
        <w:tc>
          <w:tcPr>
            <w:tcW w:w="740" w:type="dxa"/>
            <w:vAlign w:val="bottom"/>
            <w:shd w:val="clear" w:color="auto" w:fill="CDDAE6"/>
          </w:tcPr>
          <w:p>
            <w:pPr>
              <w:jc w:val="right"/>
              <w:ind w:right="43"/>
              <w:spacing w:after="0"/>
              <w:rPr>
                <w:sz w:val="20"/>
                <w:szCs w:val="20"/>
                <w:color w:val="auto"/>
              </w:rPr>
            </w:pPr>
            <w:r>
              <w:rPr>
                <w:rFonts w:ascii="Arial" w:cs="Arial" w:eastAsia="Arial" w:hAnsi="Arial"/>
                <w:sz w:val="15"/>
                <w:szCs w:val="15"/>
                <w:color w:val="auto"/>
              </w:rPr>
              <w:t>6,777</w:t>
            </w:r>
          </w:p>
        </w:tc>
        <w:tc>
          <w:tcPr>
            <w:tcW w:w="1540" w:type="dxa"/>
            <w:vAlign w:val="bottom"/>
            <w:shd w:val="clear" w:color="auto" w:fill="CDDAE6"/>
          </w:tcPr>
          <w:p>
            <w:pPr>
              <w:jc w:val="right"/>
              <w:ind w:right="863"/>
              <w:spacing w:after="0"/>
              <w:rPr>
                <w:sz w:val="20"/>
                <w:szCs w:val="20"/>
                <w:color w:val="auto"/>
              </w:rPr>
            </w:pPr>
            <w:r>
              <w:rPr>
                <w:rFonts w:ascii="Arial" w:cs="Arial" w:eastAsia="Arial" w:hAnsi="Arial"/>
                <w:sz w:val="15"/>
                <w:szCs w:val="15"/>
                <w:color w:val="auto"/>
              </w:rPr>
              <w:t>6,777</w:t>
            </w:r>
          </w:p>
        </w:tc>
        <w:tc>
          <w:tcPr>
            <w:tcW w:w="660" w:type="dxa"/>
            <w:vAlign w:val="bottom"/>
            <w:shd w:val="clear" w:color="auto" w:fill="CDDAE6"/>
          </w:tcPr>
          <w:p>
            <w:pPr>
              <w:spacing w:after="0"/>
              <w:rPr>
                <w:sz w:val="18"/>
                <w:szCs w:val="18"/>
                <w:color w:val="auto"/>
              </w:rPr>
            </w:pP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787,487</w:t>
            </w:r>
          </w:p>
        </w:tc>
      </w:tr>
      <w:tr>
        <w:trPr>
          <w:trHeight w:val="216"/>
        </w:trPr>
        <w:tc>
          <w:tcPr>
            <w:tcW w:w="1500" w:type="dxa"/>
            <w:vAlign w:val="bottom"/>
            <w:shd w:val="clear" w:color="auto" w:fill="CDDAE6"/>
          </w:tcPr>
          <w:p>
            <w:pPr>
              <w:spacing w:after="0"/>
              <w:rPr>
                <w:sz w:val="18"/>
                <w:szCs w:val="18"/>
                <w:color w:val="auto"/>
              </w:rPr>
            </w:pPr>
          </w:p>
        </w:tc>
        <w:tc>
          <w:tcPr>
            <w:tcW w:w="660" w:type="dxa"/>
            <w:vAlign w:val="bottom"/>
            <w:shd w:val="clear" w:color="auto" w:fill="CDDAE6"/>
          </w:tcPr>
          <w:p>
            <w:pPr>
              <w:ind w:left="20"/>
              <w:spacing w:after="0" w:line="216" w:lineRule="exact"/>
              <w:rPr>
                <w:sz w:val="20"/>
                <w:szCs w:val="20"/>
                <w:color w:val="auto"/>
              </w:rPr>
            </w:pPr>
            <w:r>
              <w:rPr>
                <w:rFonts w:ascii="Arial" w:cs="Arial" w:eastAsia="Arial" w:hAnsi="Arial"/>
                <w:sz w:val="15"/>
                <w:szCs w:val="15"/>
                <w:color w:val="auto"/>
                <w:w w:val="95"/>
              </w:rPr>
              <w:t>Option</w:t>
            </w:r>
            <w:r>
              <w:rPr>
                <w:rFonts w:ascii="Arial" w:cs="Arial" w:eastAsia="Arial" w:hAnsi="Arial"/>
                <w:sz w:val="25"/>
                <w:szCs w:val="25"/>
                <w:color w:val="auto"/>
                <w:w w:val="95"/>
                <w:vertAlign w:val="superscript"/>
              </w:rPr>
              <w:t>(5)</w:t>
            </w:r>
          </w:p>
        </w:tc>
        <w:tc>
          <w:tcPr>
            <w:tcW w:w="660" w:type="dxa"/>
            <w:vAlign w:val="bottom"/>
            <w:gridSpan w:val="2"/>
            <w:shd w:val="clear" w:color="auto" w:fill="CDDAE6"/>
          </w:tcPr>
          <w:p>
            <w:pPr>
              <w:jc w:val="right"/>
              <w:ind w:right="120"/>
              <w:spacing w:after="0"/>
              <w:rPr>
                <w:sz w:val="20"/>
                <w:szCs w:val="20"/>
                <w:color w:val="auto"/>
              </w:rPr>
            </w:pPr>
            <w:r>
              <w:rPr>
                <w:rFonts w:ascii="Arial" w:cs="Arial" w:eastAsia="Arial" w:hAnsi="Arial"/>
                <w:sz w:val="15"/>
                <w:szCs w:val="15"/>
                <w:color w:val="auto"/>
              </w:rPr>
              <w:t>2/16/16</w:t>
            </w:r>
          </w:p>
        </w:tc>
        <w:tc>
          <w:tcPr>
            <w:tcW w:w="700" w:type="dxa"/>
            <w:vAlign w:val="bottom"/>
            <w:shd w:val="clear" w:color="auto" w:fill="CDDAE6"/>
          </w:tcPr>
          <w:p>
            <w:pPr>
              <w:spacing w:after="0"/>
              <w:rPr>
                <w:sz w:val="18"/>
                <w:szCs w:val="18"/>
                <w:color w:val="auto"/>
              </w:rPr>
            </w:pPr>
          </w:p>
        </w:tc>
        <w:tc>
          <w:tcPr>
            <w:tcW w:w="840" w:type="dxa"/>
            <w:vAlign w:val="bottom"/>
            <w:shd w:val="clear" w:color="auto" w:fill="CDDAE6"/>
          </w:tcPr>
          <w:p>
            <w:pPr>
              <w:spacing w:after="0"/>
              <w:rPr>
                <w:sz w:val="18"/>
                <w:szCs w:val="18"/>
                <w:color w:val="auto"/>
              </w:rPr>
            </w:pPr>
          </w:p>
        </w:tc>
        <w:tc>
          <w:tcPr>
            <w:tcW w:w="1500" w:type="dxa"/>
            <w:vAlign w:val="bottom"/>
            <w:shd w:val="clear" w:color="auto" w:fill="CDDAE6"/>
          </w:tcPr>
          <w:p>
            <w:pPr>
              <w:spacing w:after="0"/>
              <w:rPr>
                <w:sz w:val="18"/>
                <w:szCs w:val="18"/>
                <w:color w:val="auto"/>
              </w:rPr>
            </w:pPr>
          </w:p>
        </w:tc>
        <w:tc>
          <w:tcPr>
            <w:tcW w:w="740" w:type="dxa"/>
            <w:vAlign w:val="bottom"/>
            <w:shd w:val="clear" w:color="auto" w:fill="CDDAE6"/>
          </w:tcPr>
          <w:p>
            <w:pPr>
              <w:spacing w:after="0"/>
              <w:rPr>
                <w:sz w:val="18"/>
                <w:szCs w:val="18"/>
                <w:color w:val="auto"/>
              </w:rPr>
            </w:pPr>
          </w:p>
        </w:tc>
        <w:tc>
          <w:tcPr>
            <w:tcW w:w="1540" w:type="dxa"/>
            <w:vAlign w:val="bottom"/>
            <w:shd w:val="clear" w:color="auto" w:fill="CDDAE6"/>
          </w:tcPr>
          <w:p>
            <w:pPr>
              <w:jc w:val="right"/>
              <w:ind w:right="83"/>
              <w:spacing w:after="0"/>
              <w:rPr>
                <w:sz w:val="20"/>
                <w:szCs w:val="20"/>
                <w:color w:val="auto"/>
              </w:rPr>
            </w:pPr>
            <w:r>
              <w:rPr>
                <w:rFonts w:ascii="Arial" w:cs="Arial" w:eastAsia="Arial" w:hAnsi="Arial"/>
                <w:sz w:val="15"/>
                <w:szCs w:val="15"/>
                <w:color w:val="auto"/>
              </w:rPr>
              <w:t>48,077</w:t>
            </w:r>
          </w:p>
        </w:tc>
        <w:tc>
          <w:tcPr>
            <w:tcW w:w="660" w:type="dxa"/>
            <w:vAlign w:val="bottom"/>
            <w:shd w:val="clear" w:color="auto" w:fill="CDDAE6"/>
          </w:tcPr>
          <w:p>
            <w:pPr>
              <w:jc w:val="right"/>
              <w:ind w:right="23"/>
              <w:spacing w:after="0"/>
              <w:rPr>
                <w:sz w:val="20"/>
                <w:szCs w:val="20"/>
                <w:color w:val="auto"/>
              </w:rPr>
            </w:pPr>
            <w:r>
              <w:rPr>
                <w:rFonts w:ascii="Arial" w:cs="Arial" w:eastAsia="Arial" w:hAnsi="Arial"/>
                <w:sz w:val="15"/>
                <w:szCs w:val="15"/>
                <w:color w:val="auto"/>
              </w:rPr>
              <w:t>116.20</w:t>
            </w: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787,501</w:t>
            </w:r>
          </w:p>
        </w:tc>
      </w:tr>
      <w:tr>
        <w:trPr>
          <w:trHeight w:val="216"/>
        </w:trPr>
        <w:tc>
          <w:tcPr>
            <w:tcW w:w="1500" w:type="dxa"/>
            <w:vAlign w:val="bottom"/>
          </w:tcPr>
          <w:p>
            <w:pPr>
              <w:ind w:left="20"/>
              <w:spacing w:after="0"/>
              <w:rPr>
                <w:sz w:val="20"/>
                <w:szCs w:val="20"/>
                <w:color w:val="auto"/>
              </w:rPr>
            </w:pPr>
            <w:r>
              <w:rPr>
                <w:rFonts w:ascii="Arial" w:cs="Arial" w:eastAsia="Arial" w:hAnsi="Arial"/>
                <w:sz w:val="15"/>
                <w:szCs w:val="15"/>
                <w:color w:val="auto"/>
              </w:rPr>
              <w:t>Curtis Brunson</w:t>
            </w:r>
          </w:p>
        </w:tc>
        <w:tc>
          <w:tcPr>
            <w:tcW w:w="660" w:type="dxa"/>
            <w:vAlign w:val="bottom"/>
          </w:tcPr>
          <w:p>
            <w:pPr>
              <w:ind w:left="20"/>
              <w:spacing w:after="0" w:line="216" w:lineRule="exact"/>
              <w:rPr>
                <w:sz w:val="20"/>
                <w:szCs w:val="20"/>
                <w:color w:val="auto"/>
              </w:rPr>
            </w:pPr>
            <w:r>
              <w:rPr>
                <w:rFonts w:ascii="Arial" w:cs="Arial" w:eastAsia="Arial" w:hAnsi="Arial"/>
                <w:sz w:val="15"/>
                <w:szCs w:val="15"/>
                <w:color w:val="auto"/>
              </w:rPr>
              <w:t>AIP</w:t>
            </w:r>
            <w:r>
              <w:rPr>
                <w:rFonts w:ascii="Arial" w:cs="Arial" w:eastAsia="Arial" w:hAnsi="Arial"/>
                <w:sz w:val="25"/>
                <w:szCs w:val="25"/>
                <w:color w:val="auto"/>
                <w:vertAlign w:val="superscript"/>
              </w:rPr>
              <w:t>(1)</w:t>
            </w: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2/16/16</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615,150</w:t>
            </w:r>
          </w:p>
        </w:tc>
        <w:tc>
          <w:tcPr>
            <w:tcW w:w="1500" w:type="dxa"/>
            <w:vAlign w:val="bottom"/>
          </w:tcPr>
          <w:p>
            <w:pPr>
              <w:jc w:val="right"/>
              <w:ind w:right="703"/>
              <w:spacing w:after="0"/>
              <w:rPr>
                <w:sz w:val="20"/>
                <w:szCs w:val="20"/>
                <w:color w:val="auto"/>
              </w:rPr>
            </w:pPr>
            <w:r>
              <w:rPr>
                <w:rFonts w:ascii="Arial" w:cs="Arial" w:eastAsia="Arial" w:hAnsi="Arial"/>
                <w:sz w:val="15"/>
                <w:szCs w:val="15"/>
                <w:color w:val="auto"/>
              </w:rPr>
              <w:t>1,230,300</w:t>
            </w:r>
          </w:p>
        </w:tc>
        <w:tc>
          <w:tcPr>
            <w:tcW w:w="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500" w:type="dxa"/>
            <w:vAlign w:val="bottom"/>
            <w:shd w:val="clear" w:color="auto" w:fill="CDDAE6"/>
          </w:tcPr>
          <w:p>
            <w:pPr>
              <w:spacing w:after="0"/>
              <w:rPr>
                <w:sz w:val="18"/>
                <w:szCs w:val="18"/>
                <w:color w:val="auto"/>
              </w:rPr>
            </w:pPr>
          </w:p>
        </w:tc>
        <w:tc>
          <w:tcPr>
            <w:tcW w:w="660" w:type="dxa"/>
            <w:vAlign w:val="bottom"/>
            <w:shd w:val="clear" w:color="auto" w:fill="CDDAE6"/>
          </w:tcPr>
          <w:p>
            <w:pPr>
              <w:ind w:left="20"/>
              <w:spacing w:after="0" w:line="216" w:lineRule="exact"/>
              <w:rPr>
                <w:sz w:val="20"/>
                <w:szCs w:val="20"/>
                <w:color w:val="auto"/>
              </w:rPr>
            </w:pPr>
            <w:r>
              <w:rPr>
                <w:rFonts w:ascii="Arial" w:cs="Arial" w:eastAsia="Arial" w:hAnsi="Arial"/>
                <w:sz w:val="15"/>
                <w:szCs w:val="15"/>
                <w:color w:val="auto"/>
              </w:rPr>
              <w:t>PCA</w:t>
            </w:r>
            <w:r>
              <w:rPr>
                <w:rFonts w:ascii="Arial" w:cs="Arial" w:eastAsia="Arial" w:hAnsi="Arial"/>
                <w:sz w:val="25"/>
                <w:szCs w:val="25"/>
                <w:color w:val="auto"/>
                <w:vertAlign w:val="superscript"/>
              </w:rPr>
              <w:t>(2)</w:t>
            </w:r>
          </w:p>
        </w:tc>
        <w:tc>
          <w:tcPr>
            <w:tcW w:w="660" w:type="dxa"/>
            <w:vAlign w:val="bottom"/>
            <w:gridSpan w:val="2"/>
            <w:shd w:val="clear" w:color="auto" w:fill="CDDAE6"/>
          </w:tcPr>
          <w:p>
            <w:pPr>
              <w:jc w:val="right"/>
              <w:ind w:right="120"/>
              <w:spacing w:after="0"/>
              <w:rPr>
                <w:sz w:val="20"/>
                <w:szCs w:val="20"/>
                <w:color w:val="auto"/>
              </w:rPr>
            </w:pPr>
            <w:r>
              <w:rPr>
                <w:rFonts w:ascii="Arial" w:cs="Arial" w:eastAsia="Arial" w:hAnsi="Arial"/>
                <w:sz w:val="15"/>
                <w:szCs w:val="15"/>
                <w:color w:val="auto"/>
              </w:rPr>
              <w:t>2/16/16</w:t>
            </w:r>
          </w:p>
        </w:tc>
        <w:tc>
          <w:tcPr>
            <w:tcW w:w="700" w:type="dxa"/>
            <w:vAlign w:val="bottom"/>
            <w:shd w:val="clear" w:color="auto" w:fill="CDDAE6"/>
          </w:tcPr>
          <w:p>
            <w:pPr>
              <w:jc w:val="right"/>
              <w:ind w:right="23"/>
              <w:spacing w:after="0"/>
              <w:rPr>
                <w:sz w:val="20"/>
                <w:szCs w:val="20"/>
                <w:color w:val="auto"/>
              </w:rPr>
            </w:pPr>
            <w:r>
              <w:rPr>
                <w:rFonts w:ascii="Arial" w:cs="Arial" w:eastAsia="Arial" w:hAnsi="Arial"/>
                <w:sz w:val="15"/>
                <w:szCs w:val="15"/>
                <w:color w:val="auto"/>
              </w:rPr>
              <w:t>135,000</w:t>
            </w:r>
          </w:p>
        </w:tc>
        <w:tc>
          <w:tcPr>
            <w:tcW w:w="840" w:type="dxa"/>
            <w:vAlign w:val="bottom"/>
            <w:shd w:val="clear" w:color="auto" w:fill="CDDAE6"/>
          </w:tcPr>
          <w:p>
            <w:pPr>
              <w:jc w:val="right"/>
              <w:ind w:right="23"/>
              <w:spacing w:after="0"/>
              <w:rPr>
                <w:sz w:val="20"/>
                <w:szCs w:val="20"/>
                <w:color w:val="auto"/>
              </w:rPr>
            </w:pPr>
            <w:r>
              <w:rPr>
                <w:rFonts w:ascii="Arial" w:cs="Arial" w:eastAsia="Arial" w:hAnsi="Arial"/>
                <w:sz w:val="15"/>
                <w:szCs w:val="15"/>
                <w:color w:val="auto"/>
              </w:rPr>
              <w:t>540,000</w:t>
            </w:r>
          </w:p>
        </w:tc>
        <w:tc>
          <w:tcPr>
            <w:tcW w:w="1500" w:type="dxa"/>
            <w:vAlign w:val="bottom"/>
            <w:shd w:val="clear" w:color="auto" w:fill="CDDAE6"/>
          </w:tcPr>
          <w:p>
            <w:pPr>
              <w:jc w:val="right"/>
              <w:ind w:right="703"/>
              <w:spacing w:after="0"/>
              <w:rPr>
                <w:sz w:val="20"/>
                <w:szCs w:val="20"/>
                <w:color w:val="auto"/>
              </w:rPr>
            </w:pPr>
            <w:r>
              <w:rPr>
                <w:rFonts w:ascii="Arial" w:cs="Arial" w:eastAsia="Arial" w:hAnsi="Arial"/>
                <w:sz w:val="15"/>
                <w:szCs w:val="15"/>
                <w:color w:val="auto"/>
              </w:rPr>
              <w:t>1,080,000</w:t>
            </w:r>
          </w:p>
        </w:tc>
        <w:tc>
          <w:tcPr>
            <w:tcW w:w="740" w:type="dxa"/>
            <w:vAlign w:val="bottom"/>
            <w:shd w:val="clear" w:color="auto" w:fill="CDDAE6"/>
          </w:tcPr>
          <w:p>
            <w:pPr>
              <w:spacing w:after="0"/>
              <w:rPr>
                <w:sz w:val="18"/>
                <w:szCs w:val="18"/>
                <w:color w:val="auto"/>
              </w:rPr>
            </w:pPr>
          </w:p>
        </w:tc>
        <w:tc>
          <w:tcPr>
            <w:tcW w:w="1540" w:type="dxa"/>
            <w:vAlign w:val="bottom"/>
            <w:shd w:val="clear" w:color="auto" w:fill="CDDAE6"/>
          </w:tcPr>
          <w:p>
            <w:pPr>
              <w:spacing w:after="0"/>
              <w:rPr>
                <w:sz w:val="18"/>
                <w:szCs w:val="18"/>
                <w:color w:val="auto"/>
              </w:rPr>
            </w:pPr>
          </w:p>
        </w:tc>
        <w:tc>
          <w:tcPr>
            <w:tcW w:w="660" w:type="dxa"/>
            <w:vAlign w:val="bottom"/>
            <w:shd w:val="clear" w:color="auto" w:fill="CDDAE6"/>
          </w:tcPr>
          <w:p>
            <w:pPr>
              <w:spacing w:after="0"/>
              <w:rPr>
                <w:sz w:val="18"/>
                <w:szCs w:val="18"/>
                <w:color w:val="auto"/>
              </w:rPr>
            </w:pPr>
          </w:p>
        </w:tc>
        <w:tc>
          <w:tcPr>
            <w:tcW w:w="760" w:type="dxa"/>
            <w:vAlign w:val="bottom"/>
            <w:shd w:val="clear" w:color="auto" w:fill="CDDAE6"/>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60" w:type="dxa"/>
            <w:vAlign w:val="bottom"/>
          </w:tcPr>
          <w:p>
            <w:pPr>
              <w:ind w:left="20"/>
              <w:spacing w:after="0" w:line="216" w:lineRule="exact"/>
              <w:rPr>
                <w:sz w:val="20"/>
                <w:szCs w:val="20"/>
                <w:color w:val="auto"/>
              </w:rPr>
            </w:pPr>
            <w:r>
              <w:rPr>
                <w:rFonts w:ascii="Arial" w:cs="Arial" w:eastAsia="Arial" w:hAnsi="Arial"/>
                <w:sz w:val="25"/>
                <w:szCs w:val="25"/>
                <w:color w:val="auto"/>
                <w:vertAlign w:val="subscript"/>
              </w:rPr>
              <w:t>PU</w:t>
            </w:r>
            <w:r>
              <w:rPr>
                <w:rFonts w:ascii="Arial" w:cs="Arial" w:eastAsia="Arial" w:hAnsi="Arial"/>
                <w:sz w:val="11"/>
                <w:szCs w:val="11"/>
                <w:color w:val="auto"/>
              </w:rPr>
              <w:t>(3)</w:t>
            </w: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2/16/16</w:t>
            </w: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00" w:type="dxa"/>
            <w:vAlign w:val="bottom"/>
          </w:tcPr>
          <w:p>
            <w:pPr>
              <w:jc w:val="right"/>
              <w:ind w:right="43"/>
              <w:spacing w:after="0"/>
              <w:rPr>
                <w:sz w:val="20"/>
                <w:szCs w:val="20"/>
                <w:color w:val="auto"/>
              </w:rPr>
            </w:pPr>
            <w:r>
              <w:rPr>
                <w:rFonts w:ascii="Arial" w:cs="Arial" w:eastAsia="Arial" w:hAnsi="Arial"/>
                <w:sz w:val="15"/>
                <w:szCs w:val="15"/>
                <w:color w:val="auto"/>
              </w:rPr>
              <w:t>2,324</w:t>
            </w: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4,647</w:t>
            </w:r>
          </w:p>
        </w:tc>
        <w:tc>
          <w:tcPr>
            <w:tcW w:w="1540" w:type="dxa"/>
            <w:vAlign w:val="bottom"/>
          </w:tcPr>
          <w:p>
            <w:pPr>
              <w:jc w:val="right"/>
              <w:ind w:right="863"/>
              <w:spacing w:after="0"/>
              <w:rPr>
                <w:sz w:val="20"/>
                <w:szCs w:val="20"/>
                <w:color w:val="auto"/>
              </w:rPr>
            </w:pPr>
            <w:r>
              <w:rPr>
                <w:rFonts w:ascii="Arial" w:cs="Arial" w:eastAsia="Arial" w:hAnsi="Arial"/>
                <w:sz w:val="15"/>
                <w:szCs w:val="15"/>
                <w:color w:val="auto"/>
              </w:rPr>
              <w:t>9,294</w:t>
            </w:r>
          </w:p>
        </w:tc>
        <w:tc>
          <w:tcPr>
            <w:tcW w:w="6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539,981</w:t>
            </w:r>
          </w:p>
        </w:tc>
      </w:tr>
      <w:tr>
        <w:trPr>
          <w:trHeight w:val="216"/>
        </w:trPr>
        <w:tc>
          <w:tcPr>
            <w:tcW w:w="1500" w:type="dxa"/>
            <w:vAlign w:val="bottom"/>
            <w:shd w:val="clear" w:color="auto" w:fill="CDDAE6"/>
          </w:tcPr>
          <w:p>
            <w:pPr>
              <w:spacing w:after="0"/>
              <w:rPr>
                <w:sz w:val="18"/>
                <w:szCs w:val="18"/>
                <w:color w:val="auto"/>
              </w:rPr>
            </w:pPr>
          </w:p>
        </w:tc>
        <w:tc>
          <w:tcPr>
            <w:tcW w:w="660" w:type="dxa"/>
            <w:vAlign w:val="bottom"/>
            <w:shd w:val="clear" w:color="auto" w:fill="CDDAE6"/>
          </w:tcPr>
          <w:p>
            <w:pPr>
              <w:ind w:left="20"/>
              <w:spacing w:after="0" w:line="216" w:lineRule="exact"/>
              <w:rPr>
                <w:sz w:val="20"/>
                <w:szCs w:val="20"/>
                <w:color w:val="auto"/>
              </w:rPr>
            </w:pPr>
            <w:r>
              <w:rPr>
                <w:rFonts w:ascii="Arial" w:cs="Arial" w:eastAsia="Arial" w:hAnsi="Arial"/>
                <w:sz w:val="15"/>
                <w:szCs w:val="15"/>
                <w:color w:val="auto"/>
              </w:rPr>
              <w:t>RSU</w:t>
            </w:r>
            <w:r>
              <w:rPr>
                <w:rFonts w:ascii="Arial" w:cs="Arial" w:eastAsia="Arial" w:hAnsi="Arial"/>
                <w:sz w:val="25"/>
                <w:szCs w:val="25"/>
                <w:color w:val="auto"/>
                <w:vertAlign w:val="superscript"/>
              </w:rPr>
              <w:t>(4)</w:t>
            </w:r>
          </w:p>
        </w:tc>
        <w:tc>
          <w:tcPr>
            <w:tcW w:w="660" w:type="dxa"/>
            <w:vAlign w:val="bottom"/>
            <w:gridSpan w:val="2"/>
            <w:shd w:val="clear" w:color="auto" w:fill="CDDAE6"/>
          </w:tcPr>
          <w:p>
            <w:pPr>
              <w:jc w:val="right"/>
              <w:ind w:right="120"/>
              <w:spacing w:after="0"/>
              <w:rPr>
                <w:sz w:val="20"/>
                <w:szCs w:val="20"/>
                <w:color w:val="auto"/>
              </w:rPr>
            </w:pPr>
            <w:r>
              <w:rPr>
                <w:rFonts w:ascii="Arial" w:cs="Arial" w:eastAsia="Arial" w:hAnsi="Arial"/>
                <w:sz w:val="15"/>
                <w:szCs w:val="15"/>
                <w:color w:val="auto"/>
              </w:rPr>
              <w:t>2/16/16</w:t>
            </w:r>
          </w:p>
        </w:tc>
        <w:tc>
          <w:tcPr>
            <w:tcW w:w="700" w:type="dxa"/>
            <w:vAlign w:val="bottom"/>
            <w:shd w:val="clear" w:color="auto" w:fill="CDDAE6"/>
          </w:tcPr>
          <w:p>
            <w:pPr>
              <w:spacing w:after="0"/>
              <w:rPr>
                <w:sz w:val="18"/>
                <w:szCs w:val="18"/>
                <w:color w:val="auto"/>
              </w:rPr>
            </w:pPr>
          </w:p>
        </w:tc>
        <w:tc>
          <w:tcPr>
            <w:tcW w:w="840" w:type="dxa"/>
            <w:vAlign w:val="bottom"/>
            <w:shd w:val="clear" w:color="auto" w:fill="CDDAE6"/>
          </w:tcPr>
          <w:p>
            <w:pPr>
              <w:spacing w:after="0"/>
              <w:rPr>
                <w:sz w:val="18"/>
                <w:szCs w:val="18"/>
                <w:color w:val="auto"/>
              </w:rPr>
            </w:pPr>
          </w:p>
        </w:tc>
        <w:tc>
          <w:tcPr>
            <w:tcW w:w="1500" w:type="dxa"/>
            <w:vAlign w:val="bottom"/>
            <w:shd w:val="clear" w:color="auto" w:fill="CDDAE6"/>
          </w:tcPr>
          <w:p>
            <w:pPr>
              <w:jc w:val="right"/>
              <w:ind w:right="43"/>
              <w:spacing w:after="0"/>
              <w:rPr>
                <w:sz w:val="20"/>
                <w:szCs w:val="20"/>
                <w:color w:val="auto"/>
              </w:rPr>
            </w:pPr>
            <w:r>
              <w:rPr>
                <w:rFonts w:ascii="Arial" w:cs="Arial" w:eastAsia="Arial" w:hAnsi="Arial"/>
                <w:sz w:val="15"/>
                <w:szCs w:val="15"/>
                <w:color w:val="auto"/>
              </w:rPr>
              <w:t>—</w:t>
            </w:r>
          </w:p>
        </w:tc>
        <w:tc>
          <w:tcPr>
            <w:tcW w:w="740" w:type="dxa"/>
            <w:vAlign w:val="bottom"/>
            <w:shd w:val="clear" w:color="auto" w:fill="CDDAE6"/>
          </w:tcPr>
          <w:p>
            <w:pPr>
              <w:jc w:val="right"/>
              <w:ind w:right="43"/>
              <w:spacing w:after="0"/>
              <w:rPr>
                <w:sz w:val="20"/>
                <w:szCs w:val="20"/>
                <w:color w:val="auto"/>
              </w:rPr>
            </w:pPr>
            <w:r>
              <w:rPr>
                <w:rFonts w:ascii="Arial" w:cs="Arial" w:eastAsia="Arial" w:hAnsi="Arial"/>
                <w:sz w:val="15"/>
                <w:szCs w:val="15"/>
                <w:color w:val="auto"/>
              </w:rPr>
              <w:t>6,971</w:t>
            </w:r>
          </w:p>
        </w:tc>
        <w:tc>
          <w:tcPr>
            <w:tcW w:w="1540" w:type="dxa"/>
            <w:vAlign w:val="bottom"/>
            <w:shd w:val="clear" w:color="auto" w:fill="CDDAE6"/>
          </w:tcPr>
          <w:p>
            <w:pPr>
              <w:jc w:val="right"/>
              <w:ind w:right="863"/>
              <w:spacing w:after="0"/>
              <w:rPr>
                <w:sz w:val="20"/>
                <w:szCs w:val="20"/>
                <w:color w:val="auto"/>
              </w:rPr>
            </w:pPr>
            <w:r>
              <w:rPr>
                <w:rFonts w:ascii="Arial" w:cs="Arial" w:eastAsia="Arial" w:hAnsi="Arial"/>
                <w:sz w:val="15"/>
                <w:szCs w:val="15"/>
                <w:color w:val="auto"/>
              </w:rPr>
              <w:t>6,971</w:t>
            </w:r>
          </w:p>
        </w:tc>
        <w:tc>
          <w:tcPr>
            <w:tcW w:w="660" w:type="dxa"/>
            <w:vAlign w:val="bottom"/>
            <w:shd w:val="clear" w:color="auto" w:fill="CDDAE6"/>
          </w:tcPr>
          <w:p>
            <w:pPr>
              <w:spacing w:after="0"/>
              <w:rPr>
                <w:sz w:val="18"/>
                <w:szCs w:val="18"/>
                <w:color w:val="auto"/>
              </w:rPr>
            </w:pP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810,030</w:t>
            </w:r>
          </w:p>
        </w:tc>
      </w:tr>
      <w:tr>
        <w:trPr>
          <w:trHeight w:val="216"/>
        </w:trPr>
        <w:tc>
          <w:tcPr>
            <w:tcW w:w="1500" w:type="dxa"/>
            <w:vAlign w:val="bottom"/>
          </w:tcPr>
          <w:p>
            <w:pPr>
              <w:spacing w:after="0"/>
              <w:rPr>
                <w:sz w:val="18"/>
                <w:szCs w:val="18"/>
                <w:color w:val="auto"/>
              </w:rPr>
            </w:pPr>
          </w:p>
        </w:tc>
        <w:tc>
          <w:tcPr>
            <w:tcW w:w="660" w:type="dxa"/>
            <w:vAlign w:val="bottom"/>
          </w:tcPr>
          <w:p>
            <w:pPr>
              <w:ind w:left="20"/>
              <w:spacing w:after="0" w:line="216" w:lineRule="exact"/>
              <w:rPr>
                <w:sz w:val="20"/>
                <w:szCs w:val="20"/>
                <w:color w:val="auto"/>
              </w:rPr>
            </w:pPr>
            <w:r>
              <w:rPr>
                <w:rFonts w:ascii="Arial" w:cs="Arial" w:eastAsia="Arial" w:hAnsi="Arial"/>
                <w:sz w:val="15"/>
                <w:szCs w:val="15"/>
                <w:color w:val="auto"/>
                <w:w w:val="95"/>
              </w:rPr>
              <w:t>Option</w:t>
            </w:r>
            <w:r>
              <w:rPr>
                <w:rFonts w:ascii="Arial" w:cs="Arial" w:eastAsia="Arial" w:hAnsi="Arial"/>
                <w:sz w:val="25"/>
                <w:szCs w:val="25"/>
                <w:color w:val="auto"/>
                <w:w w:val="95"/>
                <w:vertAlign w:val="superscript"/>
              </w:rPr>
              <w:t>(5)</w:t>
            </w: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2/16/16</w:t>
            </w: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tcPr>
          <w:p>
            <w:pPr>
              <w:jc w:val="right"/>
              <w:ind w:right="83"/>
              <w:spacing w:after="0"/>
              <w:rPr>
                <w:sz w:val="20"/>
                <w:szCs w:val="20"/>
                <w:color w:val="auto"/>
              </w:rPr>
            </w:pPr>
            <w:r>
              <w:rPr>
                <w:rFonts w:ascii="Arial" w:cs="Arial" w:eastAsia="Arial" w:hAnsi="Arial"/>
                <w:sz w:val="15"/>
                <w:szCs w:val="15"/>
                <w:color w:val="auto"/>
              </w:rPr>
              <w:t>49,451</w:t>
            </w: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116.20</w:t>
            </w:r>
          </w:p>
        </w:tc>
        <w:tc>
          <w:tcPr>
            <w:tcW w:w="760" w:type="dxa"/>
            <w:vAlign w:val="bottom"/>
          </w:tcPr>
          <w:p>
            <w:pPr>
              <w:jc w:val="right"/>
              <w:spacing w:after="0"/>
              <w:rPr>
                <w:sz w:val="20"/>
                <w:szCs w:val="20"/>
                <w:color w:val="auto"/>
              </w:rPr>
            </w:pPr>
            <w:r>
              <w:rPr>
                <w:rFonts w:ascii="Arial" w:cs="Arial" w:eastAsia="Arial" w:hAnsi="Arial"/>
                <w:sz w:val="15"/>
                <w:szCs w:val="15"/>
                <w:color w:val="auto"/>
              </w:rPr>
              <w:t>810,007</w:t>
            </w:r>
          </w:p>
        </w:tc>
      </w:tr>
      <w:tr>
        <w:trPr>
          <w:trHeight w:val="216"/>
        </w:trPr>
        <w:tc>
          <w:tcPr>
            <w:tcW w:w="1500" w:type="dxa"/>
            <w:vAlign w:val="bottom"/>
            <w:shd w:val="clear" w:color="auto" w:fill="CDDAE6"/>
          </w:tcPr>
          <w:p>
            <w:pPr>
              <w:ind w:left="20"/>
              <w:spacing w:after="0"/>
              <w:rPr>
                <w:sz w:val="20"/>
                <w:szCs w:val="20"/>
                <w:color w:val="auto"/>
              </w:rPr>
            </w:pPr>
            <w:r>
              <w:rPr>
                <w:rFonts w:ascii="Arial" w:cs="Arial" w:eastAsia="Arial" w:hAnsi="Arial"/>
                <w:sz w:val="15"/>
                <w:szCs w:val="15"/>
                <w:color w:val="auto"/>
              </w:rPr>
              <w:t>Steve Kantor</w:t>
            </w:r>
          </w:p>
        </w:tc>
        <w:tc>
          <w:tcPr>
            <w:tcW w:w="660" w:type="dxa"/>
            <w:vAlign w:val="bottom"/>
            <w:shd w:val="clear" w:color="auto" w:fill="CDDAE6"/>
          </w:tcPr>
          <w:p>
            <w:pPr>
              <w:ind w:left="20"/>
              <w:spacing w:after="0" w:line="216" w:lineRule="exact"/>
              <w:rPr>
                <w:sz w:val="20"/>
                <w:szCs w:val="20"/>
                <w:color w:val="auto"/>
              </w:rPr>
            </w:pPr>
            <w:r>
              <w:rPr>
                <w:rFonts w:ascii="Arial" w:cs="Arial" w:eastAsia="Arial" w:hAnsi="Arial"/>
                <w:sz w:val="15"/>
                <w:szCs w:val="15"/>
                <w:color w:val="auto"/>
              </w:rPr>
              <w:t>AIP</w:t>
            </w:r>
            <w:r>
              <w:rPr>
                <w:rFonts w:ascii="Arial" w:cs="Arial" w:eastAsia="Arial" w:hAnsi="Arial"/>
                <w:sz w:val="25"/>
                <w:szCs w:val="25"/>
                <w:color w:val="auto"/>
                <w:vertAlign w:val="superscript"/>
              </w:rPr>
              <w:t>(1)</w:t>
            </w:r>
          </w:p>
        </w:tc>
        <w:tc>
          <w:tcPr>
            <w:tcW w:w="660" w:type="dxa"/>
            <w:vAlign w:val="bottom"/>
            <w:gridSpan w:val="2"/>
            <w:shd w:val="clear" w:color="auto" w:fill="CDDAE6"/>
          </w:tcPr>
          <w:p>
            <w:pPr>
              <w:jc w:val="right"/>
              <w:ind w:right="120"/>
              <w:spacing w:after="0"/>
              <w:rPr>
                <w:sz w:val="20"/>
                <w:szCs w:val="20"/>
                <w:color w:val="auto"/>
              </w:rPr>
            </w:pPr>
            <w:r>
              <w:rPr>
                <w:rFonts w:ascii="Arial" w:cs="Arial" w:eastAsia="Arial" w:hAnsi="Arial"/>
                <w:sz w:val="15"/>
                <w:szCs w:val="15"/>
                <w:color w:val="auto"/>
              </w:rPr>
              <w:t>2/16/16</w:t>
            </w:r>
          </w:p>
        </w:tc>
        <w:tc>
          <w:tcPr>
            <w:tcW w:w="700" w:type="dxa"/>
            <w:vAlign w:val="bottom"/>
            <w:shd w:val="clear" w:color="auto" w:fill="CDDAE6"/>
          </w:tcPr>
          <w:p>
            <w:pPr>
              <w:jc w:val="right"/>
              <w:ind w:right="23"/>
              <w:spacing w:after="0"/>
              <w:rPr>
                <w:sz w:val="20"/>
                <w:szCs w:val="20"/>
                <w:color w:val="auto"/>
              </w:rPr>
            </w:pPr>
            <w:r>
              <w:rPr>
                <w:rFonts w:ascii="Arial" w:cs="Arial" w:eastAsia="Arial" w:hAnsi="Arial"/>
                <w:sz w:val="15"/>
                <w:szCs w:val="15"/>
                <w:color w:val="auto"/>
              </w:rPr>
              <w:t>—</w:t>
            </w:r>
          </w:p>
        </w:tc>
        <w:tc>
          <w:tcPr>
            <w:tcW w:w="840" w:type="dxa"/>
            <w:vAlign w:val="bottom"/>
            <w:shd w:val="clear" w:color="auto" w:fill="CDDAE6"/>
          </w:tcPr>
          <w:p>
            <w:pPr>
              <w:jc w:val="right"/>
              <w:ind w:right="23"/>
              <w:spacing w:after="0"/>
              <w:rPr>
                <w:sz w:val="20"/>
                <w:szCs w:val="20"/>
                <w:color w:val="auto"/>
              </w:rPr>
            </w:pPr>
            <w:r>
              <w:rPr>
                <w:rFonts w:ascii="Arial" w:cs="Arial" w:eastAsia="Arial" w:hAnsi="Arial"/>
                <w:sz w:val="15"/>
                <w:szCs w:val="15"/>
                <w:color w:val="auto"/>
              </w:rPr>
              <w:t>706,000</w:t>
            </w:r>
          </w:p>
        </w:tc>
        <w:tc>
          <w:tcPr>
            <w:tcW w:w="1500" w:type="dxa"/>
            <w:vAlign w:val="bottom"/>
            <w:shd w:val="clear" w:color="auto" w:fill="CDDAE6"/>
          </w:tcPr>
          <w:p>
            <w:pPr>
              <w:jc w:val="right"/>
              <w:ind w:right="703"/>
              <w:spacing w:after="0"/>
              <w:rPr>
                <w:sz w:val="20"/>
                <w:szCs w:val="20"/>
                <w:color w:val="auto"/>
              </w:rPr>
            </w:pPr>
            <w:r>
              <w:rPr>
                <w:rFonts w:ascii="Arial" w:cs="Arial" w:eastAsia="Arial" w:hAnsi="Arial"/>
                <w:sz w:val="15"/>
                <w:szCs w:val="15"/>
                <w:color w:val="auto"/>
              </w:rPr>
              <w:t>1,588,500</w:t>
            </w:r>
          </w:p>
        </w:tc>
        <w:tc>
          <w:tcPr>
            <w:tcW w:w="740" w:type="dxa"/>
            <w:vAlign w:val="bottom"/>
            <w:shd w:val="clear" w:color="auto" w:fill="CDDAE6"/>
          </w:tcPr>
          <w:p>
            <w:pPr>
              <w:spacing w:after="0"/>
              <w:rPr>
                <w:sz w:val="18"/>
                <w:szCs w:val="18"/>
                <w:color w:val="auto"/>
              </w:rPr>
            </w:pPr>
          </w:p>
        </w:tc>
        <w:tc>
          <w:tcPr>
            <w:tcW w:w="1540" w:type="dxa"/>
            <w:vAlign w:val="bottom"/>
            <w:shd w:val="clear" w:color="auto" w:fill="CDDAE6"/>
          </w:tcPr>
          <w:p>
            <w:pPr>
              <w:spacing w:after="0"/>
              <w:rPr>
                <w:sz w:val="18"/>
                <w:szCs w:val="18"/>
                <w:color w:val="auto"/>
              </w:rPr>
            </w:pPr>
          </w:p>
        </w:tc>
        <w:tc>
          <w:tcPr>
            <w:tcW w:w="660" w:type="dxa"/>
            <w:vAlign w:val="bottom"/>
            <w:shd w:val="clear" w:color="auto" w:fill="CDDAE6"/>
          </w:tcPr>
          <w:p>
            <w:pPr>
              <w:spacing w:after="0"/>
              <w:rPr>
                <w:sz w:val="18"/>
                <w:szCs w:val="18"/>
                <w:color w:val="auto"/>
              </w:rPr>
            </w:pPr>
          </w:p>
        </w:tc>
        <w:tc>
          <w:tcPr>
            <w:tcW w:w="760" w:type="dxa"/>
            <w:vAlign w:val="bottom"/>
            <w:shd w:val="clear" w:color="auto" w:fill="CDDAE6"/>
          </w:tcPr>
          <w:p>
            <w:pPr>
              <w:spacing w:after="0"/>
              <w:rPr>
                <w:sz w:val="18"/>
                <w:szCs w:val="18"/>
                <w:color w:val="auto"/>
              </w:rPr>
            </w:pPr>
          </w:p>
        </w:tc>
      </w:tr>
      <w:tr>
        <w:trPr>
          <w:trHeight w:val="216"/>
        </w:trPr>
        <w:tc>
          <w:tcPr>
            <w:tcW w:w="1500" w:type="dxa"/>
            <w:vAlign w:val="bottom"/>
            <w:shd w:val="clear" w:color="auto" w:fill="CDDAE6"/>
          </w:tcPr>
          <w:p>
            <w:pPr>
              <w:spacing w:after="0"/>
              <w:rPr>
                <w:sz w:val="18"/>
                <w:szCs w:val="18"/>
                <w:color w:val="auto"/>
              </w:rPr>
            </w:pPr>
          </w:p>
        </w:tc>
        <w:tc>
          <w:tcPr>
            <w:tcW w:w="660" w:type="dxa"/>
            <w:vAlign w:val="bottom"/>
            <w:shd w:val="clear" w:color="auto" w:fill="CDDAE6"/>
          </w:tcPr>
          <w:p>
            <w:pPr>
              <w:ind w:left="20"/>
              <w:spacing w:after="0" w:line="216" w:lineRule="exact"/>
              <w:rPr>
                <w:sz w:val="20"/>
                <w:szCs w:val="20"/>
                <w:color w:val="auto"/>
              </w:rPr>
            </w:pPr>
            <w:r>
              <w:rPr>
                <w:rFonts w:ascii="Arial" w:cs="Arial" w:eastAsia="Arial" w:hAnsi="Arial"/>
                <w:sz w:val="25"/>
                <w:szCs w:val="25"/>
                <w:color w:val="auto"/>
                <w:vertAlign w:val="subscript"/>
              </w:rPr>
              <w:t>PCA</w:t>
            </w:r>
            <w:r>
              <w:rPr>
                <w:rFonts w:ascii="Arial" w:cs="Arial" w:eastAsia="Arial" w:hAnsi="Arial"/>
                <w:sz w:val="11"/>
                <w:szCs w:val="11"/>
                <w:color w:val="auto"/>
              </w:rPr>
              <w:t>(2)</w:t>
            </w:r>
          </w:p>
        </w:tc>
        <w:tc>
          <w:tcPr>
            <w:tcW w:w="660" w:type="dxa"/>
            <w:vAlign w:val="bottom"/>
            <w:gridSpan w:val="2"/>
            <w:shd w:val="clear" w:color="auto" w:fill="CDDAE6"/>
          </w:tcPr>
          <w:p>
            <w:pPr>
              <w:jc w:val="right"/>
              <w:ind w:right="120"/>
              <w:spacing w:after="0"/>
              <w:rPr>
                <w:sz w:val="20"/>
                <w:szCs w:val="20"/>
                <w:color w:val="auto"/>
              </w:rPr>
            </w:pPr>
            <w:r>
              <w:rPr>
                <w:rFonts w:ascii="Arial" w:cs="Arial" w:eastAsia="Arial" w:hAnsi="Arial"/>
                <w:sz w:val="15"/>
                <w:szCs w:val="15"/>
                <w:color w:val="auto"/>
              </w:rPr>
              <w:t>2/16/16</w:t>
            </w:r>
          </w:p>
        </w:tc>
        <w:tc>
          <w:tcPr>
            <w:tcW w:w="700" w:type="dxa"/>
            <w:vAlign w:val="bottom"/>
            <w:shd w:val="clear" w:color="auto" w:fill="CDDAE6"/>
          </w:tcPr>
          <w:p>
            <w:pPr>
              <w:jc w:val="right"/>
              <w:ind w:right="23"/>
              <w:spacing w:after="0"/>
              <w:rPr>
                <w:sz w:val="20"/>
                <w:szCs w:val="20"/>
                <w:color w:val="auto"/>
              </w:rPr>
            </w:pPr>
            <w:r>
              <w:rPr>
                <w:rFonts w:ascii="Arial" w:cs="Arial" w:eastAsia="Arial" w:hAnsi="Arial"/>
                <w:sz w:val="15"/>
                <w:szCs w:val="15"/>
                <w:color w:val="auto"/>
              </w:rPr>
              <w:t>82,500</w:t>
            </w:r>
          </w:p>
        </w:tc>
        <w:tc>
          <w:tcPr>
            <w:tcW w:w="840" w:type="dxa"/>
            <w:vAlign w:val="bottom"/>
            <w:shd w:val="clear" w:color="auto" w:fill="CDDAE6"/>
          </w:tcPr>
          <w:p>
            <w:pPr>
              <w:jc w:val="right"/>
              <w:ind w:right="23"/>
              <w:spacing w:after="0"/>
              <w:rPr>
                <w:sz w:val="20"/>
                <w:szCs w:val="20"/>
                <w:color w:val="auto"/>
              </w:rPr>
            </w:pPr>
            <w:r>
              <w:rPr>
                <w:rFonts w:ascii="Arial" w:cs="Arial" w:eastAsia="Arial" w:hAnsi="Arial"/>
                <w:sz w:val="15"/>
                <w:szCs w:val="15"/>
                <w:color w:val="auto"/>
              </w:rPr>
              <w:t>330,000</w:t>
            </w:r>
          </w:p>
        </w:tc>
        <w:tc>
          <w:tcPr>
            <w:tcW w:w="1500" w:type="dxa"/>
            <w:vAlign w:val="bottom"/>
            <w:shd w:val="clear" w:color="auto" w:fill="CDDAE6"/>
          </w:tcPr>
          <w:p>
            <w:pPr>
              <w:jc w:val="right"/>
              <w:ind w:right="703"/>
              <w:spacing w:after="0"/>
              <w:rPr>
                <w:sz w:val="20"/>
                <w:szCs w:val="20"/>
                <w:color w:val="auto"/>
              </w:rPr>
            </w:pPr>
            <w:r>
              <w:rPr>
                <w:rFonts w:ascii="Arial" w:cs="Arial" w:eastAsia="Arial" w:hAnsi="Arial"/>
                <w:sz w:val="15"/>
                <w:szCs w:val="15"/>
                <w:color w:val="auto"/>
              </w:rPr>
              <w:t>660,000</w:t>
            </w:r>
          </w:p>
        </w:tc>
        <w:tc>
          <w:tcPr>
            <w:tcW w:w="740" w:type="dxa"/>
            <w:vAlign w:val="bottom"/>
            <w:shd w:val="clear" w:color="auto" w:fill="CDDAE6"/>
          </w:tcPr>
          <w:p>
            <w:pPr>
              <w:spacing w:after="0"/>
              <w:rPr>
                <w:sz w:val="18"/>
                <w:szCs w:val="18"/>
                <w:color w:val="auto"/>
              </w:rPr>
            </w:pPr>
          </w:p>
        </w:tc>
        <w:tc>
          <w:tcPr>
            <w:tcW w:w="1540" w:type="dxa"/>
            <w:vAlign w:val="bottom"/>
            <w:shd w:val="clear" w:color="auto" w:fill="CDDAE6"/>
          </w:tcPr>
          <w:p>
            <w:pPr>
              <w:spacing w:after="0"/>
              <w:rPr>
                <w:sz w:val="18"/>
                <w:szCs w:val="18"/>
                <w:color w:val="auto"/>
              </w:rPr>
            </w:pPr>
          </w:p>
        </w:tc>
        <w:tc>
          <w:tcPr>
            <w:tcW w:w="660" w:type="dxa"/>
            <w:vAlign w:val="bottom"/>
            <w:shd w:val="clear" w:color="auto" w:fill="CDDAE6"/>
          </w:tcPr>
          <w:p>
            <w:pPr>
              <w:spacing w:after="0"/>
              <w:rPr>
                <w:sz w:val="18"/>
                <w:szCs w:val="18"/>
                <w:color w:val="auto"/>
              </w:rPr>
            </w:pPr>
          </w:p>
        </w:tc>
        <w:tc>
          <w:tcPr>
            <w:tcW w:w="760" w:type="dxa"/>
            <w:vAlign w:val="bottom"/>
            <w:shd w:val="clear" w:color="auto" w:fill="CDDAE6"/>
          </w:tcPr>
          <w:p>
            <w:pPr>
              <w:spacing w:after="0"/>
              <w:rPr>
                <w:sz w:val="18"/>
                <w:szCs w:val="18"/>
                <w:color w:val="auto"/>
              </w:rPr>
            </w:pPr>
          </w:p>
        </w:tc>
      </w:tr>
      <w:tr>
        <w:trPr>
          <w:trHeight w:val="216"/>
        </w:trPr>
        <w:tc>
          <w:tcPr>
            <w:tcW w:w="1500" w:type="dxa"/>
            <w:vAlign w:val="bottom"/>
            <w:shd w:val="clear" w:color="auto" w:fill="CDDAE6"/>
          </w:tcPr>
          <w:p>
            <w:pPr>
              <w:spacing w:after="0"/>
              <w:rPr>
                <w:sz w:val="18"/>
                <w:szCs w:val="18"/>
                <w:color w:val="auto"/>
              </w:rPr>
            </w:pPr>
          </w:p>
        </w:tc>
        <w:tc>
          <w:tcPr>
            <w:tcW w:w="660" w:type="dxa"/>
            <w:vAlign w:val="bottom"/>
            <w:shd w:val="clear" w:color="auto" w:fill="CDDAE6"/>
          </w:tcPr>
          <w:p>
            <w:pPr>
              <w:ind w:left="20"/>
              <w:spacing w:after="0" w:line="216" w:lineRule="exact"/>
              <w:rPr>
                <w:sz w:val="20"/>
                <w:szCs w:val="20"/>
                <w:color w:val="auto"/>
              </w:rPr>
            </w:pPr>
            <w:r>
              <w:rPr>
                <w:rFonts w:ascii="Arial" w:cs="Arial" w:eastAsia="Arial" w:hAnsi="Arial"/>
                <w:sz w:val="25"/>
                <w:szCs w:val="25"/>
                <w:color w:val="auto"/>
                <w:vertAlign w:val="subscript"/>
              </w:rPr>
              <w:t>PU</w:t>
            </w:r>
            <w:r>
              <w:rPr>
                <w:rFonts w:ascii="Arial" w:cs="Arial" w:eastAsia="Arial" w:hAnsi="Arial"/>
                <w:sz w:val="11"/>
                <w:szCs w:val="11"/>
                <w:color w:val="auto"/>
              </w:rPr>
              <w:t>(3)</w:t>
            </w:r>
          </w:p>
        </w:tc>
        <w:tc>
          <w:tcPr>
            <w:tcW w:w="660" w:type="dxa"/>
            <w:vAlign w:val="bottom"/>
            <w:gridSpan w:val="2"/>
            <w:shd w:val="clear" w:color="auto" w:fill="CDDAE6"/>
          </w:tcPr>
          <w:p>
            <w:pPr>
              <w:jc w:val="right"/>
              <w:ind w:right="120"/>
              <w:spacing w:after="0"/>
              <w:rPr>
                <w:sz w:val="20"/>
                <w:szCs w:val="20"/>
                <w:color w:val="auto"/>
              </w:rPr>
            </w:pPr>
            <w:r>
              <w:rPr>
                <w:rFonts w:ascii="Arial" w:cs="Arial" w:eastAsia="Arial" w:hAnsi="Arial"/>
                <w:sz w:val="15"/>
                <w:szCs w:val="15"/>
                <w:color w:val="auto"/>
              </w:rPr>
              <w:t>2/16/16</w:t>
            </w:r>
          </w:p>
        </w:tc>
        <w:tc>
          <w:tcPr>
            <w:tcW w:w="700" w:type="dxa"/>
            <w:vAlign w:val="bottom"/>
            <w:shd w:val="clear" w:color="auto" w:fill="CDDAE6"/>
          </w:tcPr>
          <w:p>
            <w:pPr>
              <w:spacing w:after="0"/>
              <w:rPr>
                <w:sz w:val="18"/>
                <w:szCs w:val="18"/>
                <w:color w:val="auto"/>
              </w:rPr>
            </w:pPr>
          </w:p>
        </w:tc>
        <w:tc>
          <w:tcPr>
            <w:tcW w:w="840" w:type="dxa"/>
            <w:vAlign w:val="bottom"/>
            <w:shd w:val="clear" w:color="auto" w:fill="CDDAE6"/>
          </w:tcPr>
          <w:p>
            <w:pPr>
              <w:spacing w:after="0"/>
              <w:rPr>
                <w:sz w:val="18"/>
                <w:szCs w:val="18"/>
                <w:color w:val="auto"/>
              </w:rPr>
            </w:pPr>
          </w:p>
        </w:tc>
        <w:tc>
          <w:tcPr>
            <w:tcW w:w="1500" w:type="dxa"/>
            <w:vAlign w:val="bottom"/>
            <w:shd w:val="clear" w:color="auto" w:fill="CDDAE6"/>
          </w:tcPr>
          <w:p>
            <w:pPr>
              <w:jc w:val="right"/>
              <w:ind w:right="43"/>
              <w:spacing w:after="0"/>
              <w:rPr>
                <w:sz w:val="20"/>
                <w:szCs w:val="20"/>
                <w:color w:val="auto"/>
              </w:rPr>
            </w:pPr>
            <w:r>
              <w:rPr>
                <w:rFonts w:ascii="Arial" w:cs="Arial" w:eastAsia="Arial" w:hAnsi="Arial"/>
                <w:sz w:val="15"/>
                <w:szCs w:val="15"/>
                <w:color w:val="auto"/>
              </w:rPr>
              <w:t>1,420</w:t>
            </w:r>
          </w:p>
        </w:tc>
        <w:tc>
          <w:tcPr>
            <w:tcW w:w="740" w:type="dxa"/>
            <w:vAlign w:val="bottom"/>
            <w:shd w:val="clear" w:color="auto" w:fill="CDDAE6"/>
          </w:tcPr>
          <w:p>
            <w:pPr>
              <w:jc w:val="right"/>
              <w:ind w:right="43"/>
              <w:spacing w:after="0"/>
              <w:rPr>
                <w:sz w:val="20"/>
                <w:szCs w:val="20"/>
                <w:color w:val="auto"/>
              </w:rPr>
            </w:pPr>
            <w:r>
              <w:rPr>
                <w:rFonts w:ascii="Arial" w:cs="Arial" w:eastAsia="Arial" w:hAnsi="Arial"/>
                <w:sz w:val="15"/>
                <w:szCs w:val="15"/>
                <w:color w:val="auto"/>
              </w:rPr>
              <w:t>2,840</w:t>
            </w:r>
          </w:p>
        </w:tc>
        <w:tc>
          <w:tcPr>
            <w:tcW w:w="1540" w:type="dxa"/>
            <w:vAlign w:val="bottom"/>
            <w:shd w:val="clear" w:color="auto" w:fill="CDDAE6"/>
          </w:tcPr>
          <w:p>
            <w:pPr>
              <w:jc w:val="right"/>
              <w:ind w:right="863"/>
              <w:spacing w:after="0"/>
              <w:rPr>
                <w:sz w:val="20"/>
                <w:szCs w:val="20"/>
                <w:color w:val="auto"/>
              </w:rPr>
            </w:pPr>
            <w:r>
              <w:rPr>
                <w:rFonts w:ascii="Arial" w:cs="Arial" w:eastAsia="Arial" w:hAnsi="Arial"/>
                <w:sz w:val="15"/>
                <w:szCs w:val="15"/>
                <w:color w:val="auto"/>
              </w:rPr>
              <w:t>5,680</w:t>
            </w:r>
          </w:p>
        </w:tc>
        <w:tc>
          <w:tcPr>
            <w:tcW w:w="660" w:type="dxa"/>
            <w:vAlign w:val="bottom"/>
            <w:shd w:val="clear" w:color="auto" w:fill="CDDAE6"/>
          </w:tcPr>
          <w:p>
            <w:pPr>
              <w:spacing w:after="0"/>
              <w:rPr>
                <w:sz w:val="18"/>
                <w:szCs w:val="18"/>
                <w:color w:val="auto"/>
              </w:rPr>
            </w:pP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330,008</w:t>
            </w:r>
          </w:p>
        </w:tc>
      </w:tr>
      <w:tr>
        <w:trPr>
          <w:trHeight w:val="216"/>
        </w:trPr>
        <w:tc>
          <w:tcPr>
            <w:tcW w:w="1500" w:type="dxa"/>
            <w:vAlign w:val="bottom"/>
            <w:shd w:val="clear" w:color="auto" w:fill="CDDAE6"/>
          </w:tcPr>
          <w:p>
            <w:pPr>
              <w:spacing w:after="0"/>
              <w:rPr>
                <w:sz w:val="18"/>
                <w:szCs w:val="18"/>
                <w:color w:val="auto"/>
              </w:rPr>
            </w:pPr>
          </w:p>
        </w:tc>
        <w:tc>
          <w:tcPr>
            <w:tcW w:w="660" w:type="dxa"/>
            <w:vAlign w:val="bottom"/>
            <w:shd w:val="clear" w:color="auto" w:fill="CDDAE6"/>
          </w:tcPr>
          <w:p>
            <w:pPr>
              <w:ind w:left="20"/>
              <w:spacing w:after="0" w:line="216" w:lineRule="exact"/>
              <w:rPr>
                <w:sz w:val="20"/>
                <w:szCs w:val="20"/>
                <w:color w:val="auto"/>
              </w:rPr>
            </w:pPr>
            <w:r>
              <w:rPr>
                <w:rFonts w:ascii="Arial" w:cs="Arial" w:eastAsia="Arial" w:hAnsi="Arial"/>
                <w:sz w:val="15"/>
                <w:szCs w:val="15"/>
                <w:color w:val="auto"/>
              </w:rPr>
              <w:t>RSU</w:t>
            </w:r>
            <w:r>
              <w:rPr>
                <w:rFonts w:ascii="Arial" w:cs="Arial" w:eastAsia="Arial" w:hAnsi="Arial"/>
                <w:sz w:val="25"/>
                <w:szCs w:val="25"/>
                <w:color w:val="auto"/>
                <w:vertAlign w:val="superscript"/>
              </w:rPr>
              <w:t>(4)</w:t>
            </w:r>
          </w:p>
        </w:tc>
        <w:tc>
          <w:tcPr>
            <w:tcW w:w="660" w:type="dxa"/>
            <w:vAlign w:val="bottom"/>
            <w:gridSpan w:val="2"/>
            <w:shd w:val="clear" w:color="auto" w:fill="CDDAE6"/>
          </w:tcPr>
          <w:p>
            <w:pPr>
              <w:jc w:val="right"/>
              <w:ind w:right="120"/>
              <w:spacing w:after="0"/>
              <w:rPr>
                <w:sz w:val="20"/>
                <w:szCs w:val="20"/>
                <w:color w:val="auto"/>
              </w:rPr>
            </w:pPr>
            <w:r>
              <w:rPr>
                <w:rFonts w:ascii="Arial" w:cs="Arial" w:eastAsia="Arial" w:hAnsi="Arial"/>
                <w:sz w:val="15"/>
                <w:szCs w:val="15"/>
                <w:color w:val="auto"/>
              </w:rPr>
              <w:t>2/16/16</w:t>
            </w:r>
          </w:p>
        </w:tc>
        <w:tc>
          <w:tcPr>
            <w:tcW w:w="700" w:type="dxa"/>
            <w:vAlign w:val="bottom"/>
            <w:shd w:val="clear" w:color="auto" w:fill="CDDAE6"/>
          </w:tcPr>
          <w:p>
            <w:pPr>
              <w:spacing w:after="0"/>
              <w:rPr>
                <w:sz w:val="18"/>
                <w:szCs w:val="18"/>
                <w:color w:val="auto"/>
              </w:rPr>
            </w:pPr>
          </w:p>
        </w:tc>
        <w:tc>
          <w:tcPr>
            <w:tcW w:w="840" w:type="dxa"/>
            <w:vAlign w:val="bottom"/>
            <w:shd w:val="clear" w:color="auto" w:fill="CDDAE6"/>
          </w:tcPr>
          <w:p>
            <w:pPr>
              <w:spacing w:after="0"/>
              <w:rPr>
                <w:sz w:val="18"/>
                <w:szCs w:val="18"/>
                <w:color w:val="auto"/>
              </w:rPr>
            </w:pPr>
          </w:p>
        </w:tc>
        <w:tc>
          <w:tcPr>
            <w:tcW w:w="1500" w:type="dxa"/>
            <w:vAlign w:val="bottom"/>
            <w:shd w:val="clear" w:color="auto" w:fill="CDDAE6"/>
          </w:tcPr>
          <w:p>
            <w:pPr>
              <w:jc w:val="right"/>
              <w:ind w:right="43"/>
              <w:spacing w:after="0"/>
              <w:rPr>
                <w:sz w:val="20"/>
                <w:szCs w:val="20"/>
                <w:color w:val="auto"/>
              </w:rPr>
            </w:pPr>
            <w:r>
              <w:rPr>
                <w:rFonts w:ascii="Arial" w:cs="Arial" w:eastAsia="Arial" w:hAnsi="Arial"/>
                <w:sz w:val="15"/>
                <w:szCs w:val="15"/>
                <w:color w:val="auto"/>
              </w:rPr>
              <w:t>—</w:t>
            </w:r>
          </w:p>
        </w:tc>
        <w:tc>
          <w:tcPr>
            <w:tcW w:w="740" w:type="dxa"/>
            <w:vAlign w:val="bottom"/>
            <w:shd w:val="clear" w:color="auto" w:fill="CDDAE6"/>
          </w:tcPr>
          <w:p>
            <w:pPr>
              <w:jc w:val="right"/>
              <w:ind w:right="43"/>
              <w:spacing w:after="0"/>
              <w:rPr>
                <w:sz w:val="20"/>
                <w:szCs w:val="20"/>
                <w:color w:val="auto"/>
              </w:rPr>
            </w:pPr>
            <w:r>
              <w:rPr>
                <w:rFonts w:ascii="Arial" w:cs="Arial" w:eastAsia="Arial" w:hAnsi="Arial"/>
                <w:sz w:val="15"/>
                <w:szCs w:val="15"/>
                <w:color w:val="auto"/>
              </w:rPr>
              <w:t>4,260</w:t>
            </w:r>
          </w:p>
        </w:tc>
        <w:tc>
          <w:tcPr>
            <w:tcW w:w="1540" w:type="dxa"/>
            <w:vAlign w:val="bottom"/>
            <w:shd w:val="clear" w:color="auto" w:fill="CDDAE6"/>
          </w:tcPr>
          <w:p>
            <w:pPr>
              <w:jc w:val="right"/>
              <w:ind w:right="863"/>
              <w:spacing w:after="0"/>
              <w:rPr>
                <w:sz w:val="20"/>
                <w:szCs w:val="20"/>
                <w:color w:val="auto"/>
              </w:rPr>
            </w:pPr>
            <w:r>
              <w:rPr>
                <w:rFonts w:ascii="Arial" w:cs="Arial" w:eastAsia="Arial" w:hAnsi="Arial"/>
                <w:sz w:val="15"/>
                <w:szCs w:val="15"/>
                <w:color w:val="auto"/>
              </w:rPr>
              <w:t>4,260</w:t>
            </w:r>
          </w:p>
        </w:tc>
        <w:tc>
          <w:tcPr>
            <w:tcW w:w="660" w:type="dxa"/>
            <w:vAlign w:val="bottom"/>
            <w:shd w:val="clear" w:color="auto" w:fill="CDDAE6"/>
          </w:tcPr>
          <w:p>
            <w:pPr>
              <w:spacing w:after="0"/>
              <w:rPr>
                <w:sz w:val="18"/>
                <w:szCs w:val="18"/>
                <w:color w:val="auto"/>
              </w:rPr>
            </w:pP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495,012</w:t>
            </w:r>
          </w:p>
        </w:tc>
      </w:tr>
      <w:tr>
        <w:trPr>
          <w:trHeight w:val="216"/>
        </w:trPr>
        <w:tc>
          <w:tcPr>
            <w:tcW w:w="1500" w:type="dxa"/>
            <w:vAlign w:val="bottom"/>
            <w:tcBorders>
              <w:bottom w:val="single" w:sz="8" w:color="005C7D"/>
            </w:tcBorders>
            <w:shd w:val="clear" w:color="auto" w:fill="CDDAE6"/>
          </w:tcPr>
          <w:p>
            <w:pPr>
              <w:spacing w:after="0"/>
              <w:rPr>
                <w:sz w:val="18"/>
                <w:szCs w:val="18"/>
                <w:color w:val="auto"/>
              </w:rPr>
            </w:pPr>
          </w:p>
        </w:tc>
        <w:tc>
          <w:tcPr>
            <w:tcW w:w="660" w:type="dxa"/>
            <w:vAlign w:val="bottom"/>
            <w:tcBorders>
              <w:bottom w:val="single" w:sz="8" w:color="005C7D"/>
            </w:tcBorders>
            <w:shd w:val="clear" w:color="auto" w:fill="CDDAE6"/>
          </w:tcPr>
          <w:p>
            <w:pPr>
              <w:ind w:left="20"/>
              <w:spacing w:after="0" w:line="216" w:lineRule="exact"/>
              <w:rPr>
                <w:sz w:val="20"/>
                <w:szCs w:val="20"/>
                <w:color w:val="auto"/>
              </w:rPr>
            </w:pPr>
            <w:r>
              <w:rPr>
                <w:rFonts w:ascii="Arial" w:cs="Arial" w:eastAsia="Arial" w:hAnsi="Arial"/>
                <w:sz w:val="15"/>
                <w:szCs w:val="15"/>
                <w:color w:val="auto"/>
                <w:w w:val="95"/>
              </w:rPr>
              <w:t>Option</w:t>
            </w:r>
            <w:r>
              <w:rPr>
                <w:rFonts w:ascii="Arial" w:cs="Arial" w:eastAsia="Arial" w:hAnsi="Arial"/>
                <w:sz w:val="25"/>
                <w:szCs w:val="25"/>
                <w:color w:val="auto"/>
                <w:w w:val="95"/>
                <w:vertAlign w:val="superscript"/>
              </w:rPr>
              <w:t>(5)</w:t>
            </w:r>
          </w:p>
        </w:tc>
        <w:tc>
          <w:tcPr>
            <w:tcW w:w="660" w:type="dxa"/>
            <w:vAlign w:val="bottom"/>
            <w:tcBorders>
              <w:bottom w:val="single" w:sz="8" w:color="005C7D"/>
            </w:tcBorders>
            <w:gridSpan w:val="2"/>
            <w:shd w:val="clear" w:color="auto" w:fill="CDDAE6"/>
          </w:tcPr>
          <w:p>
            <w:pPr>
              <w:jc w:val="right"/>
              <w:ind w:right="120"/>
              <w:spacing w:after="0"/>
              <w:rPr>
                <w:sz w:val="20"/>
                <w:szCs w:val="20"/>
                <w:color w:val="auto"/>
              </w:rPr>
            </w:pPr>
            <w:r>
              <w:rPr>
                <w:rFonts w:ascii="Arial" w:cs="Arial" w:eastAsia="Arial" w:hAnsi="Arial"/>
                <w:sz w:val="15"/>
                <w:szCs w:val="15"/>
                <w:color w:val="auto"/>
              </w:rPr>
              <w:t>2/16/16</w:t>
            </w:r>
          </w:p>
        </w:tc>
        <w:tc>
          <w:tcPr>
            <w:tcW w:w="700" w:type="dxa"/>
            <w:vAlign w:val="bottom"/>
            <w:tcBorders>
              <w:bottom w:val="single" w:sz="8" w:color="005C7D"/>
            </w:tcBorders>
            <w:shd w:val="clear" w:color="auto" w:fill="CDDAE6"/>
          </w:tcPr>
          <w:p>
            <w:pPr>
              <w:spacing w:after="0"/>
              <w:rPr>
                <w:sz w:val="18"/>
                <w:szCs w:val="18"/>
                <w:color w:val="auto"/>
              </w:rPr>
            </w:pPr>
          </w:p>
        </w:tc>
        <w:tc>
          <w:tcPr>
            <w:tcW w:w="840" w:type="dxa"/>
            <w:vAlign w:val="bottom"/>
            <w:tcBorders>
              <w:bottom w:val="single" w:sz="8" w:color="005C7D"/>
            </w:tcBorders>
            <w:shd w:val="clear" w:color="auto" w:fill="CDDAE6"/>
          </w:tcPr>
          <w:p>
            <w:pPr>
              <w:spacing w:after="0"/>
              <w:rPr>
                <w:sz w:val="18"/>
                <w:szCs w:val="18"/>
                <w:color w:val="auto"/>
              </w:rPr>
            </w:pPr>
          </w:p>
        </w:tc>
        <w:tc>
          <w:tcPr>
            <w:tcW w:w="1500" w:type="dxa"/>
            <w:vAlign w:val="bottom"/>
            <w:tcBorders>
              <w:bottom w:val="single" w:sz="8" w:color="005C7D"/>
            </w:tcBorders>
            <w:shd w:val="clear" w:color="auto" w:fill="CDDAE6"/>
          </w:tcPr>
          <w:p>
            <w:pPr>
              <w:spacing w:after="0"/>
              <w:rPr>
                <w:sz w:val="18"/>
                <w:szCs w:val="18"/>
                <w:color w:val="auto"/>
              </w:rPr>
            </w:pPr>
          </w:p>
        </w:tc>
        <w:tc>
          <w:tcPr>
            <w:tcW w:w="740" w:type="dxa"/>
            <w:vAlign w:val="bottom"/>
            <w:tcBorders>
              <w:bottom w:val="single" w:sz="8" w:color="005C7D"/>
            </w:tcBorders>
            <w:shd w:val="clear" w:color="auto" w:fill="CDDAE6"/>
          </w:tcPr>
          <w:p>
            <w:pPr>
              <w:spacing w:after="0"/>
              <w:rPr>
                <w:sz w:val="18"/>
                <w:szCs w:val="18"/>
                <w:color w:val="auto"/>
              </w:rPr>
            </w:pPr>
          </w:p>
        </w:tc>
        <w:tc>
          <w:tcPr>
            <w:tcW w:w="1540" w:type="dxa"/>
            <w:vAlign w:val="bottom"/>
            <w:tcBorders>
              <w:bottom w:val="single" w:sz="8" w:color="005C7D"/>
            </w:tcBorders>
            <w:shd w:val="clear" w:color="auto" w:fill="CDDAE6"/>
          </w:tcPr>
          <w:p>
            <w:pPr>
              <w:jc w:val="right"/>
              <w:ind w:right="83"/>
              <w:spacing w:after="0"/>
              <w:rPr>
                <w:sz w:val="20"/>
                <w:szCs w:val="20"/>
                <w:color w:val="auto"/>
              </w:rPr>
            </w:pPr>
            <w:r>
              <w:rPr>
                <w:rFonts w:ascii="Arial" w:cs="Arial" w:eastAsia="Arial" w:hAnsi="Arial"/>
                <w:sz w:val="15"/>
                <w:szCs w:val="15"/>
                <w:color w:val="auto"/>
              </w:rPr>
              <w:t>30,220</w:t>
            </w:r>
          </w:p>
        </w:tc>
        <w:tc>
          <w:tcPr>
            <w:tcW w:w="660" w:type="dxa"/>
            <w:vAlign w:val="bottom"/>
            <w:tcBorders>
              <w:bottom w:val="single" w:sz="8" w:color="005C7D"/>
            </w:tcBorders>
            <w:shd w:val="clear" w:color="auto" w:fill="CDDAE6"/>
          </w:tcPr>
          <w:p>
            <w:pPr>
              <w:jc w:val="right"/>
              <w:ind w:right="23"/>
              <w:spacing w:after="0"/>
              <w:rPr>
                <w:sz w:val="20"/>
                <w:szCs w:val="20"/>
                <w:color w:val="auto"/>
              </w:rPr>
            </w:pPr>
            <w:r>
              <w:rPr>
                <w:rFonts w:ascii="Arial" w:cs="Arial" w:eastAsia="Arial" w:hAnsi="Arial"/>
                <w:sz w:val="15"/>
                <w:szCs w:val="15"/>
                <w:color w:val="auto"/>
              </w:rPr>
              <w:t>116.20</w:t>
            </w:r>
          </w:p>
        </w:tc>
        <w:tc>
          <w:tcPr>
            <w:tcW w:w="760" w:type="dxa"/>
            <w:vAlign w:val="bottom"/>
            <w:tcBorders>
              <w:bottom w:val="single" w:sz="8" w:color="005C7D"/>
            </w:tcBorders>
            <w:shd w:val="clear" w:color="auto" w:fill="CDDAE6"/>
          </w:tcPr>
          <w:p>
            <w:pPr>
              <w:jc w:val="right"/>
              <w:spacing w:after="0"/>
              <w:rPr>
                <w:sz w:val="20"/>
                <w:szCs w:val="20"/>
                <w:color w:val="auto"/>
              </w:rPr>
            </w:pPr>
            <w:r>
              <w:rPr>
                <w:rFonts w:ascii="Arial" w:cs="Arial" w:eastAsia="Arial" w:hAnsi="Arial"/>
                <w:sz w:val="15"/>
                <w:szCs w:val="15"/>
                <w:color w:val="auto"/>
              </w:rPr>
              <w:t>495,004</w:t>
            </w:r>
          </w:p>
        </w:tc>
      </w:tr>
      <w:tr>
        <w:trPr>
          <w:trHeight w:val="169"/>
        </w:trPr>
        <w:tc>
          <w:tcPr>
            <w:tcW w:w="1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-2734945</wp:posOffset>
            </wp:positionV>
            <wp:extent cx="6071870" cy="1371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7187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-2460625</wp:posOffset>
            </wp:positionV>
            <wp:extent cx="6071870" cy="1371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07187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-1362710</wp:posOffset>
            </wp:positionV>
            <wp:extent cx="6071870" cy="1371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07187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-1088390</wp:posOffset>
            </wp:positionV>
            <wp:extent cx="6071870" cy="1371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71870" cy="137160"/>
                    </a:xfrm>
                    <a:prstGeom prst="rect">
                      <a:avLst/>
                    </a:prstGeom>
                    <a:noFill/>
                  </pic:spPr>
                </pic:pic>
              </a:graphicData>
            </a:graphic>
          </wp:anchor>
        </w:drawing>
      </w:r>
    </w:p>
    <w:p>
      <w:pPr>
        <w:spacing w:after="0" w:line="78" w:lineRule="exact"/>
        <w:rPr>
          <w:sz w:val="20"/>
          <w:szCs w:val="20"/>
          <w:color w:val="auto"/>
        </w:rPr>
      </w:pPr>
    </w:p>
    <w:p>
      <w:pPr>
        <w:ind w:left="347" w:right="420" w:hanging="347"/>
        <w:spacing w:after="0" w:line="294" w:lineRule="auto"/>
        <w:tabs>
          <w:tab w:leader="none" w:pos="347" w:val="left"/>
        </w:tabs>
        <w:numPr>
          <w:ilvl w:val="0"/>
          <w:numId w:val="74"/>
        </w:numPr>
        <w:rPr>
          <w:rFonts w:ascii="Arial" w:cs="Arial" w:eastAsia="Arial" w:hAnsi="Arial"/>
          <w:sz w:val="15"/>
          <w:szCs w:val="15"/>
          <w:color w:val="auto"/>
        </w:rPr>
      </w:pPr>
      <w:r>
        <w:rPr>
          <w:rFonts w:ascii="Arial" w:cs="Arial" w:eastAsia="Arial" w:hAnsi="Arial"/>
          <w:sz w:val="15"/>
          <w:szCs w:val="15"/>
          <w:color w:val="auto"/>
        </w:rPr>
        <w:t xml:space="preserve">Represents the Threshold, Target and Maximum cash payout opportunities for fiscal 2016 under the annual incentive plan, which were established by the Compensation Committee in February 2016. For a further discussion of the payout opportunities, see “Compensation Discussion and Analysis – Elements of 2016 Target Pay – Annual Incentives” beginning on page </w:t>
      </w:r>
      <w:hyperlink w:anchor="page53">
        <w:r>
          <w:rPr>
            <w:rFonts w:ascii="Arial" w:cs="Arial" w:eastAsia="Arial" w:hAnsi="Arial"/>
            <w:sz w:val="15"/>
            <w:szCs w:val="15"/>
            <w:u w:val="single" w:color="auto"/>
            <w:color w:val="0000EE"/>
          </w:rPr>
          <w:t>47</w:t>
        </w:r>
      </w:hyperlink>
      <w:r>
        <w:rPr>
          <w:rFonts w:ascii="Arial" w:cs="Arial" w:eastAsia="Arial" w:hAnsi="Arial"/>
          <w:sz w:val="15"/>
          <w:szCs w:val="15"/>
          <w:color w:val="auto"/>
        </w:rPr>
        <w:t>.</w:t>
      </w:r>
    </w:p>
    <w:p>
      <w:pPr>
        <w:ind w:left="347" w:right="60" w:hanging="347"/>
        <w:spacing w:after="0" w:line="267" w:lineRule="auto"/>
        <w:tabs>
          <w:tab w:leader="none" w:pos="347"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Represents long-term performance cash awards granted to the named executive officers. The final value of each award will vary based upon L3’s relative TSR achieved over the three-year performance period beginning January 1, 2016 and ending December 31, 2018 in relation to TSR performance requirements established by the Compensation Committee in February 2016. The amounts disclosed in the Estimated Future Payouts Under Non-Equity Incentive Plan Awards columns represent the amounts of cash to be paid assuming achievement of the specific Threshold, Target or Maximum levels of performance established by the Compensation Committee for these awards over the performance period. See “Compensation Discussion and Analysis – Elements of 2016 Target Pay – Long-Term Incentives – Performance Awards” beginning on page </w:t>
      </w:r>
      <w:hyperlink w:anchor="page60">
        <w:r>
          <w:rPr>
            <w:rFonts w:ascii="Arial" w:cs="Arial" w:eastAsia="Arial" w:hAnsi="Arial"/>
            <w:sz w:val="16"/>
            <w:szCs w:val="16"/>
            <w:u w:val="single" w:color="auto"/>
            <w:color w:val="0000EE"/>
          </w:rPr>
          <w:t>54</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a further discussion of the performance cash awards. See “– Potential Payments Upon Change in Control or Termination of Employment – Effect of Change in Control or Termination of Employment Upon Long-Term Incentive Awards” beginning on page </w:t>
      </w:r>
      <w:hyperlink w:anchor="page81">
        <w:r>
          <w:rPr>
            <w:rFonts w:ascii="Arial" w:cs="Arial" w:eastAsia="Arial" w:hAnsi="Arial"/>
            <w:sz w:val="16"/>
            <w:szCs w:val="16"/>
            <w:u w:val="single" w:color="auto"/>
            <w:color w:val="0000EE"/>
          </w:rPr>
          <w:t>75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 discussion concerning the effect of a change in control or termination of employment on outstanding performance cash awards.</w:t>
      </w:r>
    </w:p>
    <w:p>
      <w:pPr>
        <w:spacing w:after="0" w:line="5" w:lineRule="exact"/>
        <w:rPr>
          <w:rFonts w:ascii="Arial" w:cs="Arial" w:eastAsia="Arial" w:hAnsi="Arial"/>
          <w:sz w:val="16"/>
          <w:szCs w:val="16"/>
          <w:color w:val="auto"/>
        </w:rPr>
      </w:pPr>
    </w:p>
    <w:p>
      <w:pPr>
        <w:ind w:left="347" w:right="220" w:hanging="347"/>
        <w:spacing w:after="0" w:line="293" w:lineRule="auto"/>
        <w:tabs>
          <w:tab w:leader="none" w:pos="347" w:val="left"/>
        </w:tabs>
        <w:numPr>
          <w:ilvl w:val="0"/>
          <w:numId w:val="74"/>
        </w:numPr>
        <w:rPr>
          <w:rFonts w:ascii="Arial" w:cs="Arial" w:eastAsia="Arial" w:hAnsi="Arial"/>
          <w:sz w:val="15"/>
          <w:szCs w:val="15"/>
          <w:color w:val="auto"/>
        </w:rPr>
      </w:pPr>
      <w:r>
        <w:rPr>
          <w:rFonts w:ascii="Arial" w:cs="Arial" w:eastAsia="Arial" w:hAnsi="Arial"/>
          <w:sz w:val="15"/>
          <w:szCs w:val="15"/>
          <w:color w:val="auto"/>
        </w:rPr>
        <w:t>Represents performance units granted to the named executive officers, which are payable in shares of our Common Stock at the end of the performance period. The final number of shares of our Common Stock issuable for each unit will vary based upon L3’s EPS achieved over the three-year performance period beginning January 1, 2016 and ending December 31, 2018 in relation to EPS performance requirements established by the Compensation Committee in February 2016. The amounts disclosed in the Estimated Future Payouts Under Equity Incentive Plan Awards columns represent the number of shares of our Common Stock issuable</w:t>
      </w:r>
    </w:p>
    <w:p>
      <w:pPr>
        <w:spacing w:after="0" w:line="212" w:lineRule="exact"/>
        <w:rPr>
          <w:rFonts w:ascii="Arial" w:cs="Arial" w:eastAsia="Arial" w:hAnsi="Arial"/>
          <w:sz w:val="16"/>
          <w:szCs w:val="16"/>
          <w:color w:val="auto"/>
        </w:rPr>
      </w:pPr>
    </w:p>
    <w:p>
      <w:pPr>
        <w:ind w:left="7827"/>
        <w:spacing w:after="0"/>
        <w:tabs>
          <w:tab w:leader="none" w:pos="9326"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65</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4445</wp:posOffset>
            </wp:positionH>
            <wp:positionV relativeFrom="paragraph">
              <wp:posOffset>381000</wp:posOffset>
            </wp:positionV>
            <wp:extent cx="6071870" cy="431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-107315</wp:posOffset>
            </wp:positionV>
            <wp:extent cx="163195" cy="1543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type w:val="continuous"/>
        </w:sectPr>
      </w:pPr>
    </w:p>
    <w:bookmarkStart w:id="71" w:name="page72"/>
    <w:bookmarkEnd w:id="71"/>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7"/>
        <w:spacing w:after="0"/>
        <w:rPr>
          <w:sz w:val="20"/>
          <w:szCs w:val="20"/>
          <w:color w:val="auto"/>
        </w:rPr>
      </w:pPr>
      <w:r>
        <w:rPr>
          <w:rFonts w:ascii="Arial" w:cs="Arial" w:eastAsia="Arial" w:hAnsi="Arial"/>
          <w:sz w:val="14"/>
          <w:szCs w:val="14"/>
          <w:color w:val="005C7D"/>
        </w:rPr>
        <w:t>TABULAR EXECUTIVE COMPENSATION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07187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6" w:lineRule="exact"/>
        <w:rPr>
          <w:sz w:val="20"/>
          <w:szCs w:val="20"/>
          <w:color w:val="auto"/>
        </w:rPr>
      </w:pPr>
    </w:p>
    <w:p>
      <w:pPr>
        <w:ind w:left="367" w:right="80"/>
        <w:spacing w:after="0" w:line="267" w:lineRule="auto"/>
        <w:rPr>
          <w:rFonts w:ascii="Arial" w:cs="Arial" w:eastAsia="Arial" w:hAnsi="Arial"/>
          <w:sz w:val="15"/>
          <w:szCs w:val="15"/>
          <w:color w:val="auto"/>
        </w:rPr>
      </w:pPr>
      <w:r>
        <w:rPr>
          <w:rFonts w:ascii="Arial" w:cs="Arial" w:eastAsia="Arial" w:hAnsi="Arial"/>
          <w:sz w:val="15"/>
          <w:szCs w:val="15"/>
          <w:color w:val="auto"/>
        </w:rPr>
        <w:t xml:space="preserve">assuming achievement of the specific Threshold, Target or Maximum levels of performance established by the Compensation Committee for these units over the performance period. The amounts disclosed in the Grant Date Fair Value of Stock and Option Awards column represent the grant date fair values of the performance unit awards assuming that the Target level of performance for the awards is achieved, as calculated in accordance with the accounting standards for share-based compensation. See “Compensation Discussion and Analysis – Elements of 2016 Target Pay – Long-Term Incentives – Performance Awards” beginning on page </w:t>
      </w:r>
      <w:hyperlink w:anchor="page60">
        <w:r>
          <w:rPr>
            <w:rFonts w:ascii="Arial" w:cs="Arial" w:eastAsia="Arial" w:hAnsi="Arial"/>
            <w:sz w:val="15"/>
            <w:szCs w:val="15"/>
            <w:u w:val="single" w:color="auto"/>
            <w:color w:val="0000EE"/>
          </w:rPr>
          <w:t>54</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for a further discussion of the performance units. See “– Potential Payments Upon Change in Control or Termination of Employment – Effect of Change in Control or Termination of Employment Upon Long-Term Incentive Awards” beginning on page </w:t>
      </w:r>
      <w:hyperlink w:anchor="page81">
        <w:r>
          <w:rPr>
            <w:rFonts w:ascii="Arial" w:cs="Arial" w:eastAsia="Arial" w:hAnsi="Arial"/>
            <w:sz w:val="15"/>
            <w:szCs w:val="15"/>
            <w:u w:val="single" w:color="auto"/>
            <w:color w:val="0000EE"/>
          </w:rPr>
          <w:t>75</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for a discussion concerning the effect of a change in control or termination of employment on outstanding performance units.</w:t>
      </w:r>
    </w:p>
    <w:p>
      <w:pPr>
        <w:spacing w:after="0" w:line="4" w:lineRule="exact"/>
        <w:rPr>
          <w:sz w:val="20"/>
          <w:szCs w:val="20"/>
          <w:color w:val="auto"/>
        </w:rPr>
      </w:pPr>
    </w:p>
    <w:p>
      <w:pPr>
        <w:ind w:left="347" w:hanging="347"/>
        <w:spacing w:after="0" w:line="284" w:lineRule="auto"/>
        <w:tabs>
          <w:tab w:leader="none" w:pos="347" w:val="left"/>
        </w:tabs>
        <w:numPr>
          <w:ilvl w:val="0"/>
          <w:numId w:val="75"/>
        </w:numPr>
        <w:rPr>
          <w:rFonts w:ascii="Arial" w:cs="Arial" w:eastAsia="Arial" w:hAnsi="Arial"/>
          <w:sz w:val="15"/>
          <w:szCs w:val="15"/>
          <w:color w:val="auto"/>
        </w:rPr>
      </w:pPr>
      <w:r>
        <w:rPr>
          <w:rFonts w:ascii="Arial" w:cs="Arial" w:eastAsia="Arial" w:hAnsi="Arial"/>
          <w:sz w:val="15"/>
          <w:szCs w:val="15"/>
          <w:color w:val="auto"/>
        </w:rPr>
        <w:t xml:space="preserve">Represents RSUs granted to the named executive officers, which vest three years after the grant date and are subject to forfeiture conditions based on a grant date fair value limit equal to 0.5% of L3’s 2016 FCF (or 1.0% of L3’s 2016 FCF, in the case of the RSUs granted to Mr. Strianese). If the grant date fair value of an executive’s RSU award exceeds the applicable limit, then the portion of the executive’s award exceeding this limit is forfeited. The Threshold level of performance reported in the table above assumes that L3’s 2016 FCF is negative, resulting in the forfeiture of all RSUs. The Target and Maximum levels of performance reported in table above assume that L3’s 2016 FCF is sufficient to avoid any forfeiture of the RSUs. The calculation of FCF under these awards is identical to the calculation of FCF under the annual incentive plan for fiscal 2016 performance. The amounts disclosed in the Grant Date Fair Value of Stock and Option Awards column represent the grant date fair values of the RSU awards assuming that L3’s 2016 FCF is sufficient to avoid any forfeiture of the awards, as calculated in accordance with the accounting standards for share-based compensation. For a discussion of the FCF calculation, see “Compensation Discussion and Analysis – Elements of 2016 Target Pay – Annual Incentives” beginning on page </w:t>
      </w:r>
      <w:hyperlink w:anchor="page53">
        <w:r>
          <w:rPr>
            <w:rFonts w:ascii="Arial" w:cs="Arial" w:eastAsia="Arial" w:hAnsi="Arial"/>
            <w:sz w:val="15"/>
            <w:szCs w:val="15"/>
            <w:u w:val="single" w:color="auto"/>
            <w:color w:val="0000EE"/>
          </w:rPr>
          <w:t>47</w:t>
        </w:r>
      </w:hyperlink>
      <w:r>
        <w:rPr>
          <w:rFonts w:ascii="Arial" w:cs="Arial" w:eastAsia="Arial" w:hAnsi="Arial"/>
          <w:sz w:val="15"/>
          <w:szCs w:val="15"/>
          <w:color w:val="auto"/>
        </w:rPr>
        <w:t xml:space="preserve">. For a further discussion of our RSUs, see “Compensation Discussion and Analysis – Elements of 2016 Target Pay – Long-Term Incentives – RSUs” on page </w:t>
      </w:r>
      <w:hyperlink w:anchor="page62">
        <w:r>
          <w:rPr>
            <w:rFonts w:ascii="Arial" w:cs="Arial" w:eastAsia="Arial" w:hAnsi="Arial"/>
            <w:sz w:val="15"/>
            <w:szCs w:val="15"/>
            <w:u w:val="single" w:color="auto"/>
            <w:color w:val="0000EE"/>
          </w:rPr>
          <w:t>56</w:t>
        </w:r>
      </w:hyperlink>
      <w:r>
        <w:rPr>
          <w:rFonts w:ascii="Arial" w:cs="Arial" w:eastAsia="Arial" w:hAnsi="Arial"/>
          <w:sz w:val="15"/>
          <w:szCs w:val="15"/>
          <w:color w:val="auto"/>
        </w:rPr>
        <w:t xml:space="preserve">. For a discussion concerning the effect of a change in control or termination of employment on outstanding RSUs, see “– Potential Payments Upon Change in Control or Termination of Employment – Effect of Change in Control or Termination of Employment Upon Long-Term Incentive Awards” beginning on page </w:t>
      </w:r>
      <w:hyperlink w:anchor="page81">
        <w:r>
          <w:rPr>
            <w:rFonts w:ascii="Arial" w:cs="Arial" w:eastAsia="Arial" w:hAnsi="Arial"/>
            <w:sz w:val="15"/>
            <w:szCs w:val="15"/>
            <w:u w:val="single" w:color="auto"/>
            <w:color w:val="0000EE"/>
          </w:rPr>
          <w:t>75</w:t>
        </w:r>
      </w:hyperlink>
      <w:r>
        <w:rPr>
          <w:rFonts w:ascii="Arial" w:cs="Arial" w:eastAsia="Arial" w:hAnsi="Arial"/>
          <w:sz w:val="15"/>
          <w:szCs w:val="15"/>
          <w:color w:val="auto"/>
        </w:rPr>
        <w:t>.</w:t>
      </w:r>
    </w:p>
    <w:p>
      <w:pPr>
        <w:spacing w:after="0" w:line="5" w:lineRule="exact"/>
        <w:rPr>
          <w:rFonts w:ascii="Arial" w:cs="Arial" w:eastAsia="Arial" w:hAnsi="Arial"/>
          <w:sz w:val="15"/>
          <w:szCs w:val="15"/>
          <w:color w:val="auto"/>
        </w:rPr>
      </w:pPr>
    </w:p>
    <w:p>
      <w:pPr>
        <w:ind w:left="347" w:right="20" w:hanging="347"/>
        <w:spacing w:after="0" w:line="284" w:lineRule="auto"/>
        <w:tabs>
          <w:tab w:leader="none" w:pos="347" w:val="left"/>
        </w:tabs>
        <w:numPr>
          <w:ilvl w:val="0"/>
          <w:numId w:val="75"/>
        </w:numPr>
        <w:rPr>
          <w:rFonts w:ascii="Arial" w:cs="Arial" w:eastAsia="Arial" w:hAnsi="Arial"/>
          <w:sz w:val="15"/>
          <w:szCs w:val="15"/>
          <w:color w:val="auto"/>
        </w:rPr>
      </w:pPr>
      <w:r>
        <w:rPr>
          <w:rFonts w:ascii="Arial" w:cs="Arial" w:eastAsia="Arial" w:hAnsi="Arial"/>
          <w:sz w:val="15"/>
          <w:szCs w:val="15"/>
          <w:color w:val="auto"/>
        </w:rPr>
        <w:t xml:space="preserve">Represents stock options granted to the named executive officers. The awards have an exercise price equal to the closing price of our Common Stock on the grant date, and provide value to the recipient only if the price of our Common Stock increases after the grant date. Stock options have a term of ten years and vest in equal, annual increments over a three-year period starting with the first anniversary of the grant date and, in the case of the options granted to Mr. Strianese, are also subject to two separate vesting conditions based on L3’s 2016 financial performance, which include L3 achieving consolidated EPS of at least $6.38 and consolidated FCF of at least $701 million, calculated on the same basis used for these measures under the annual incentive plan for fiscal 2016 performance. For a further discussion, see “Compensation Discussion and Analysis – Elements of 2016 Target Pay – Annual Incentives” beginning on page </w:t>
      </w:r>
      <w:hyperlink w:anchor="page53">
        <w:r>
          <w:rPr>
            <w:rFonts w:ascii="Arial" w:cs="Arial" w:eastAsia="Arial" w:hAnsi="Arial"/>
            <w:sz w:val="15"/>
            <w:szCs w:val="15"/>
            <w:u w:val="single" w:color="auto"/>
            <w:color w:val="0000EE"/>
          </w:rPr>
          <w:t>47</w:t>
        </w:r>
      </w:hyperlink>
      <w:r>
        <w:rPr>
          <w:rFonts w:ascii="Arial" w:cs="Arial" w:eastAsia="Arial" w:hAnsi="Arial"/>
          <w:sz w:val="15"/>
          <w:szCs w:val="15"/>
          <w:color w:val="auto"/>
        </w:rPr>
        <w:t xml:space="preserve">. With regard to the options granted to Mr. Strianese, the Threshold level of performance reported in the table above assumes the satisfaction of only one of the financial performance conditions, while the Target and Maximum levels of performance reported in table above assume the satisfaction of both financial performance conditions. The amounts disclosed in the Grant Date Fair Value of Stock and Option Awards column represent the grant date fair values of the option awards, as calculated in accordance with the accounting standards for share-based compensation. With regard to the options granted to Mr. Strianese, the amount disclosed in the Grant Date Fair Value of Stock and Option Awards column assumes that both of the financial performance conditions of his award are satisfied. For a further discussion of the stock options, see “Compensation Discussion and Analysis – Elements of 2016 Target Pay – Long-Term Incentives – Stock Options” on page </w:t>
      </w:r>
      <w:hyperlink w:anchor="page60">
        <w:r>
          <w:rPr>
            <w:rFonts w:ascii="Arial" w:cs="Arial" w:eastAsia="Arial" w:hAnsi="Arial"/>
            <w:sz w:val="15"/>
            <w:szCs w:val="15"/>
            <w:u w:val="single" w:color="auto"/>
            <w:color w:val="0000EE"/>
          </w:rPr>
          <w:t>54</w:t>
        </w:r>
      </w:hyperlink>
      <w:r>
        <w:rPr>
          <w:rFonts w:ascii="Arial" w:cs="Arial" w:eastAsia="Arial" w:hAnsi="Arial"/>
          <w:sz w:val="15"/>
          <w:szCs w:val="15"/>
          <w:color w:val="auto"/>
        </w:rPr>
        <w:t xml:space="preserve">. For a discussion concerning the effect of a change in control or termination of employment on outstanding stock option awards, see “– Potential Payments Upon Change in Control or Termination of Employment – Effect of Change in Control or Termination of Employment Upon Long-Term Incentive Awards” beginning on page </w:t>
      </w:r>
      <w:hyperlink w:anchor="page81">
        <w:r>
          <w:rPr>
            <w:rFonts w:ascii="Arial" w:cs="Arial" w:eastAsia="Arial" w:hAnsi="Arial"/>
            <w:sz w:val="15"/>
            <w:szCs w:val="15"/>
            <w:u w:val="single" w:color="auto"/>
            <w:color w:val="0000EE"/>
          </w:rPr>
          <w:t>75</w:t>
        </w:r>
      </w:hyperlink>
      <w:r>
        <w:rPr>
          <w:rFonts w:ascii="Arial" w:cs="Arial" w:eastAsia="Arial" w:hAnsi="Arial"/>
          <w:sz w:val="15"/>
          <w:szCs w:val="15"/>
          <w:color w:val="auto"/>
        </w:rPr>
        <w:t>.</w:t>
      </w:r>
    </w:p>
    <w:p>
      <w:pPr>
        <w:spacing w:after="0" w:line="256" w:lineRule="exact"/>
        <w:rPr>
          <w:rFonts w:ascii="Arial" w:cs="Arial" w:eastAsia="Arial" w:hAnsi="Arial"/>
          <w:sz w:val="15"/>
          <w:szCs w:val="15"/>
          <w:color w:val="auto"/>
        </w:rPr>
      </w:pPr>
    </w:p>
    <w:p>
      <w:pPr>
        <w:ind w:left="47"/>
        <w:spacing w:after="0"/>
        <w:tabs>
          <w:tab w:leader="none" w:pos="666" w:val="left"/>
        </w:tabs>
        <w:rPr>
          <w:sz w:val="20"/>
          <w:szCs w:val="20"/>
          <w:color w:val="auto"/>
        </w:rPr>
      </w:pPr>
      <w:r>
        <w:rPr>
          <w:rFonts w:ascii="Arial" w:cs="Arial" w:eastAsia="Arial" w:hAnsi="Arial"/>
          <w:sz w:val="18"/>
          <w:szCs w:val="18"/>
          <w:color w:val="005C7D"/>
        </w:rPr>
        <w:t>66</w:t>
      </w:r>
      <w:r>
        <w:rPr>
          <w:sz w:val="20"/>
          <w:szCs w:val="20"/>
          <w:color w:val="auto"/>
        </w:rPr>
        <w:tab/>
      </w: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4445</wp:posOffset>
            </wp:positionH>
            <wp:positionV relativeFrom="paragraph">
              <wp:posOffset>382270</wp:posOffset>
            </wp:positionV>
            <wp:extent cx="6071870" cy="4318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-106045</wp:posOffset>
            </wp:positionV>
            <wp:extent cx="154305" cy="1543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72" w:name="page73"/>
    <w:bookmarkEnd w:id="72"/>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5987"/>
        <w:spacing w:after="0"/>
        <w:rPr>
          <w:sz w:val="20"/>
          <w:szCs w:val="20"/>
          <w:color w:val="auto"/>
        </w:rPr>
      </w:pPr>
      <w:r>
        <w:rPr>
          <w:rFonts w:ascii="Arial" w:cs="Arial" w:eastAsia="Arial" w:hAnsi="Arial"/>
          <w:sz w:val="13"/>
          <w:szCs w:val="13"/>
          <w:color w:val="005C7D"/>
        </w:rPr>
        <w:t>TABULAR EXECUTIVE COMPENSATION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607187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23"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Outstanding Equity Awards at Fiscal Year End 2016</w:t>
      </w:r>
    </w:p>
    <w:p>
      <w:pPr>
        <w:spacing w:after="0" w:line="175" w:lineRule="exact"/>
        <w:rPr>
          <w:sz w:val="20"/>
          <w:szCs w:val="20"/>
          <w:color w:val="auto"/>
        </w:rPr>
      </w:pPr>
    </w:p>
    <w:p>
      <w:pPr>
        <w:ind w:left="7" w:right="80"/>
        <w:spacing w:after="0" w:line="326" w:lineRule="auto"/>
        <w:rPr>
          <w:sz w:val="20"/>
          <w:szCs w:val="20"/>
          <w:color w:val="auto"/>
        </w:rPr>
      </w:pPr>
      <w:r>
        <w:rPr>
          <w:rFonts w:ascii="Arial" w:cs="Arial" w:eastAsia="Arial" w:hAnsi="Arial"/>
          <w:sz w:val="16"/>
          <w:szCs w:val="16"/>
          <w:color w:val="auto"/>
        </w:rPr>
        <w:t>The following table provides information with respect to holdings of exercisable and unexercisable stock options, and unvested and (as applicable) unearned RSUs and performance units held by the named executive officers at December 31, 2016.</w:t>
      </w:r>
    </w:p>
    <w:tbl>
      <w:tblPr>
        <w:tblLayout w:type="fixed"/>
        <w:tblInd w:w="7" w:type="dxa"/>
        <w:tblCellMar>
          <w:top w:w="0" w:type="dxa"/>
          <w:left w:w="0" w:type="dxa"/>
          <w:bottom w:w="0" w:type="dxa"/>
          <w:right w:w="0" w:type="dxa"/>
        </w:tblCellMar>
      </w:tblPr>
      <w:tr>
        <w:trPr>
          <w:trHeight w:val="156"/>
        </w:trPr>
        <w:tc>
          <w:tcPr>
            <w:tcW w:w="1520" w:type="dxa"/>
            <w:vAlign w:val="bottom"/>
            <w:tcBorders>
              <w:top w:val="single" w:sz="8" w:color="005C7D"/>
            </w:tcBorders>
          </w:tcPr>
          <w:p>
            <w:pPr>
              <w:spacing w:after="0"/>
              <w:rPr>
                <w:sz w:val="13"/>
                <w:szCs w:val="13"/>
                <w:color w:val="auto"/>
              </w:rPr>
            </w:pPr>
          </w:p>
        </w:tc>
        <w:tc>
          <w:tcPr>
            <w:tcW w:w="760" w:type="dxa"/>
            <w:vAlign w:val="bottom"/>
            <w:tcBorders>
              <w:top w:val="single" w:sz="8" w:color="005C7D"/>
            </w:tcBorders>
          </w:tcPr>
          <w:p>
            <w:pPr>
              <w:spacing w:after="0"/>
              <w:rPr>
                <w:sz w:val="13"/>
                <w:szCs w:val="13"/>
                <w:color w:val="auto"/>
              </w:rPr>
            </w:pPr>
          </w:p>
        </w:tc>
        <w:tc>
          <w:tcPr>
            <w:tcW w:w="120" w:type="dxa"/>
            <w:vAlign w:val="bottom"/>
            <w:tcBorders>
              <w:top w:val="single" w:sz="8" w:color="005C7D"/>
            </w:tcBorders>
          </w:tcPr>
          <w:p>
            <w:pPr>
              <w:spacing w:after="0"/>
              <w:rPr>
                <w:sz w:val="13"/>
                <w:szCs w:val="13"/>
                <w:color w:val="auto"/>
              </w:rPr>
            </w:pPr>
          </w:p>
        </w:tc>
        <w:tc>
          <w:tcPr>
            <w:tcW w:w="280" w:type="dxa"/>
            <w:vAlign w:val="bottom"/>
            <w:tcBorders>
              <w:top w:val="single" w:sz="8" w:color="005C7D"/>
              <w:bottom w:val="single" w:sz="8" w:color="005C7D"/>
            </w:tcBorders>
          </w:tcPr>
          <w:p>
            <w:pPr>
              <w:spacing w:after="0"/>
              <w:rPr>
                <w:sz w:val="13"/>
                <w:szCs w:val="13"/>
                <w:color w:val="auto"/>
              </w:rPr>
            </w:pPr>
          </w:p>
        </w:tc>
        <w:tc>
          <w:tcPr>
            <w:tcW w:w="700" w:type="dxa"/>
            <w:vAlign w:val="bottom"/>
            <w:tcBorders>
              <w:top w:val="single" w:sz="8" w:color="005C7D"/>
              <w:bottom w:val="single" w:sz="8" w:color="005C7D"/>
            </w:tcBorders>
          </w:tcPr>
          <w:p>
            <w:pPr>
              <w:spacing w:after="0"/>
              <w:rPr>
                <w:sz w:val="13"/>
                <w:szCs w:val="13"/>
                <w:color w:val="auto"/>
              </w:rPr>
            </w:pPr>
          </w:p>
        </w:tc>
        <w:tc>
          <w:tcPr>
            <w:tcW w:w="1340" w:type="dxa"/>
            <w:vAlign w:val="bottom"/>
            <w:tcBorders>
              <w:top w:val="single" w:sz="8" w:color="005C7D"/>
              <w:bottom w:val="single" w:sz="8" w:color="005C7D"/>
            </w:tcBorders>
          </w:tcPr>
          <w:p>
            <w:pPr>
              <w:jc w:val="right"/>
              <w:spacing w:after="0" w:line="156" w:lineRule="exact"/>
              <w:rPr>
                <w:sz w:val="20"/>
                <w:szCs w:val="20"/>
                <w:color w:val="auto"/>
              </w:rPr>
            </w:pPr>
            <w:r>
              <w:rPr>
                <w:rFonts w:ascii="Arial" w:cs="Arial" w:eastAsia="Arial" w:hAnsi="Arial"/>
                <w:sz w:val="14"/>
                <w:szCs w:val="14"/>
                <w:b w:val="1"/>
                <w:bCs w:val="1"/>
                <w:color w:val="auto"/>
              </w:rPr>
              <w:t>Option Awards</w:t>
            </w:r>
          </w:p>
        </w:tc>
        <w:tc>
          <w:tcPr>
            <w:tcW w:w="620" w:type="dxa"/>
            <w:vAlign w:val="bottom"/>
            <w:tcBorders>
              <w:top w:val="single" w:sz="8" w:color="005C7D"/>
              <w:bottom w:val="single" w:sz="8" w:color="005C7D"/>
            </w:tcBorders>
          </w:tcPr>
          <w:p>
            <w:pPr>
              <w:spacing w:after="0"/>
              <w:rPr>
                <w:sz w:val="13"/>
                <w:szCs w:val="13"/>
                <w:color w:val="auto"/>
              </w:rPr>
            </w:pPr>
          </w:p>
        </w:tc>
        <w:tc>
          <w:tcPr>
            <w:tcW w:w="760" w:type="dxa"/>
            <w:vAlign w:val="bottom"/>
            <w:tcBorders>
              <w:top w:val="single" w:sz="8" w:color="005C7D"/>
              <w:bottom w:val="single" w:sz="8" w:color="005C7D"/>
            </w:tcBorders>
          </w:tcPr>
          <w:p>
            <w:pPr>
              <w:spacing w:after="0"/>
              <w:rPr>
                <w:sz w:val="13"/>
                <w:szCs w:val="13"/>
                <w:color w:val="auto"/>
              </w:rPr>
            </w:pPr>
          </w:p>
        </w:tc>
        <w:tc>
          <w:tcPr>
            <w:tcW w:w="160" w:type="dxa"/>
            <w:vAlign w:val="bottom"/>
            <w:tcBorders>
              <w:top w:val="single" w:sz="8" w:color="005C7D"/>
            </w:tcBorders>
          </w:tcPr>
          <w:p>
            <w:pPr>
              <w:spacing w:after="0"/>
              <w:rPr>
                <w:sz w:val="13"/>
                <w:szCs w:val="13"/>
                <w:color w:val="auto"/>
              </w:rPr>
            </w:pPr>
          </w:p>
        </w:tc>
        <w:tc>
          <w:tcPr>
            <w:tcW w:w="760" w:type="dxa"/>
            <w:vAlign w:val="bottom"/>
            <w:tcBorders>
              <w:top w:val="single" w:sz="8" w:color="005C7D"/>
              <w:bottom w:val="single" w:sz="8" w:color="005C7D"/>
            </w:tcBorders>
          </w:tcPr>
          <w:p>
            <w:pPr>
              <w:spacing w:after="0"/>
              <w:rPr>
                <w:sz w:val="13"/>
                <w:szCs w:val="13"/>
                <w:color w:val="auto"/>
              </w:rPr>
            </w:pPr>
          </w:p>
        </w:tc>
        <w:tc>
          <w:tcPr>
            <w:tcW w:w="1720" w:type="dxa"/>
            <w:vAlign w:val="bottom"/>
            <w:tcBorders>
              <w:top w:val="single" w:sz="8" w:color="005C7D"/>
              <w:bottom w:val="single" w:sz="8" w:color="005C7D"/>
            </w:tcBorders>
            <w:gridSpan w:val="2"/>
          </w:tcPr>
          <w:p>
            <w:pPr>
              <w:jc w:val="right"/>
              <w:ind w:right="388"/>
              <w:spacing w:after="0" w:line="156" w:lineRule="exact"/>
              <w:rPr>
                <w:sz w:val="20"/>
                <w:szCs w:val="20"/>
                <w:color w:val="auto"/>
              </w:rPr>
            </w:pPr>
            <w:r>
              <w:rPr>
                <w:rFonts w:ascii="Arial" w:cs="Arial" w:eastAsia="Arial" w:hAnsi="Arial"/>
                <w:sz w:val="14"/>
                <w:szCs w:val="14"/>
                <w:b w:val="1"/>
                <w:bCs w:val="1"/>
                <w:color w:val="auto"/>
              </w:rPr>
              <w:t>Stock Awards</w:t>
            </w:r>
          </w:p>
        </w:tc>
        <w:tc>
          <w:tcPr>
            <w:tcW w:w="720" w:type="dxa"/>
            <w:vAlign w:val="bottom"/>
            <w:tcBorders>
              <w:top w:val="single" w:sz="8" w:color="005C7D"/>
              <w:bottom w:val="single" w:sz="8" w:color="005C7D"/>
            </w:tcBorders>
          </w:tcPr>
          <w:p>
            <w:pPr>
              <w:spacing w:after="0"/>
              <w:rPr>
                <w:sz w:val="13"/>
                <w:szCs w:val="13"/>
                <w:color w:val="auto"/>
              </w:rPr>
            </w:pPr>
          </w:p>
        </w:tc>
        <w:tc>
          <w:tcPr>
            <w:tcW w:w="100" w:type="dxa"/>
            <w:vAlign w:val="bottom"/>
            <w:tcBorders>
              <w:top w:val="single" w:sz="8" w:color="005C7D"/>
            </w:tcBorders>
          </w:tcPr>
          <w:p>
            <w:pPr>
              <w:spacing w:after="0"/>
              <w:rPr>
                <w:sz w:val="13"/>
                <w:szCs w:val="13"/>
                <w:color w:val="auto"/>
              </w:rPr>
            </w:pPr>
          </w:p>
        </w:tc>
      </w:tr>
      <w:tr>
        <w:trPr>
          <w:trHeight w:val="149"/>
        </w:trPr>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Equity</w:t>
            </w:r>
          </w:p>
        </w:tc>
      </w:tr>
      <w:tr>
        <w:trPr>
          <w:trHeight w:val="149"/>
        </w:trPr>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Incentive</w:t>
            </w:r>
          </w:p>
        </w:tc>
      </w:tr>
      <w:tr>
        <w:trPr>
          <w:trHeight w:val="149"/>
        </w:trPr>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Plan</w:t>
            </w:r>
          </w:p>
        </w:tc>
      </w:tr>
      <w:tr>
        <w:trPr>
          <w:trHeight w:val="149"/>
        </w:trPr>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Awards:</w:t>
            </w:r>
          </w:p>
        </w:tc>
      </w:tr>
      <w:tr>
        <w:trPr>
          <w:trHeight w:val="149"/>
        </w:trPr>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Market</w:t>
            </w:r>
          </w:p>
        </w:tc>
      </w:tr>
      <w:tr>
        <w:trPr>
          <w:trHeight w:val="149"/>
        </w:trPr>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or Payout</w:t>
            </w:r>
          </w:p>
        </w:tc>
      </w:tr>
      <w:tr>
        <w:trPr>
          <w:trHeight w:val="149"/>
        </w:trPr>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Value of</w:t>
            </w:r>
          </w:p>
        </w:tc>
      </w:tr>
      <w:tr>
        <w:trPr>
          <w:trHeight w:val="149"/>
        </w:trPr>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Unearned</w:t>
            </w:r>
          </w:p>
        </w:tc>
      </w:tr>
      <w:tr>
        <w:trPr>
          <w:trHeight w:val="149"/>
        </w:trPr>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Shares,</w:t>
            </w:r>
          </w:p>
        </w:tc>
      </w:tr>
      <w:tr>
        <w:trPr>
          <w:trHeight w:val="149"/>
        </w:trPr>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43"/>
              <w:spacing w:after="0" w:line="149" w:lineRule="exact"/>
              <w:rPr>
                <w:sz w:val="20"/>
                <w:szCs w:val="20"/>
                <w:color w:val="auto"/>
              </w:rPr>
            </w:pPr>
            <w:r>
              <w:rPr>
                <w:rFonts w:ascii="Arial" w:cs="Arial" w:eastAsia="Arial" w:hAnsi="Arial"/>
                <w:sz w:val="14"/>
                <w:szCs w:val="14"/>
                <w:b w:val="1"/>
                <w:bCs w:val="1"/>
                <w:color w:val="auto"/>
                <w:w w:val="94"/>
              </w:rPr>
              <w:t>Number of</w:t>
            </w:r>
          </w:p>
        </w:tc>
        <w:tc>
          <w:tcPr>
            <w:tcW w:w="134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94"/>
              </w:rPr>
              <w:t>Number of</w:t>
            </w: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9"/>
              </w:rPr>
              <w:t>Shares or</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Units or</w:t>
            </w: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Units or</w:t>
            </w:r>
          </w:p>
        </w:tc>
      </w:tr>
      <w:tr>
        <w:trPr>
          <w:trHeight w:val="149"/>
        </w:trPr>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3"/>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4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9"/>
              </w:rPr>
              <w:t>Securities</w:t>
            </w: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2"/>
              </w:rPr>
              <w:t>Units of</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Other</w:t>
            </w:r>
          </w:p>
        </w:tc>
      </w:tr>
      <w:tr>
        <w:trPr>
          <w:trHeight w:val="149"/>
        </w:trPr>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3"/>
              <w:spacing w:after="0" w:line="149" w:lineRule="exact"/>
              <w:rPr>
                <w:sz w:val="20"/>
                <w:szCs w:val="20"/>
                <w:color w:val="auto"/>
              </w:rPr>
            </w:pPr>
            <w:r>
              <w:rPr>
                <w:rFonts w:ascii="Arial" w:cs="Arial" w:eastAsia="Arial" w:hAnsi="Arial"/>
                <w:sz w:val="14"/>
                <w:szCs w:val="14"/>
                <w:b w:val="1"/>
                <w:bCs w:val="1"/>
                <w:color w:val="auto"/>
                <w:w w:val="92"/>
              </w:rPr>
              <w:t>Underlying</w:t>
            </w:r>
          </w:p>
        </w:tc>
        <w:tc>
          <w:tcPr>
            <w:tcW w:w="134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2"/>
              </w:rPr>
              <w:t>Underlying</w:t>
            </w: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9"/>
              </w:rPr>
              <w:t>Stock</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Rights</w:t>
            </w:r>
          </w:p>
        </w:tc>
      </w:tr>
      <w:tr>
        <w:trPr>
          <w:trHeight w:val="149"/>
        </w:trPr>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43"/>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4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88"/>
              </w:rPr>
              <w:t>Unexercised</w:t>
            </w:r>
          </w:p>
        </w:tc>
        <w:tc>
          <w:tcPr>
            <w:tcW w:w="62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93"/>
              </w:rPr>
              <w:t>Option</w:t>
            </w:r>
          </w:p>
        </w:tc>
        <w:tc>
          <w:tcPr>
            <w:tcW w:w="7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That</w:t>
            </w:r>
          </w:p>
        </w:tc>
      </w:tr>
      <w:tr>
        <w:trPr>
          <w:trHeight w:val="183"/>
        </w:trPr>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3"/>
              <w:spacing w:after="0"/>
              <w:rPr>
                <w:sz w:val="20"/>
                <w:szCs w:val="20"/>
                <w:color w:val="auto"/>
              </w:rPr>
            </w:pPr>
            <w:r>
              <w:rPr>
                <w:rFonts w:ascii="Arial" w:cs="Arial" w:eastAsia="Arial" w:hAnsi="Arial"/>
                <w:sz w:val="14"/>
                <w:szCs w:val="14"/>
                <w:b w:val="1"/>
                <w:bCs w:val="1"/>
                <w:color w:val="auto"/>
                <w:w w:val="90"/>
              </w:rPr>
              <w:t>Options</w:t>
            </w:r>
          </w:p>
        </w:tc>
        <w:tc>
          <w:tcPr>
            <w:tcW w:w="1340" w:type="dxa"/>
            <w:vAlign w:val="bottom"/>
          </w:tcPr>
          <w:p>
            <w:pPr>
              <w:jc w:val="center"/>
              <w:ind w:right="25"/>
              <w:spacing w:after="0"/>
              <w:rPr>
                <w:sz w:val="20"/>
                <w:szCs w:val="20"/>
                <w:color w:val="auto"/>
              </w:rPr>
            </w:pPr>
            <w:r>
              <w:rPr>
                <w:rFonts w:ascii="Arial" w:cs="Arial" w:eastAsia="Arial" w:hAnsi="Arial"/>
                <w:sz w:val="14"/>
                <w:szCs w:val="14"/>
                <w:b w:val="1"/>
                <w:bCs w:val="1"/>
                <w:color w:val="auto"/>
                <w:w w:val="90"/>
              </w:rPr>
              <w:t>Options</w:t>
            </w:r>
          </w:p>
        </w:tc>
        <w:tc>
          <w:tcPr>
            <w:tcW w:w="620" w:type="dxa"/>
            <w:vAlign w:val="bottom"/>
          </w:tcPr>
          <w:p>
            <w:pPr>
              <w:jc w:val="center"/>
              <w:ind w:right="25"/>
              <w:spacing w:after="0"/>
              <w:rPr>
                <w:sz w:val="20"/>
                <w:szCs w:val="20"/>
                <w:color w:val="auto"/>
              </w:rPr>
            </w:pPr>
            <w:r>
              <w:rPr>
                <w:rFonts w:ascii="Arial" w:cs="Arial" w:eastAsia="Arial" w:hAnsi="Arial"/>
                <w:sz w:val="14"/>
                <w:szCs w:val="14"/>
                <w:b w:val="1"/>
                <w:bCs w:val="1"/>
                <w:color w:val="auto"/>
                <w:w w:val="90"/>
              </w:rPr>
              <w:t>Exercise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5"/>
                <w:szCs w:val="15"/>
                <w:color w:val="auto"/>
              </w:rPr>
            </w:pPr>
          </w:p>
        </w:tc>
        <w:tc>
          <w:tcPr>
            <w:tcW w:w="760" w:type="dxa"/>
            <w:vAlign w:val="bottom"/>
          </w:tcPr>
          <w:p>
            <w:pPr>
              <w:jc w:val="center"/>
              <w:ind w:right="32"/>
              <w:spacing w:after="0"/>
              <w:rPr>
                <w:sz w:val="20"/>
                <w:szCs w:val="20"/>
                <w:color w:val="auto"/>
              </w:rPr>
            </w:pPr>
            <w:r>
              <w:rPr>
                <w:rFonts w:ascii="Arial" w:cs="Arial" w:eastAsia="Arial" w:hAnsi="Arial"/>
                <w:sz w:val="14"/>
                <w:szCs w:val="14"/>
                <w:b w:val="1"/>
                <w:bCs w:val="1"/>
                <w:color w:val="auto"/>
                <w:w w:val="94"/>
              </w:rPr>
              <w:t>Not</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Have Not</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Have Not</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Have Not</w:t>
            </w:r>
          </w:p>
        </w:tc>
      </w:tr>
      <w:tr>
        <w:trPr>
          <w:trHeight w:val="149"/>
        </w:trPr>
        <w:tc>
          <w:tcPr>
            <w:tcW w:w="1520" w:type="dxa"/>
            <w:vAlign w:val="bottom"/>
          </w:tcPr>
          <w:p>
            <w:pPr>
              <w:spacing w:after="0"/>
              <w:rPr>
                <w:sz w:val="12"/>
                <w:szCs w:val="12"/>
                <w:color w:val="auto"/>
              </w:rPr>
            </w:pPr>
          </w:p>
        </w:tc>
        <w:tc>
          <w:tcPr>
            <w:tcW w:w="760" w:type="dxa"/>
            <w:vAlign w:val="bottom"/>
          </w:tcPr>
          <w:p>
            <w:pPr>
              <w:jc w:val="right"/>
              <w:ind w:right="124"/>
              <w:spacing w:after="0" w:line="149" w:lineRule="exact"/>
              <w:rPr>
                <w:sz w:val="20"/>
                <w:szCs w:val="20"/>
                <w:color w:val="auto"/>
              </w:rPr>
            </w:pPr>
            <w:r>
              <w:rPr>
                <w:rFonts w:ascii="Arial" w:cs="Arial" w:eastAsia="Arial" w:hAnsi="Arial"/>
                <w:sz w:val="14"/>
                <w:szCs w:val="14"/>
                <w:b w:val="1"/>
                <w:bCs w:val="1"/>
                <w:color w:val="auto"/>
              </w:rPr>
              <w:t>Grant</w:t>
            </w: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34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3"/>
              </w:rPr>
              <w:t>(#)</w:t>
            </w:r>
          </w:p>
        </w:tc>
        <w:tc>
          <w:tcPr>
            <w:tcW w:w="620" w:type="dxa"/>
            <w:vAlign w:val="bottom"/>
          </w:tcPr>
          <w:p>
            <w:pPr>
              <w:jc w:val="center"/>
              <w:ind w:right="25"/>
              <w:spacing w:after="0" w:line="149" w:lineRule="exact"/>
              <w:rPr>
                <w:sz w:val="20"/>
                <w:szCs w:val="20"/>
                <w:color w:val="auto"/>
              </w:rPr>
            </w:pPr>
            <w:r>
              <w:rPr>
                <w:rFonts w:ascii="Arial" w:cs="Arial" w:eastAsia="Arial" w:hAnsi="Arial"/>
                <w:sz w:val="11"/>
                <w:szCs w:val="11"/>
                <w:b w:val="1"/>
                <w:bCs w:val="1"/>
                <w:color w:val="auto"/>
              </w:rPr>
              <w:t>Price</w:t>
            </w:r>
            <w:r>
              <w:rPr>
                <w:rFonts w:ascii="Arial" w:cs="Arial" w:eastAsia="Arial" w:hAnsi="Arial"/>
                <w:sz w:val="17"/>
                <w:szCs w:val="17"/>
                <w:b w:val="1"/>
                <w:bCs w:val="1"/>
                <w:color w:val="auto"/>
                <w:vertAlign w:val="superscript"/>
              </w:rPr>
              <w:t>(1)</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60" w:type="dxa"/>
            <w:vAlign w:val="bottom"/>
          </w:tcPr>
          <w:p>
            <w:pPr>
              <w:spacing w:after="0"/>
              <w:rPr>
                <w:sz w:val="12"/>
                <w:szCs w:val="12"/>
                <w:color w:val="auto"/>
              </w:rPr>
            </w:pPr>
          </w:p>
        </w:tc>
        <w:tc>
          <w:tcPr>
            <w:tcW w:w="760" w:type="dxa"/>
            <w:vAlign w:val="bottom"/>
          </w:tcPr>
          <w:p>
            <w:pPr>
              <w:jc w:val="center"/>
              <w:ind w:right="32"/>
              <w:spacing w:after="0" w:line="149"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7"/>
                <w:szCs w:val="17"/>
                <w:b w:val="1"/>
                <w:bCs w:val="1"/>
                <w:color w:val="auto"/>
                <w:vertAlign w:val="superscript"/>
              </w:rPr>
              <w:t>(3)</w:t>
            </w:r>
          </w:p>
        </w:tc>
        <w:tc>
          <w:tcPr>
            <w:tcW w:w="86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7"/>
                <w:szCs w:val="17"/>
                <w:b w:val="1"/>
                <w:bCs w:val="1"/>
                <w:color w:val="auto"/>
                <w:vertAlign w:val="superscript"/>
              </w:rPr>
              <w:t>(4)</w:t>
            </w:r>
          </w:p>
        </w:tc>
        <w:tc>
          <w:tcPr>
            <w:tcW w:w="86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7"/>
                <w:szCs w:val="17"/>
                <w:b w:val="1"/>
                <w:bCs w:val="1"/>
                <w:color w:val="auto"/>
                <w:vertAlign w:val="superscript"/>
              </w:rPr>
              <w:t>(5)</w:t>
            </w: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7"/>
                <w:szCs w:val="17"/>
                <w:b w:val="1"/>
                <w:bCs w:val="1"/>
                <w:color w:val="auto"/>
                <w:vertAlign w:val="superscript"/>
              </w:rPr>
              <w:t>(4)</w:t>
            </w:r>
          </w:p>
        </w:tc>
      </w:tr>
      <w:tr>
        <w:trPr>
          <w:trHeight w:val="189"/>
        </w:trPr>
        <w:tc>
          <w:tcPr>
            <w:tcW w:w="1520" w:type="dxa"/>
            <w:vAlign w:val="bottom"/>
            <w:tcBorders>
              <w:bottom w:val="single" w:sz="8" w:color="005C7D"/>
            </w:tcBorders>
          </w:tcPr>
          <w:p>
            <w:pPr>
              <w:ind w:left="20"/>
              <w:spacing w:after="0"/>
              <w:rPr>
                <w:sz w:val="20"/>
                <w:szCs w:val="20"/>
                <w:color w:val="auto"/>
              </w:rPr>
            </w:pPr>
            <w:r>
              <w:rPr>
                <w:rFonts w:ascii="Arial" w:cs="Arial" w:eastAsia="Arial" w:hAnsi="Arial"/>
                <w:sz w:val="14"/>
                <w:szCs w:val="14"/>
                <w:b w:val="1"/>
                <w:bCs w:val="1"/>
                <w:color w:val="auto"/>
              </w:rPr>
              <w:t>Name</w:t>
            </w:r>
          </w:p>
        </w:tc>
        <w:tc>
          <w:tcPr>
            <w:tcW w:w="760" w:type="dxa"/>
            <w:vAlign w:val="bottom"/>
            <w:tcBorders>
              <w:bottom w:val="single" w:sz="8" w:color="005C7D"/>
            </w:tcBorders>
          </w:tcPr>
          <w:p>
            <w:pPr>
              <w:jc w:val="right"/>
              <w:ind w:right="164"/>
              <w:spacing w:after="0"/>
              <w:rPr>
                <w:sz w:val="20"/>
                <w:szCs w:val="20"/>
                <w:color w:val="auto"/>
              </w:rPr>
            </w:pPr>
            <w:r>
              <w:rPr>
                <w:rFonts w:ascii="Arial" w:cs="Arial" w:eastAsia="Arial" w:hAnsi="Arial"/>
                <w:sz w:val="14"/>
                <w:szCs w:val="14"/>
                <w:b w:val="1"/>
                <w:bCs w:val="1"/>
                <w:color w:val="auto"/>
              </w:rPr>
              <w:t>Date</w:t>
            </w:r>
          </w:p>
        </w:tc>
        <w:tc>
          <w:tcPr>
            <w:tcW w:w="1100" w:type="dxa"/>
            <w:vAlign w:val="bottom"/>
            <w:tcBorders>
              <w:bottom w:val="single" w:sz="8" w:color="005C7D"/>
            </w:tcBorders>
            <w:gridSpan w:val="3"/>
          </w:tcPr>
          <w:p>
            <w:pPr>
              <w:jc w:val="center"/>
              <w:spacing w:after="0" w:line="189" w:lineRule="exact"/>
              <w:rPr>
                <w:sz w:val="20"/>
                <w:szCs w:val="20"/>
                <w:color w:val="auto"/>
              </w:rPr>
            </w:pPr>
            <w:r>
              <w:rPr>
                <w:rFonts w:ascii="Arial" w:cs="Arial" w:eastAsia="Arial" w:hAnsi="Arial"/>
                <w:sz w:val="13"/>
                <w:szCs w:val="13"/>
                <w:b w:val="1"/>
                <w:bCs w:val="1"/>
                <w:color w:val="auto"/>
                <w:w w:val="90"/>
              </w:rPr>
              <w:t>Exercisable</w:t>
            </w:r>
            <w:r>
              <w:rPr>
                <w:rFonts w:ascii="Arial" w:cs="Arial" w:eastAsia="Arial" w:hAnsi="Arial"/>
                <w:sz w:val="21"/>
                <w:szCs w:val="21"/>
                <w:b w:val="1"/>
                <w:bCs w:val="1"/>
                <w:color w:val="auto"/>
                <w:w w:val="90"/>
                <w:vertAlign w:val="superscript"/>
              </w:rPr>
              <w:t>(1)(2)</w:t>
            </w:r>
          </w:p>
        </w:tc>
        <w:tc>
          <w:tcPr>
            <w:tcW w:w="1340" w:type="dxa"/>
            <w:vAlign w:val="bottom"/>
            <w:tcBorders>
              <w:bottom w:val="single" w:sz="8" w:color="005C7D"/>
            </w:tcBorders>
          </w:tcPr>
          <w:p>
            <w:pPr>
              <w:jc w:val="center"/>
              <w:ind w:right="25"/>
              <w:spacing w:after="0" w:line="189" w:lineRule="exact"/>
              <w:rPr>
                <w:sz w:val="20"/>
                <w:szCs w:val="20"/>
                <w:color w:val="auto"/>
              </w:rPr>
            </w:pPr>
            <w:r>
              <w:rPr>
                <w:rFonts w:ascii="Arial" w:cs="Arial" w:eastAsia="Arial" w:hAnsi="Arial"/>
                <w:sz w:val="13"/>
                <w:szCs w:val="13"/>
                <w:b w:val="1"/>
                <w:bCs w:val="1"/>
                <w:color w:val="auto"/>
                <w:w w:val="91"/>
              </w:rPr>
              <w:t>Unexercisable</w:t>
            </w:r>
            <w:r>
              <w:rPr>
                <w:rFonts w:ascii="Arial" w:cs="Arial" w:eastAsia="Arial" w:hAnsi="Arial"/>
                <w:sz w:val="21"/>
                <w:szCs w:val="21"/>
                <w:b w:val="1"/>
                <w:bCs w:val="1"/>
                <w:color w:val="auto"/>
                <w:w w:val="91"/>
                <w:vertAlign w:val="superscript"/>
              </w:rPr>
              <w:t>(1)(2)</w:t>
            </w:r>
          </w:p>
        </w:tc>
        <w:tc>
          <w:tcPr>
            <w:tcW w:w="620" w:type="dxa"/>
            <w:vAlign w:val="bottom"/>
            <w:tcBorders>
              <w:bottom w:val="single" w:sz="8" w:color="005C7D"/>
            </w:tcBorders>
          </w:tcPr>
          <w:p>
            <w:pPr>
              <w:jc w:val="center"/>
              <w:ind w:right="25"/>
              <w:spacing w:after="0"/>
              <w:rPr>
                <w:sz w:val="20"/>
                <w:szCs w:val="20"/>
                <w:color w:val="auto"/>
              </w:rPr>
            </w:pPr>
            <w:r>
              <w:rPr>
                <w:rFonts w:ascii="Arial" w:cs="Arial" w:eastAsia="Arial" w:hAnsi="Arial"/>
                <w:sz w:val="14"/>
                <w:szCs w:val="14"/>
                <w:b w:val="1"/>
                <w:bCs w:val="1"/>
                <w:color w:val="auto"/>
                <w:w w:val="93"/>
              </w:rPr>
              <w:t>($)</w:t>
            </w:r>
          </w:p>
        </w:tc>
        <w:tc>
          <w:tcPr>
            <w:tcW w:w="760" w:type="dxa"/>
            <w:vAlign w:val="bottom"/>
            <w:tcBorders>
              <w:bottom w:val="single" w:sz="8" w:color="005C7D"/>
            </w:tcBorders>
          </w:tcPr>
          <w:p>
            <w:pPr>
              <w:jc w:val="center"/>
              <w:ind w:left="4"/>
              <w:spacing w:after="0"/>
              <w:rPr>
                <w:sz w:val="20"/>
                <w:szCs w:val="20"/>
                <w:color w:val="auto"/>
              </w:rPr>
            </w:pPr>
            <w:r>
              <w:rPr>
                <w:rFonts w:ascii="Arial" w:cs="Arial" w:eastAsia="Arial" w:hAnsi="Arial"/>
                <w:sz w:val="14"/>
                <w:szCs w:val="14"/>
                <w:b w:val="1"/>
                <w:bCs w:val="1"/>
                <w:color w:val="auto"/>
                <w:w w:val="92"/>
              </w:rPr>
              <w:t>Date</w:t>
            </w:r>
          </w:p>
        </w:tc>
        <w:tc>
          <w:tcPr>
            <w:tcW w:w="920" w:type="dxa"/>
            <w:vAlign w:val="bottom"/>
            <w:tcBorders>
              <w:bottom w:val="single" w:sz="8" w:color="005C7D"/>
            </w:tcBorders>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860" w:type="dxa"/>
            <w:vAlign w:val="bottom"/>
            <w:tcBorders>
              <w:bottom w:val="single" w:sz="8" w:color="005C7D"/>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60" w:type="dxa"/>
            <w:vAlign w:val="bottom"/>
            <w:tcBorders>
              <w:bottom w:val="single" w:sz="8" w:color="005C7D"/>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720" w:type="dxa"/>
            <w:vAlign w:val="bottom"/>
            <w:tcBorders>
              <w:bottom w:val="single" w:sz="8" w:color="005C7D"/>
            </w:tcBorders>
          </w:tcPr>
          <w:p>
            <w:pPr>
              <w:jc w:val="center"/>
              <w:ind w:left="8"/>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005C7D"/>
            </w:tcBorders>
          </w:tcPr>
          <w:p>
            <w:pPr>
              <w:spacing w:after="0"/>
              <w:rPr>
                <w:sz w:val="16"/>
                <w:szCs w:val="16"/>
                <w:color w:val="auto"/>
              </w:rPr>
            </w:pPr>
          </w:p>
        </w:tc>
      </w:tr>
      <w:tr>
        <w:trPr>
          <w:trHeight w:val="183"/>
        </w:trPr>
        <w:tc>
          <w:tcPr>
            <w:tcW w:w="1520" w:type="dxa"/>
            <w:vAlign w:val="bottom"/>
            <w:shd w:val="clear" w:color="auto" w:fill="CDDAE6"/>
          </w:tcPr>
          <w:p>
            <w:pPr>
              <w:ind w:left="20"/>
              <w:spacing w:after="0"/>
              <w:rPr>
                <w:sz w:val="20"/>
                <w:szCs w:val="20"/>
                <w:color w:val="auto"/>
              </w:rPr>
            </w:pPr>
            <w:r>
              <w:rPr>
                <w:rFonts w:ascii="Arial" w:cs="Arial" w:eastAsia="Arial" w:hAnsi="Arial"/>
                <w:sz w:val="15"/>
                <w:szCs w:val="15"/>
                <w:color w:val="auto"/>
              </w:rPr>
              <w:t>Michael T. Strianese</w:t>
            </w: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2/16/16</w:t>
            </w:r>
          </w:p>
        </w:tc>
        <w:tc>
          <w:tcPr>
            <w:tcW w:w="120" w:type="dxa"/>
            <w:vAlign w:val="bottom"/>
            <w:shd w:val="clear" w:color="auto" w:fill="CDDAE6"/>
          </w:tcPr>
          <w:p>
            <w:pPr>
              <w:spacing w:after="0"/>
              <w:rPr>
                <w:sz w:val="15"/>
                <w:szCs w:val="15"/>
                <w:color w:val="auto"/>
              </w:rPr>
            </w:pPr>
          </w:p>
        </w:tc>
        <w:tc>
          <w:tcPr>
            <w:tcW w:w="280" w:type="dxa"/>
            <w:vAlign w:val="bottom"/>
            <w:shd w:val="clear" w:color="auto" w:fill="CDDAE6"/>
          </w:tcPr>
          <w:p>
            <w:pPr>
              <w:spacing w:after="0"/>
              <w:rPr>
                <w:sz w:val="15"/>
                <w:szCs w:val="15"/>
                <w:color w:val="auto"/>
              </w:rPr>
            </w:pPr>
          </w:p>
        </w:tc>
        <w:tc>
          <w:tcPr>
            <w:tcW w:w="700" w:type="dxa"/>
            <w:vAlign w:val="bottom"/>
            <w:shd w:val="clear" w:color="auto" w:fill="CDDAE6"/>
          </w:tcPr>
          <w:p>
            <w:pPr>
              <w:jc w:val="right"/>
              <w:ind w:right="23"/>
              <w:spacing w:after="0"/>
              <w:rPr>
                <w:sz w:val="20"/>
                <w:szCs w:val="20"/>
                <w:color w:val="auto"/>
              </w:rPr>
            </w:pPr>
            <w:r>
              <w:rPr>
                <w:rFonts w:ascii="Arial" w:cs="Arial" w:eastAsia="Arial" w:hAnsi="Arial"/>
                <w:sz w:val="15"/>
                <w:szCs w:val="15"/>
                <w:color w:val="auto"/>
              </w:rPr>
              <w:t>—</w:t>
            </w:r>
          </w:p>
        </w:tc>
        <w:tc>
          <w:tcPr>
            <w:tcW w:w="1340" w:type="dxa"/>
            <w:vAlign w:val="bottom"/>
            <w:shd w:val="clear" w:color="auto" w:fill="CDDAE6"/>
          </w:tcPr>
          <w:p>
            <w:pPr>
              <w:jc w:val="right"/>
              <w:ind w:right="105"/>
              <w:spacing w:after="0"/>
              <w:rPr>
                <w:sz w:val="20"/>
                <w:szCs w:val="20"/>
                <w:color w:val="auto"/>
              </w:rPr>
            </w:pPr>
            <w:r>
              <w:rPr>
                <w:rFonts w:ascii="Arial" w:cs="Arial" w:eastAsia="Arial" w:hAnsi="Arial"/>
                <w:sz w:val="15"/>
                <w:szCs w:val="15"/>
                <w:color w:val="auto"/>
              </w:rPr>
              <w:t>183,150</w:t>
            </w:r>
          </w:p>
        </w:tc>
        <w:tc>
          <w:tcPr>
            <w:tcW w:w="620" w:type="dxa"/>
            <w:vAlign w:val="bottom"/>
            <w:shd w:val="clear" w:color="auto" w:fill="CDDAE6"/>
          </w:tcPr>
          <w:p>
            <w:pPr>
              <w:jc w:val="right"/>
              <w:ind w:right="25"/>
              <w:spacing w:after="0"/>
              <w:rPr>
                <w:sz w:val="20"/>
                <w:szCs w:val="20"/>
                <w:color w:val="auto"/>
              </w:rPr>
            </w:pPr>
            <w:r>
              <w:rPr>
                <w:rFonts w:ascii="Arial" w:cs="Arial" w:eastAsia="Arial" w:hAnsi="Arial"/>
                <w:sz w:val="15"/>
                <w:szCs w:val="15"/>
                <w:color w:val="auto"/>
              </w:rPr>
              <w:t>116.20</w:t>
            </w: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2/16/26</w:t>
            </w:r>
          </w:p>
        </w:tc>
        <w:tc>
          <w:tcPr>
            <w:tcW w:w="920" w:type="dxa"/>
            <w:vAlign w:val="bottom"/>
            <w:gridSpan w:val="2"/>
            <w:shd w:val="clear" w:color="auto" w:fill="CDDAE6"/>
          </w:tcPr>
          <w:p>
            <w:pPr>
              <w:jc w:val="right"/>
              <w:ind w:right="52"/>
              <w:spacing w:after="0"/>
              <w:rPr>
                <w:sz w:val="20"/>
                <w:szCs w:val="20"/>
                <w:color w:val="auto"/>
              </w:rPr>
            </w:pPr>
            <w:r>
              <w:rPr>
                <w:rFonts w:ascii="Arial" w:cs="Arial" w:eastAsia="Arial" w:hAnsi="Arial"/>
                <w:sz w:val="15"/>
                <w:szCs w:val="15"/>
                <w:color w:val="auto"/>
              </w:rPr>
              <w:t>25,818</w:t>
            </w:r>
          </w:p>
        </w:tc>
        <w:tc>
          <w:tcPr>
            <w:tcW w:w="860" w:type="dxa"/>
            <w:vAlign w:val="bottom"/>
            <w:shd w:val="clear" w:color="auto" w:fill="CDDAE6"/>
          </w:tcPr>
          <w:p>
            <w:pPr>
              <w:jc w:val="right"/>
              <w:ind w:right="27"/>
              <w:spacing w:after="0"/>
              <w:rPr>
                <w:sz w:val="20"/>
                <w:szCs w:val="20"/>
                <w:color w:val="auto"/>
              </w:rPr>
            </w:pPr>
            <w:r>
              <w:rPr>
                <w:rFonts w:ascii="Arial" w:cs="Arial" w:eastAsia="Arial" w:hAnsi="Arial"/>
                <w:sz w:val="15"/>
                <w:szCs w:val="15"/>
                <w:color w:val="auto"/>
              </w:rPr>
              <w:t>3,927,176</w:t>
            </w:r>
          </w:p>
        </w:tc>
        <w:tc>
          <w:tcPr>
            <w:tcW w:w="860" w:type="dxa"/>
            <w:vAlign w:val="bottom"/>
            <w:shd w:val="clear" w:color="auto" w:fill="CDDAE6"/>
          </w:tcPr>
          <w:p>
            <w:pPr>
              <w:jc w:val="right"/>
              <w:ind w:right="48"/>
              <w:spacing w:after="0"/>
              <w:rPr>
                <w:sz w:val="20"/>
                <w:szCs w:val="20"/>
                <w:color w:val="auto"/>
              </w:rPr>
            </w:pPr>
            <w:r>
              <w:rPr>
                <w:rFonts w:ascii="Arial" w:cs="Arial" w:eastAsia="Arial" w:hAnsi="Arial"/>
                <w:sz w:val="15"/>
                <w:szCs w:val="15"/>
                <w:color w:val="auto"/>
              </w:rPr>
              <w:t>34,424</w:t>
            </w:r>
          </w:p>
        </w:tc>
        <w:tc>
          <w:tcPr>
            <w:tcW w:w="820" w:type="dxa"/>
            <w:vAlign w:val="bottom"/>
            <w:gridSpan w:val="2"/>
            <w:shd w:val="clear" w:color="auto" w:fill="CDDAE6"/>
          </w:tcPr>
          <w:p>
            <w:pPr>
              <w:jc w:val="right"/>
              <w:ind w:right="40"/>
              <w:spacing w:after="0"/>
              <w:rPr>
                <w:sz w:val="20"/>
                <w:szCs w:val="20"/>
                <w:color w:val="auto"/>
              </w:rPr>
            </w:pPr>
            <w:r>
              <w:rPr>
                <w:rFonts w:ascii="Arial" w:cs="Arial" w:eastAsia="Arial" w:hAnsi="Arial"/>
                <w:sz w:val="15"/>
                <w:szCs w:val="15"/>
                <w:color w:val="auto"/>
              </w:rPr>
              <w:t>5,236,235</w:t>
            </w:r>
          </w:p>
        </w:tc>
      </w:tr>
      <w:tr>
        <w:trPr>
          <w:trHeight w:val="189"/>
        </w:trPr>
        <w:tc>
          <w:tcPr>
            <w:tcW w:w="1520" w:type="dxa"/>
            <w:vAlign w:val="bottom"/>
            <w:shd w:val="clear" w:color="auto" w:fill="CDDAE6"/>
          </w:tcPr>
          <w:p>
            <w:pPr>
              <w:spacing w:after="0"/>
              <w:rPr>
                <w:sz w:val="16"/>
                <w:szCs w:val="16"/>
                <w:color w:val="auto"/>
              </w:rPr>
            </w:pP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2/17/15</w:t>
            </w:r>
          </w:p>
        </w:tc>
        <w:tc>
          <w:tcPr>
            <w:tcW w:w="1100" w:type="dxa"/>
            <w:vAlign w:val="bottom"/>
            <w:gridSpan w:val="3"/>
            <w:shd w:val="clear" w:color="auto" w:fill="CDDAE6"/>
          </w:tcPr>
          <w:p>
            <w:pPr>
              <w:jc w:val="right"/>
              <w:ind w:right="23"/>
              <w:spacing w:after="0"/>
              <w:rPr>
                <w:sz w:val="20"/>
                <w:szCs w:val="20"/>
                <w:color w:val="auto"/>
              </w:rPr>
            </w:pPr>
            <w:r>
              <w:rPr>
                <w:rFonts w:ascii="Arial" w:cs="Arial" w:eastAsia="Arial" w:hAnsi="Arial"/>
                <w:sz w:val="15"/>
                <w:szCs w:val="15"/>
                <w:color w:val="auto"/>
              </w:rPr>
              <w:t>48,971</w:t>
            </w:r>
          </w:p>
        </w:tc>
        <w:tc>
          <w:tcPr>
            <w:tcW w:w="1340" w:type="dxa"/>
            <w:vAlign w:val="bottom"/>
            <w:shd w:val="clear" w:color="auto" w:fill="CDDAE6"/>
          </w:tcPr>
          <w:p>
            <w:pPr>
              <w:jc w:val="right"/>
              <w:ind w:right="105"/>
              <w:spacing w:after="0"/>
              <w:rPr>
                <w:sz w:val="20"/>
                <w:szCs w:val="20"/>
                <w:color w:val="auto"/>
              </w:rPr>
            </w:pPr>
            <w:r>
              <w:rPr>
                <w:rFonts w:ascii="Arial" w:cs="Arial" w:eastAsia="Arial" w:hAnsi="Arial"/>
                <w:sz w:val="15"/>
                <w:szCs w:val="15"/>
                <w:color w:val="auto"/>
              </w:rPr>
              <w:t>97,944</w:t>
            </w:r>
          </w:p>
        </w:tc>
        <w:tc>
          <w:tcPr>
            <w:tcW w:w="620" w:type="dxa"/>
            <w:vAlign w:val="bottom"/>
            <w:shd w:val="clear" w:color="auto" w:fill="CDDAE6"/>
          </w:tcPr>
          <w:p>
            <w:pPr>
              <w:jc w:val="right"/>
              <w:ind w:right="25"/>
              <w:spacing w:after="0"/>
              <w:rPr>
                <w:sz w:val="20"/>
                <w:szCs w:val="20"/>
                <w:color w:val="auto"/>
              </w:rPr>
            </w:pPr>
            <w:r>
              <w:rPr>
                <w:rFonts w:ascii="Arial" w:cs="Arial" w:eastAsia="Arial" w:hAnsi="Arial"/>
                <w:sz w:val="15"/>
                <w:szCs w:val="15"/>
                <w:color w:val="auto"/>
              </w:rPr>
              <w:t>129.31</w:t>
            </w: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2/17/25</w:t>
            </w:r>
          </w:p>
        </w:tc>
        <w:tc>
          <w:tcPr>
            <w:tcW w:w="920" w:type="dxa"/>
            <w:vAlign w:val="bottom"/>
            <w:gridSpan w:val="2"/>
            <w:shd w:val="clear" w:color="auto" w:fill="CDDAE6"/>
          </w:tcPr>
          <w:p>
            <w:pPr>
              <w:jc w:val="right"/>
              <w:ind w:right="52"/>
              <w:spacing w:after="0"/>
              <w:rPr>
                <w:sz w:val="20"/>
                <w:szCs w:val="20"/>
                <w:color w:val="auto"/>
              </w:rPr>
            </w:pPr>
            <w:r>
              <w:rPr>
                <w:rFonts w:ascii="Arial" w:cs="Arial" w:eastAsia="Arial" w:hAnsi="Arial"/>
                <w:sz w:val="15"/>
                <w:szCs w:val="15"/>
                <w:color w:val="auto"/>
              </w:rPr>
              <w:t>23,200</w:t>
            </w:r>
          </w:p>
        </w:tc>
        <w:tc>
          <w:tcPr>
            <w:tcW w:w="860" w:type="dxa"/>
            <w:vAlign w:val="bottom"/>
            <w:shd w:val="clear" w:color="auto" w:fill="CDDAE6"/>
          </w:tcPr>
          <w:p>
            <w:pPr>
              <w:jc w:val="right"/>
              <w:ind w:right="27"/>
              <w:spacing w:after="0"/>
              <w:rPr>
                <w:sz w:val="20"/>
                <w:szCs w:val="20"/>
                <w:color w:val="auto"/>
              </w:rPr>
            </w:pPr>
            <w:r>
              <w:rPr>
                <w:rFonts w:ascii="Arial" w:cs="Arial" w:eastAsia="Arial" w:hAnsi="Arial"/>
                <w:sz w:val="15"/>
                <w:szCs w:val="15"/>
                <w:color w:val="auto"/>
              </w:rPr>
              <w:t>3,528,952</w:t>
            </w:r>
          </w:p>
        </w:tc>
        <w:tc>
          <w:tcPr>
            <w:tcW w:w="860" w:type="dxa"/>
            <w:vAlign w:val="bottom"/>
            <w:shd w:val="clear" w:color="auto" w:fill="CDDAE6"/>
          </w:tcPr>
          <w:p>
            <w:pPr>
              <w:jc w:val="right"/>
              <w:ind w:right="48"/>
              <w:spacing w:after="0"/>
              <w:rPr>
                <w:sz w:val="20"/>
                <w:szCs w:val="20"/>
                <w:color w:val="auto"/>
              </w:rPr>
            </w:pPr>
            <w:r>
              <w:rPr>
                <w:rFonts w:ascii="Arial" w:cs="Arial" w:eastAsia="Arial" w:hAnsi="Arial"/>
                <w:sz w:val="15"/>
                <w:szCs w:val="15"/>
                <w:color w:val="auto"/>
              </w:rPr>
              <w:t>15,467</w:t>
            </w:r>
          </w:p>
        </w:tc>
        <w:tc>
          <w:tcPr>
            <w:tcW w:w="820" w:type="dxa"/>
            <w:vAlign w:val="bottom"/>
            <w:gridSpan w:val="2"/>
            <w:shd w:val="clear" w:color="auto" w:fill="CDDAE6"/>
          </w:tcPr>
          <w:p>
            <w:pPr>
              <w:jc w:val="right"/>
              <w:ind w:right="40"/>
              <w:spacing w:after="0"/>
              <w:rPr>
                <w:sz w:val="20"/>
                <w:szCs w:val="20"/>
                <w:color w:val="auto"/>
              </w:rPr>
            </w:pPr>
            <w:r>
              <w:rPr>
                <w:rFonts w:ascii="Arial" w:cs="Arial" w:eastAsia="Arial" w:hAnsi="Arial"/>
                <w:sz w:val="15"/>
                <w:szCs w:val="15"/>
                <w:color w:val="auto"/>
              </w:rPr>
              <w:t>2,352,685</w:t>
            </w:r>
          </w:p>
        </w:tc>
      </w:tr>
      <w:tr>
        <w:trPr>
          <w:trHeight w:val="189"/>
        </w:trPr>
        <w:tc>
          <w:tcPr>
            <w:tcW w:w="1520" w:type="dxa"/>
            <w:vAlign w:val="bottom"/>
            <w:shd w:val="clear" w:color="auto" w:fill="CDDAE6"/>
          </w:tcPr>
          <w:p>
            <w:pPr>
              <w:spacing w:after="0"/>
              <w:rPr>
                <w:sz w:val="16"/>
                <w:szCs w:val="16"/>
                <w:color w:val="auto"/>
              </w:rPr>
            </w:pP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2/19/14</w:t>
            </w:r>
          </w:p>
        </w:tc>
        <w:tc>
          <w:tcPr>
            <w:tcW w:w="1100" w:type="dxa"/>
            <w:vAlign w:val="bottom"/>
            <w:gridSpan w:val="3"/>
            <w:shd w:val="clear" w:color="auto" w:fill="CDDAE6"/>
          </w:tcPr>
          <w:p>
            <w:pPr>
              <w:jc w:val="right"/>
              <w:ind w:right="23"/>
              <w:spacing w:after="0"/>
              <w:rPr>
                <w:sz w:val="20"/>
                <w:szCs w:val="20"/>
                <w:color w:val="auto"/>
              </w:rPr>
            </w:pPr>
            <w:r>
              <w:rPr>
                <w:rFonts w:ascii="Arial" w:cs="Arial" w:eastAsia="Arial" w:hAnsi="Arial"/>
                <w:sz w:val="15"/>
                <w:szCs w:val="15"/>
                <w:color w:val="auto"/>
              </w:rPr>
              <w:t>93,458</w:t>
            </w:r>
          </w:p>
        </w:tc>
        <w:tc>
          <w:tcPr>
            <w:tcW w:w="1340" w:type="dxa"/>
            <w:vAlign w:val="bottom"/>
            <w:shd w:val="clear" w:color="auto" w:fill="CDDAE6"/>
          </w:tcPr>
          <w:p>
            <w:pPr>
              <w:jc w:val="right"/>
              <w:ind w:right="105"/>
              <w:spacing w:after="0"/>
              <w:rPr>
                <w:sz w:val="20"/>
                <w:szCs w:val="20"/>
                <w:color w:val="auto"/>
              </w:rPr>
            </w:pPr>
            <w:r>
              <w:rPr>
                <w:rFonts w:ascii="Arial" w:cs="Arial" w:eastAsia="Arial" w:hAnsi="Arial"/>
                <w:sz w:val="15"/>
                <w:szCs w:val="15"/>
                <w:color w:val="auto"/>
              </w:rPr>
              <w:t>46,729</w:t>
            </w:r>
          </w:p>
        </w:tc>
        <w:tc>
          <w:tcPr>
            <w:tcW w:w="620" w:type="dxa"/>
            <w:vAlign w:val="bottom"/>
            <w:shd w:val="clear" w:color="auto" w:fill="CDDAE6"/>
          </w:tcPr>
          <w:p>
            <w:pPr>
              <w:jc w:val="right"/>
              <w:ind w:right="25"/>
              <w:spacing w:after="0"/>
              <w:rPr>
                <w:sz w:val="20"/>
                <w:szCs w:val="20"/>
                <w:color w:val="auto"/>
              </w:rPr>
            </w:pPr>
            <w:r>
              <w:rPr>
                <w:rFonts w:ascii="Arial" w:cs="Arial" w:eastAsia="Arial" w:hAnsi="Arial"/>
                <w:sz w:val="15"/>
                <w:szCs w:val="15"/>
                <w:color w:val="auto"/>
              </w:rPr>
              <w:t>113.67</w:t>
            </w: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2/19/24</w:t>
            </w:r>
          </w:p>
        </w:tc>
        <w:tc>
          <w:tcPr>
            <w:tcW w:w="920" w:type="dxa"/>
            <w:vAlign w:val="bottom"/>
            <w:gridSpan w:val="2"/>
            <w:shd w:val="clear" w:color="auto" w:fill="CDDAE6"/>
          </w:tcPr>
          <w:p>
            <w:pPr>
              <w:jc w:val="right"/>
              <w:ind w:right="52"/>
              <w:spacing w:after="0"/>
              <w:rPr>
                <w:sz w:val="20"/>
                <w:szCs w:val="20"/>
                <w:color w:val="auto"/>
              </w:rPr>
            </w:pPr>
            <w:r>
              <w:rPr>
                <w:rFonts w:ascii="Arial" w:cs="Arial" w:eastAsia="Arial" w:hAnsi="Arial"/>
                <w:sz w:val="15"/>
                <w:szCs w:val="15"/>
                <w:color w:val="auto"/>
              </w:rPr>
              <w:t>26,392</w:t>
            </w:r>
          </w:p>
        </w:tc>
        <w:tc>
          <w:tcPr>
            <w:tcW w:w="860" w:type="dxa"/>
            <w:vAlign w:val="bottom"/>
            <w:shd w:val="clear" w:color="auto" w:fill="CDDAE6"/>
          </w:tcPr>
          <w:p>
            <w:pPr>
              <w:jc w:val="right"/>
              <w:ind w:right="27"/>
              <w:spacing w:after="0"/>
              <w:rPr>
                <w:sz w:val="20"/>
                <w:szCs w:val="20"/>
                <w:color w:val="auto"/>
              </w:rPr>
            </w:pPr>
            <w:r>
              <w:rPr>
                <w:rFonts w:ascii="Arial" w:cs="Arial" w:eastAsia="Arial" w:hAnsi="Arial"/>
                <w:sz w:val="15"/>
                <w:szCs w:val="15"/>
                <w:color w:val="auto"/>
              </w:rPr>
              <w:t>4,014,487</w:t>
            </w:r>
          </w:p>
        </w:tc>
        <w:tc>
          <w:tcPr>
            <w:tcW w:w="860" w:type="dxa"/>
            <w:vAlign w:val="bottom"/>
            <w:shd w:val="clear" w:color="auto" w:fill="CDDAE6"/>
          </w:tcPr>
          <w:p>
            <w:pPr>
              <w:spacing w:after="0"/>
              <w:rPr>
                <w:sz w:val="16"/>
                <w:szCs w:val="16"/>
                <w:color w:val="auto"/>
              </w:rPr>
            </w:pPr>
          </w:p>
        </w:tc>
        <w:tc>
          <w:tcPr>
            <w:tcW w:w="720" w:type="dxa"/>
            <w:vAlign w:val="bottom"/>
            <w:shd w:val="clear" w:color="auto" w:fill="CDDAE6"/>
          </w:tcPr>
          <w:p>
            <w:pPr>
              <w:spacing w:after="0"/>
              <w:rPr>
                <w:sz w:val="16"/>
                <w:szCs w:val="16"/>
                <w:color w:val="auto"/>
              </w:rPr>
            </w:pPr>
          </w:p>
        </w:tc>
        <w:tc>
          <w:tcPr>
            <w:tcW w:w="100" w:type="dxa"/>
            <w:vAlign w:val="bottom"/>
            <w:shd w:val="clear" w:color="auto" w:fill="CDDAE6"/>
          </w:tcPr>
          <w:p>
            <w:pPr>
              <w:spacing w:after="0"/>
              <w:rPr>
                <w:sz w:val="16"/>
                <w:szCs w:val="16"/>
                <w:color w:val="auto"/>
              </w:rPr>
            </w:pPr>
          </w:p>
        </w:tc>
      </w:tr>
      <w:tr>
        <w:trPr>
          <w:trHeight w:val="189"/>
        </w:trPr>
        <w:tc>
          <w:tcPr>
            <w:tcW w:w="1520" w:type="dxa"/>
            <w:vAlign w:val="bottom"/>
            <w:shd w:val="clear" w:color="auto" w:fill="CDDAE6"/>
          </w:tcPr>
          <w:p>
            <w:pPr>
              <w:spacing w:after="0"/>
              <w:rPr>
                <w:sz w:val="16"/>
                <w:szCs w:val="16"/>
                <w:color w:val="auto"/>
              </w:rPr>
            </w:pP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2/20/13</w:t>
            </w:r>
          </w:p>
        </w:tc>
        <w:tc>
          <w:tcPr>
            <w:tcW w:w="1100" w:type="dxa"/>
            <w:vAlign w:val="bottom"/>
            <w:gridSpan w:val="3"/>
            <w:shd w:val="clear" w:color="auto" w:fill="CDDAE6"/>
          </w:tcPr>
          <w:p>
            <w:pPr>
              <w:jc w:val="right"/>
              <w:ind w:right="23"/>
              <w:spacing w:after="0"/>
              <w:rPr>
                <w:sz w:val="20"/>
                <w:szCs w:val="20"/>
                <w:color w:val="auto"/>
              </w:rPr>
            </w:pPr>
            <w:r>
              <w:rPr>
                <w:rFonts w:ascii="Arial" w:cs="Arial" w:eastAsia="Arial" w:hAnsi="Arial"/>
                <w:sz w:val="15"/>
                <w:szCs w:val="15"/>
                <w:color w:val="auto"/>
              </w:rPr>
              <w:t>248,344</w:t>
            </w:r>
          </w:p>
        </w:tc>
        <w:tc>
          <w:tcPr>
            <w:tcW w:w="1340" w:type="dxa"/>
            <w:vAlign w:val="bottom"/>
            <w:shd w:val="clear" w:color="auto" w:fill="CDDAE6"/>
          </w:tcPr>
          <w:p>
            <w:pPr>
              <w:jc w:val="right"/>
              <w:ind w:right="105"/>
              <w:spacing w:after="0"/>
              <w:rPr>
                <w:sz w:val="20"/>
                <w:szCs w:val="20"/>
                <w:color w:val="auto"/>
              </w:rPr>
            </w:pPr>
            <w:r>
              <w:rPr>
                <w:rFonts w:ascii="Arial" w:cs="Arial" w:eastAsia="Arial" w:hAnsi="Arial"/>
                <w:sz w:val="15"/>
                <w:szCs w:val="15"/>
                <w:color w:val="auto"/>
              </w:rPr>
              <w:t>—</w:t>
            </w:r>
          </w:p>
        </w:tc>
        <w:tc>
          <w:tcPr>
            <w:tcW w:w="620" w:type="dxa"/>
            <w:vAlign w:val="bottom"/>
            <w:shd w:val="clear" w:color="auto" w:fill="CDDAE6"/>
          </w:tcPr>
          <w:p>
            <w:pPr>
              <w:jc w:val="right"/>
              <w:ind w:right="25"/>
              <w:spacing w:after="0"/>
              <w:rPr>
                <w:sz w:val="20"/>
                <w:szCs w:val="20"/>
                <w:color w:val="auto"/>
              </w:rPr>
            </w:pPr>
            <w:r>
              <w:rPr>
                <w:rFonts w:ascii="Arial" w:cs="Arial" w:eastAsia="Arial" w:hAnsi="Arial"/>
                <w:sz w:val="15"/>
                <w:szCs w:val="15"/>
                <w:color w:val="auto"/>
              </w:rPr>
              <w:t>77.00</w:t>
            </w: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2/20/23</w:t>
            </w:r>
          </w:p>
        </w:tc>
        <w:tc>
          <w:tcPr>
            <w:tcW w:w="160" w:type="dxa"/>
            <w:vAlign w:val="bottom"/>
            <w:shd w:val="clear" w:color="auto" w:fill="CDDAE6"/>
          </w:tcPr>
          <w:p>
            <w:pPr>
              <w:spacing w:after="0"/>
              <w:rPr>
                <w:sz w:val="16"/>
                <w:szCs w:val="16"/>
                <w:color w:val="auto"/>
              </w:rPr>
            </w:pPr>
          </w:p>
        </w:tc>
        <w:tc>
          <w:tcPr>
            <w:tcW w:w="7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720" w:type="dxa"/>
            <w:vAlign w:val="bottom"/>
            <w:shd w:val="clear" w:color="auto" w:fill="CDDAE6"/>
          </w:tcPr>
          <w:p>
            <w:pPr>
              <w:spacing w:after="0"/>
              <w:rPr>
                <w:sz w:val="16"/>
                <w:szCs w:val="16"/>
                <w:color w:val="auto"/>
              </w:rPr>
            </w:pPr>
          </w:p>
        </w:tc>
        <w:tc>
          <w:tcPr>
            <w:tcW w:w="100" w:type="dxa"/>
            <w:vAlign w:val="bottom"/>
            <w:shd w:val="clear" w:color="auto" w:fill="CDDAE6"/>
          </w:tcPr>
          <w:p>
            <w:pPr>
              <w:spacing w:after="0"/>
              <w:rPr>
                <w:sz w:val="16"/>
                <w:szCs w:val="16"/>
                <w:color w:val="auto"/>
              </w:rPr>
            </w:pPr>
          </w:p>
        </w:tc>
      </w:tr>
      <w:tr>
        <w:trPr>
          <w:trHeight w:val="189"/>
        </w:trPr>
        <w:tc>
          <w:tcPr>
            <w:tcW w:w="1520" w:type="dxa"/>
            <w:vAlign w:val="bottom"/>
            <w:shd w:val="clear" w:color="auto" w:fill="CDDAE6"/>
          </w:tcPr>
          <w:p>
            <w:pPr>
              <w:spacing w:after="0"/>
              <w:rPr>
                <w:sz w:val="16"/>
                <w:szCs w:val="16"/>
                <w:color w:val="auto"/>
              </w:rPr>
            </w:pP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2/22/12</w:t>
            </w:r>
          </w:p>
        </w:tc>
        <w:tc>
          <w:tcPr>
            <w:tcW w:w="1100" w:type="dxa"/>
            <w:vAlign w:val="bottom"/>
            <w:gridSpan w:val="3"/>
            <w:shd w:val="clear" w:color="auto" w:fill="CDDAE6"/>
          </w:tcPr>
          <w:p>
            <w:pPr>
              <w:jc w:val="right"/>
              <w:ind w:right="23"/>
              <w:spacing w:after="0"/>
              <w:rPr>
                <w:sz w:val="20"/>
                <w:szCs w:val="20"/>
                <w:color w:val="auto"/>
              </w:rPr>
            </w:pPr>
            <w:r>
              <w:rPr>
                <w:rFonts w:ascii="Arial" w:cs="Arial" w:eastAsia="Arial" w:hAnsi="Arial"/>
                <w:sz w:val="15"/>
                <w:szCs w:val="15"/>
                <w:color w:val="auto"/>
              </w:rPr>
              <w:t>26,528</w:t>
            </w:r>
          </w:p>
        </w:tc>
        <w:tc>
          <w:tcPr>
            <w:tcW w:w="1340" w:type="dxa"/>
            <w:vAlign w:val="bottom"/>
            <w:shd w:val="clear" w:color="auto" w:fill="CDDAE6"/>
          </w:tcPr>
          <w:p>
            <w:pPr>
              <w:jc w:val="right"/>
              <w:ind w:right="105"/>
              <w:spacing w:after="0"/>
              <w:rPr>
                <w:sz w:val="20"/>
                <w:szCs w:val="20"/>
                <w:color w:val="auto"/>
              </w:rPr>
            </w:pPr>
            <w:r>
              <w:rPr>
                <w:rFonts w:ascii="Arial" w:cs="Arial" w:eastAsia="Arial" w:hAnsi="Arial"/>
                <w:sz w:val="15"/>
                <w:szCs w:val="15"/>
                <w:color w:val="auto"/>
              </w:rPr>
              <w:t>—</w:t>
            </w:r>
          </w:p>
        </w:tc>
        <w:tc>
          <w:tcPr>
            <w:tcW w:w="620" w:type="dxa"/>
            <w:vAlign w:val="bottom"/>
            <w:shd w:val="clear" w:color="auto" w:fill="CDDAE6"/>
          </w:tcPr>
          <w:p>
            <w:pPr>
              <w:jc w:val="right"/>
              <w:ind w:right="25"/>
              <w:spacing w:after="0"/>
              <w:rPr>
                <w:sz w:val="20"/>
                <w:szCs w:val="20"/>
                <w:color w:val="auto"/>
              </w:rPr>
            </w:pPr>
            <w:r>
              <w:rPr>
                <w:rFonts w:ascii="Arial" w:cs="Arial" w:eastAsia="Arial" w:hAnsi="Arial"/>
                <w:sz w:val="15"/>
                <w:szCs w:val="15"/>
                <w:color w:val="auto"/>
              </w:rPr>
              <w:t>67.49</w:t>
            </w: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2/22/22</w:t>
            </w:r>
          </w:p>
        </w:tc>
        <w:tc>
          <w:tcPr>
            <w:tcW w:w="160" w:type="dxa"/>
            <w:vAlign w:val="bottom"/>
            <w:shd w:val="clear" w:color="auto" w:fill="CDDAE6"/>
          </w:tcPr>
          <w:p>
            <w:pPr>
              <w:spacing w:after="0"/>
              <w:rPr>
                <w:sz w:val="16"/>
                <w:szCs w:val="16"/>
                <w:color w:val="auto"/>
              </w:rPr>
            </w:pPr>
          </w:p>
        </w:tc>
        <w:tc>
          <w:tcPr>
            <w:tcW w:w="7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720" w:type="dxa"/>
            <w:vAlign w:val="bottom"/>
            <w:shd w:val="clear" w:color="auto" w:fill="CDDAE6"/>
          </w:tcPr>
          <w:p>
            <w:pPr>
              <w:spacing w:after="0"/>
              <w:rPr>
                <w:sz w:val="16"/>
                <w:szCs w:val="16"/>
                <w:color w:val="auto"/>
              </w:rPr>
            </w:pPr>
          </w:p>
        </w:tc>
        <w:tc>
          <w:tcPr>
            <w:tcW w:w="100" w:type="dxa"/>
            <w:vAlign w:val="bottom"/>
            <w:shd w:val="clear" w:color="auto" w:fill="CDDAE6"/>
          </w:tcPr>
          <w:p>
            <w:pPr>
              <w:spacing w:after="0"/>
              <w:rPr>
                <w:sz w:val="16"/>
                <w:szCs w:val="16"/>
                <w:color w:val="auto"/>
              </w:rPr>
            </w:pPr>
          </w:p>
        </w:tc>
      </w:tr>
      <w:tr>
        <w:trPr>
          <w:trHeight w:val="189"/>
        </w:trPr>
        <w:tc>
          <w:tcPr>
            <w:tcW w:w="1520" w:type="dxa"/>
            <w:vAlign w:val="bottom"/>
            <w:shd w:val="clear" w:color="auto" w:fill="CDDAE6"/>
          </w:tcPr>
          <w:p>
            <w:pPr>
              <w:spacing w:after="0"/>
              <w:rPr>
                <w:sz w:val="16"/>
                <w:szCs w:val="16"/>
                <w:color w:val="auto"/>
              </w:rPr>
            </w:pP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2/24/11</w:t>
            </w:r>
          </w:p>
        </w:tc>
        <w:tc>
          <w:tcPr>
            <w:tcW w:w="1100" w:type="dxa"/>
            <w:vAlign w:val="bottom"/>
            <w:gridSpan w:val="3"/>
            <w:shd w:val="clear" w:color="auto" w:fill="CDDAE6"/>
          </w:tcPr>
          <w:p>
            <w:pPr>
              <w:jc w:val="right"/>
              <w:ind w:right="23"/>
              <w:spacing w:after="0"/>
              <w:rPr>
                <w:sz w:val="20"/>
                <w:szCs w:val="20"/>
                <w:color w:val="auto"/>
              </w:rPr>
            </w:pPr>
            <w:r>
              <w:rPr>
                <w:rFonts w:ascii="Arial" w:cs="Arial" w:eastAsia="Arial" w:hAnsi="Arial"/>
                <w:sz w:val="15"/>
                <w:szCs w:val="15"/>
                <w:color w:val="auto"/>
              </w:rPr>
              <w:t>248,015</w:t>
            </w:r>
          </w:p>
        </w:tc>
        <w:tc>
          <w:tcPr>
            <w:tcW w:w="1340" w:type="dxa"/>
            <w:vAlign w:val="bottom"/>
            <w:shd w:val="clear" w:color="auto" w:fill="CDDAE6"/>
          </w:tcPr>
          <w:p>
            <w:pPr>
              <w:jc w:val="right"/>
              <w:ind w:right="105"/>
              <w:spacing w:after="0"/>
              <w:rPr>
                <w:sz w:val="20"/>
                <w:szCs w:val="20"/>
                <w:color w:val="auto"/>
              </w:rPr>
            </w:pPr>
            <w:r>
              <w:rPr>
                <w:rFonts w:ascii="Arial" w:cs="Arial" w:eastAsia="Arial" w:hAnsi="Arial"/>
                <w:sz w:val="15"/>
                <w:szCs w:val="15"/>
                <w:color w:val="auto"/>
              </w:rPr>
              <w:t>—</w:t>
            </w:r>
          </w:p>
        </w:tc>
        <w:tc>
          <w:tcPr>
            <w:tcW w:w="620" w:type="dxa"/>
            <w:vAlign w:val="bottom"/>
            <w:shd w:val="clear" w:color="auto" w:fill="CDDAE6"/>
          </w:tcPr>
          <w:p>
            <w:pPr>
              <w:jc w:val="right"/>
              <w:ind w:right="25"/>
              <w:spacing w:after="0"/>
              <w:rPr>
                <w:sz w:val="20"/>
                <w:szCs w:val="20"/>
                <w:color w:val="auto"/>
              </w:rPr>
            </w:pPr>
            <w:r>
              <w:rPr>
                <w:rFonts w:ascii="Arial" w:cs="Arial" w:eastAsia="Arial" w:hAnsi="Arial"/>
                <w:sz w:val="15"/>
                <w:szCs w:val="15"/>
                <w:color w:val="auto"/>
              </w:rPr>
              <w:t>76.82</w:t>
            </w: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2/24/21</w:t>
            </w:r>
          </w:p>
        </w:tc>
        <w:tc>
          <w:tcPr>
            <w:tcW w:w="160" w:type="dxa"/>
            <w:vAlign w:val="bottom"/>
            <w:shd w:val="clear" w:color="auto" w:fill="CDDAE6"/>
          </w:tcPr>
          <w:p>
            <w:pPr>
              <w:spacing w:after="0"/>
              <w:rPr>
                <w:sz w:val="16"/>
                <w:szCs w:val="16"/>
                <w:color w:val="auto"/>
              </w:rPr>
            </w:pPr>
          </w:p>
        </w:tc>
        <w:tc>
          <w:tcPr>
            <w:tcW w:w="7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720" w:type="dxa"/>
            <w:vAlign w:val="bottom"/>
            <w:shd w:val="clear" w:color="auto" w:fill="CDDAE6"/>
          </w:tcPr>
          <w:p>
            <w:pPr>
              <w:spacing w:after="0"/>
              <w:rPr>
                <w:sz w:val="16"/>
                <w:szCs w:val="16"/>
                <w:color w:val="auto"/>
              </w:rPr>
            </w:pPr>
          </w:p>
        </w:tc>
        <w:tc>
          <w:tcPr>
            <w:tcW w:w="100" w:type="dxa"/>
            <w:vAlign w:val="bottom"/>
            <w:shd w:val="clear" w:color="auto" w:fill="CDDAE6"/>
          </w:tcPr>
          <w:p>
            <w:pPr>
              <w:spacing w:after="0"/>
              <w:rPr>
                <w:sz w:val="16"/>
                <w:szCs w:val="16"/>
                <w:color w:val="auto"/>
              </w:rPr>
            </w:pPr>
          </w:p>
        </w:tc>
      </w:tr>
      <w:tr>
        <w:trPr>
          <w:trHeight w:val="189"/>
        </w:trPr>
        <w:tc>
          <w:tcPr>
            <w:tcW w:w="1520" w:type="dxa"/>
            <w:vAlign w:val="bottom"/>
            <w:shd w:val="clear" w:color="auto" w:fill="CDDAE6"/>
          </w:tcPr>
          <w:p>
            <w:pPr>
              <w:spacing w:after="0"/>
              <w:rPr>
                <w:sz w:val="16"/>
                <w:szCs w:val="16"/>
                <w:color w:val="auto"/>
              </w:rPr>
            </w:pP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2/23/10</w:t>
            </w:r>
          </w:p>
        </w:tc>
        <w:tc>
          <w:tcPr>
            <w:tcW w:w="1100" w:type="dxa"/>
            <w:vAlign w:val="bottom"/>
            <w:gridSpan w:val="3"/>
            <w:shd w:val="clear" w:color="auto" w:fill="CDDAE6"/>
          </w:tcPr>
          <w:p>
            <w:pPr>
              <w:jc w:val="right"/>
              <w:ind w:right="23"/>
              <w:spacing w:after="0"/>
              <w:rPr>
                <w:sz w:val="20"/>
                <w:szCs w:val="20"/>
                <w:color w:val="auto"/>
              </w:rPr>
            </w:pPr>
            <w:r>
              <w:rPr>
                <w:rFonts w:ascii="Arial" w:cs="Arial" w:eastAsia="Arial" w:hAnsi="Arial"/>
                <w:sz w:val="15"/>
                <w:szCs w:val="15"/>
                <w:color w:val="auto"/>
              </w:rPr>
              <w:t>208,961</w:t>
            </w:r>
          </w:p>
        </w:tc>
        <w:tc>
          <w:tcPr>
            <w:tcW w:w="1340" w:type="dxa"/>
            <w:vAlign w:val="bottom"/>
            <w:shd w:val="clear" w:color="auto" w:fill="CDDAE6"/>
          </w:tcPr>
          <w:p>
            <w:pPr>
              <w:jc w:val="right"/>
              <w:ind w:right="105"/>
              <w:spacing w:after="0"/>
              <w:rPr>
                <w:sz w:val="20"/>
                <w:szCs w:val="20"/>
                <w:color w:val="auto"/>
              </w:rPr>
            </w:pPr>
            <w:r>
              <w:rPr>
                <w:rFonts w:ascii="Arial" w:cs="Arial" w:eastAsia="Arial" w:hAnsi="Arial"/>
                <w:sz w:val="15"/>
                <w:szCs w:val="15"/>
                <w:color w:val="auto"/>
              </w:rPr>
              <w:t>—</w:t>
            </w:r>
          </w:p>
        </w:tc>
        <w:tc>
          <w:tcPr>
            <w:tcW w:w="620" w:type="dxa"/>
            <w:vAlign w:val="bottom"/>
            <w:shd w:val="clear" w:color="auto" w:fill="CDDAE6"/>
          </w:tcPr>
          <w:p>
            <w:pPr>
              <w:jc w:val="right"/>
              <w:ind w:right="25"/>
              <w:spacing w:after="0"/>
              <w:rPr>
                <w:sz w:val="20"/>
                <w:szCs w:val="20"/>
                <w:color w:val="auto"/>
              </w:rPr>
            </w:pPr>
            <w:r>
              <w:rPr>
                <w:rFonts w:ascii="Arial" w:cs="Arial" w:eastAsia="Arial" w:hAnsi="Arial"/>
                <w:sz w:val="15"/>
                <w:szCs w:val="15"/>
                <w:color w:val="auto"/>
              </w:rPr>
              <w:t>86.41</w:t>
            </w: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2/23/20</w:t>
            </w:r>
          </w:p>
        </w:tc>
        <w:tc>
          <w:tcPr>
            <w:tcW w:w="160" w:type="dxa"/>
            <w:vAlign w:val="bottom"/>
            <w:shd w:val="clear" w:color="auto" w:fill="CDDAE6"/>
          </w:tcPr>
          <w:p>
            <w:pPr>
              <w:spacing w:after="0"/>
              <w:rPr>
                <w:sz w:val="16"/>
                <w:szCs w:val="16"/>
                <w:color w:val="auto"/>
              </w:rPr>
            </w:pPr>
          </w:p>
        </w:tc>
        <w:tc>
          <w:tcPr>
            <w:tcW w:w="7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720" w:type="dxa"/>
            <w:vAlign w:val="bottom"/>
            <w:shd w:val="clear" w:color="auto" w:fill="CDDAE6"/>
          </w:tcPr>
          <w:p>
            <w:pPr>
              <w:spacing w:after="0"/>
              <w:rPr>
                <w:sz w:val="16"/>
                <w:szCs w:val="16"/>
                <w:color w:val="auto"/>
              </w:rPr>
            </w:pPr>
          </w:p>
        </w:tc>
        <w:tc>
          <w:tcPr>
            <w:tcW w:w="100" w:type="dxa"/>
            <w:vAlign w:val="bottom"/>
            <w:shd w:val="clear" w:color="auto" w:fill="CDDAE6"/>
          </w:tcPr>
          <w:p>
            <w:pPr>
              <w:spacing w:after="0"/>
              <w:rPr>
                <w:sz w:val="16"/>
                <w:szCs w:val="16"/>
                <w:color w:val="auto"/>
              </w:rPr>
            </w:pPr>
          </w:p>
        </w:tc>
      </w:tr>
      <w:tr>
        <w:trPr>
          <w:trHeight w:val="189"/>
        </w:trPr>
        <w:tc>
          <w:tcPr>
            <w:tcW w:w="1520" w:type="dxa"/>
            <w:vAlign w:val="bottom"/>
            <w:shd w:val="clear" w:color="auto" w:fill="CDDAE6"/>
          </w:tcPr>
          <w:p>
            <w:pPr>
              <w:spacing w:after="0"/>
              <w:rPr>
                <w:sz w:val="16"/>
                <w:szCs w:val="16"/>
                <w:color w:val="auto"/>
              </w:rPr>
            </w:pP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7/28/09</w:t>
            </w:r>
          </w:p>
        </w:tc>
        <w:tc>
          <w:tcPr>
            <w:tcW w:w="1100" w:type="dxa"/>
            <w:vAlign w:val="bottom"/>
            <w:gridSpan w:val="3"/>
            <w:shd w:val="clear" w:color="auto" w:fill="CDDAE6"/>
          </w:tcPr>
          <w:p>
            <w:pPr>
              <w:jc w:val="right"/>
              <w:ind w:right="23"/>
              <w:spacing w:after="0"/>
              <w:rPr>
                <w:sz w:val="20"/>
                <w:szCs w:val="20"/>
                <w:color w:val="auto"/>
              </w:rPr>
            </w:pPr>
            <w:r>
              <w:rPr>
                <w:rFonts w:ascii="Arial" w:cs="Arial" w:eastAsia="Arial" w:hAnsi="Arial"/>
                <w:sz w:val="15"/>
                <w:szCs w:val="15"/>
                <w:color w:val="auto"/>
              </w:rPr>
              <w:t>187,484</w:t>
            </w:r>
          </w:p>
        </w:tc>
        <w:tc>
          <w:tcPr>
            <w:tcW w:w="1340" w:type="dxa"/>
            <w:vAlign w:val="bottom"/>
            <w:shd w:val="clear" w:color="auto" w:fill="CDDAE6"/>
          </w:tcPr>
          <w:p>
            <w:pPr>
              <w:jc w:val="right"/>
              <w:ind w:right="105"/>
              <w:spacing w:after="0"/>
              <w:rPr>
                <w:sz w:val="20"/>
                <w:szCs w:val="20"/>
                <w:color w:val="auto"/>
              </w:rPr>
            </w:pPr>
            <w:r>
              <w:rPr>
                <w:rFonts w:ascii="Arial" w:cs="Arial" w:eastAsia="Arial" w:hAnsi="Arial"/>
                <w:sz w:val="15"/>
                <w:szCs w:val="15"/>
                <w:color w:val="auto"/>
              </w:rPr>
              <w:t>—</w:t>
            </w:r>
          </w:p>
        </w:tc>
        <w:tc>
          <w:tcPr>
            <w:tcW w:w="620" w:type="dxa"/>
            <w:vAlign w:val="bottom"/>
            <w:shd w:val="clear" w:color="auto" w:fill="CDDAE6"/>
          </w:tcPr>
          <w:p>
            <w:pPr>
              <w:jc w:val="right"/>
              <w:ind w:right="25"/>
              <w:spacing w:after="0"/>
              <w:rPr>
                <w:sz w:val="20"/>
                <w:szCs w:val="20"/>
                <w:color w:val="auto"/>
              </w:rPr>
            </w:pPr>
            <w:r>
              <w:rPr>
                <w:rFonts w:ascii="Arial" w:cs="Arial" w:eastAsia="Arial" w:hAnsi="Arial"/>
                <w:sz w:val="15"/>
                <w:szCs w:val="15"/>
                <w:color w:val="auto"/>
              </w:rPr>
              <w:t>70.53</w:t>
            </w: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7/28/19</w:t>
            </w:r>
          </w:p>
        </w:tc>
        <w:tc>
          <w:tcPr>
            <w:tcW w:w="160" w:type="dxa"/>
            <w:vAlign w:val="bottom"/>
            <w:shd w:val="clear" w:color="auto" w:fill="CDDAE6"/>
          </w:tcPr>
          <w:p>
            <w:pPr>
              <w:spacing w:after="0"/>
              <w:rPr>
                <w:sz w:val="16"/>
                <w:szCs w:val="16"/>
                <w:color w:val="auto"/>
              </w:rPr>
            </w:pPr>
          </w:p>
        </w:tc>
        <w:tc>
          <w:tcPr>
            <w:tcW w:w="7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720" w:type="dxa"/>
            <w:vAlign w:val="bottom"/>
            <w:shd w:val="clear" w:color="auto" w:fill="CDDAE6"/>
          </w:tcPr>
          <w:p>
            <w:pPr>
              <w:spacing w:after="0"/>
              <w:rPr>
                <w:sz w:val="16"/>
                <w:szCs w:val="16"/>
                <w:color w:val="auto"/>
              </w:rPr>
            </w:pPr>
          </w:p>
        </w:tc>
        <w:tc>
          <w:tcPr>
            <w:tcW w:w="100" w:type="dxa"/>
            <w:vAlign w:val="bottom"/>
            <w:shd w:val="clear" w:color="auto" w:fill="CDDAE6"/>
          </w:tcPr>
          <w:p>
            <w:pPr>
              <w:spacing w:after="0"/>
              <w:rPr>
                <w:sz w:val="16"/>
                <w:szCs w:val="16"/>
                <w:color w:val="auto"/>
              </w:rPr>
            </w:pPr>
          </w:p>
        </w:tc>
      </w:tr>
      <w:tr>
        <w:trPr>
          <w:trHeight w:val="189"/>
        </w:trPr>
        <w:tc>
          <w:tcPr>
            <w:tcW w:w="1520" w:type="dxa"/>
            <w:vAlign w:val="bottom"/>
            <w:shd w:val="clear" w:color="auto" w:fill="CDDAE6"/>
          </w:tcPr>
          <w:p>
            <w:pPr>
              <w:spacing w:after="0"/>
              <w:rPr>
                <w:sz w:val="16"/>
                <w:szCs w:val="16"/>
                <w:color w:val="auto"/>
              </w:rPr>
            </w:pP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7/29/08</w:t>
            </w:r>
          </w:p>
        </w:tc>
        <w:tc>
          <w:tcPr>
            <w:tcW w:w="1100" w:type="dxa"/>
            <w:vAlign w:val="bottom"/>
            <w:gridSpan w:val="3"/>
            <w:shd w:val="clear" w:color="auto" w:fill="CDDAE6"/>
          </w:tcPr>
          <w:p>
            <w:pPr>
              <w:jc w:val="right"/>
              <w:ind w:right="23"/>
              <w:spacing w:after="0"/>
              <w:rPr>
                <w:sz w:val="20"/>
                <w:szCs w:val="20"/>
                <w:color w:val="auto"/>
              </w:rPr>
            </w:pPr>
            <w:r>
              <w:rPr>
                <w:rFonts w:ascii="Arial" w:cs="Arial" w:eastAsia="Arial" w:hAnsi="Arial"/>
                <w:sz w:val="15"/>
                <w:szCs w:val="15"/>
                <w:color w:val="auto"/>
              </w:rPr>
              <w:t>183,981</w:t>
            </w:r>
          </w:p>
        </w:tc>
        <w:tc>
          <w:tcPr>
            <w:tcW w:w="1340" w:type="dxa"/>
            <w:vAlign w:val="bottom"/>
            <w:shd w:val="clear" w:color="auto" w:fill="CDDAE6"/>
          </w:tcPr>
          <w:p>
            <w:pPr>
              <w:jc w:val="right"/>
              <w:ind w:right="105"/>
              <w:spacing w:after="0"/>
              <w:rPr>
                <w:sz w:val="20"/>
                <w:szCs w:val="20"/>
                <w:color w:val="auto"/>
              </w:rPr>
            </w:pPr>
            <w:r>
              <w:rPr>
                <w:rFonts w:ascii="Arial" w:cs="Arial" w:eastAsia="Arial" w:hAnsi="Arial"/>
                <w:sz w:val="15"/>
                <w:szCs w:val="15"/>
                <w:color w:val="auto"/>
              </w:rPr>
              <w:t>—</w:t>
            </w:r>
          </w:p>
        </w:tc>
        <w:tc>
          <w:tcPr>
            <w:tcW w:w="620" w:type="dxa"/>
            <w:vAlign w:val="bottom"/>
            <w:shd w:val="clear" w:color="auto" w:fill="CDDAE6"/>
          </w:tcPr>
          <w:p>
            <w:pPr>
              <w:jc w:val="right"/>
              <w:ind w:right="25"/>
              <w:spacing w:after="0"/>
              <w:rPr>
                <w:sz w:val="20"/>
                <w:szCs w:val="20"/>
                <w:color w:val="auto"/>
              </w:rPr>
            </w:pPr>
            <w:r>
              <w:rPr>
                <w:rFonts w:ascii="Arial" w:cs="Arial" w:eastAsia="Arial" w:hAnsi="Arial"/>
                <w:sz w:val="15"/>
                <w:szCs w:val="15"/>
                <w:color w:val="auto"/>
              </w:rPr>
              <w:t>92.31</w:t>
            </w: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7/29/18</w:t>
            </w:r>
          </w:p>
        </w:tc>
        <w:tc>
          <w:tcPr>
            <w:tcW w:w="160" w:type="dxa"/>
            <w:vAlign w:val="bottom"/>
            <w:shd w:val="clear" w:color="auto" w:fill="CDDAE6"/>
          </w:tcPr>
          <w:p>
            <w:pPr>
              <w:spacing w:after="0"/>
              <w:rPr>
                <w:sz w:val="16"/>
                <w:szCs w:val="16"/>
                <w:color w:val="auto"/>
              </w:rPr>
            </w:pPr>
          </w:p>
        </w:tc>
        <w:tc>
          <w:tcPr>
            <w:tcW w:w="7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720" w:type="dxa"/>
            <w:vAlign w:val="bottom"/>
            <w:shd w:val="clear" w:color="auto" w:fill="CDDAE6"/>
          </w:tcPr>
          <w:p>
            <w:pPr>
              <w:spacing w:after="0"/>
              <w:rPr>
                <w:sz w:val="16"/>
                <w:szCs w:val="16"/>
                <w:color w:val="auto"/>
              </w:rPr>
            </w:pPr>
          </w:p>
        </w:tc>
        <w:tc>
          <w:tcPr>
            <w:tcW w:w="100" w:type="dxa"/>
            <w:vAlign w:val="bottom"/>
            <w:shd w:val="clear" w:color="auto" w:fill="CDDAE6"/>
          </w:tcPr>
          <w:p>
            <w:pPr>
              <w:spacing w:after="0"/>
              <w:rPr>
                <w:sz w:val="16"/>
                <w:szCs w:val="16"/>
                <w:color w:val="auto"/>
              </w:rPr>
            </w:pPr>
          </w:p>
        </w:tc>
      </w:tr>
      <w:tr>
        <w:trPr>
          <w:trHeight w:val="189"/>
        </w:trPr>
        <w:tc>
          <w:tcPr>
            <w:tcW w:w="1520" w:type="dxa"/>
            <w:vAlign w:val="bottom"/>
          </w:tcPr>
          <w:p>
            <w:pPr>
              <w:ind w:left="20"/>
              <w:spacing w:after="0"/>
              <w:rPr>
                <w:sz w:val="20"/>
                <w:szCs w:val="20"/>
                <w:color w:val="auto"/>
              </w:rPr>
            </w:pPr>
            <w:r>
              <w:rPr>
                <w:rFonts w:ascii="Arial" w:cs="Arial" w:eastAsia="Arial" w:hAnsi="Arial"/>
                <w:sz w:val="15"/>
                <w:szCs w:val="15"/>
                <w:color w:val="auto"/>
                <w:w w:val="96"/>
              </w:rPr>
              <w:t>Christopher E. Kubasik</w:t>
            </w:r>
          </w:p>
        </w:tc>
        <w:tc>
          <w:tcPr>
            <w:tcW w:w="760" w:type="dxa"/>
            <w:vAlign w:val="bottom"/>
          </w:tcPr>
          <w:p>
            <w:pPr>
              <w:jc w:val="right"/>
              <w:spacing w:after="0"/>
              <w:rPr>
                <w:sz w:val="20"/>
                <w:szCs w:val="20"/>
                <w:color w:val="auto"/>
              </w:rPr>
            </w:pPr>
            <w:r>
              <w:rPr>
                <w:rFonts w:ascii="Arial" w:cs="Arial" w:eastAsia="Arial" w:hAnsi="Arial"/>
                <w:sz w:val="15"/>
                <w:szCs w:val="15"/>
                <w:color w:val="auto"/>
              </w:rPr>
              <w:t>2/16/16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05"/>
              <w:spacing w:after="0"/>
              <w:rPr>
                <w:sz w:val="20"/>
                <w:szCs w:val="20"/>
                <w:color w:val="auto"/>
              </w:rPr>
            </w:pPr>
            <w:r>
              <w:rPr>
                <w:rFonts w:ascii="Arial" w:cs="Arial" w:eastAsia="Arial" w:hAnsi="Arial"/>
                <w:sz w:val="15"/>
                <w:szCs w:val="15"/>
                <w:color w:val="auto"/>
              </w:rPr>
              <w:t>58,608</w:t>
            </w:r>
          </w:p>
        </w:tc>
        <w:tc>
          <w:tcPr>
            <w:tcW w:w="620" w:type="dxa"/>
            <w:vAlign w:val="bottom"/>
          </w:tcPr>
          <w:p>
            <w:pPr>
              <w:jc w:val="right"/>
              <w:ind w:right="25"/>
              <w:spacing w:after="0"/>
              <w:rPr>
                <w:sz w:val="20"/>
                <w:szCs w:val="20"/>
                <w:color w:val="auto"/>
              </w:rPr>
            </w:pPr>
            <w:r>
              <w:rPr>
                <w:rFonts w:ascii="Arial" w:cs="Arial" w:eastAsia="Arial" w:hAnsi="Arial"/>
                <w:sz w:val="15"/>
                <w:szCs w:val="15"/>
                <w:color w:val="auto"/>
              </w:rPr>
              <w:t>116.20</w:t>
            </w:r>
          </w:p>
        </w:tc>
        <w:tc>
          <w:tcPr>
            <w:tcW w:w="760" w:type="dxa"/>
            <w:vAlign w:val="bottom"/>
          </w:tcPr>
          <w:p>
            <w:pPr>
              <w:jc w:val="right"/>
              <w:spacing w:after="0"/>
              <w:rPr>
                <w:sz w:val="20"/>
                <w:szCs w:val="20"/>
                <w:color w:val="auto"/>
              </w:rPr>
            </w:pPr>
            <w:r>
              <w:rPr>
                <w:rFonts w:ascii="Arial" w:cs="Arial" w:eastAsia="Arial" w:hAnsi="Arial"/>
                <w:sz w:val="15"/>
                <w:szCs w:val="15"/>
                <w:color w:val="auto"/>
              </w:rPr>
              <w:t>2/16/26</w:t>
            </w:r>
          </w:p>
        </w:tc>
        <w:tc>
          <w:tcPr>
            <w:tcW w:w="920" w:type="dxa"/>
            <w:vAlign w:val="bottom"/>
            <w:gridSpan w:val="2"/>
          </w:tcPr>
          <w:p>
            <w:pPr>
              <w:jc w:val="right"/>
              <w:ind w:right="52"/>
              <w:spacing w:after="0"/>
              <w:rPr>
                <w:sz w:val="20"/>
                <w:szCs w:val="20"/>
                <w:color w:val="auto"/>
              </w:rPr>
            </w:pPr>
            <w:r>
              <w:rPr>
                <w:rFonts w:ascii="Arial" w:cs="Arial" w:eastAsia="Arial" w:hAnsi="Arial"/>
                <w:sz w:val="15"/>
                <w:szCs w:val="15"/>
                <w:color w:val="auto"/>
              </w:rPr>
              <w:t>8,262</w:t>
            </w: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1,256,733</w:t>
            </w:r>
          </w:p>
        </w:tc>
        <w:tc>
          <w:tcPr>
            <w:tcW w:w="860" w:type="dxa"/>
            <w:vAlign w:val="bottom"/>
          </w:tcPr>
          <w:p>
            <w:pPr>
              <w:jc w:val="right"/>
              <w:ind w:right="48"/>
              <w:spacing w:after="0"/>
              <w:rPr>
                <w:sz w:val="20"/>
                <w:szCs w:val="20"/>
                <w:color w:val="auto"/>
              </w:rPr>
            </w:pPr>
            <w:r>
              <w:rPr>
                <w:rFonts w:ascii="Arial" w:cs="Arial" w:eastAsia="Arial" w:hAnsi="Arial"/>
                <w:sz w:val="15"/>
                <w:szCs w:val="15"/>
                <w:color w:val="auto"/>
              </w:rPr>
              <w:t>11,016</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1,675,644</w:t>
            </w:r>
          </w:p>
        </w:tc>
      </w:tr>
      <w:tr>
        <w:trPr>
          <w:trHeight w:val="189"/>
        </w:trPr>
        <w:tc>
          <w:tcPr>
            <w:tcW w:w="1520" w:type="dxa"/>
            <w:vAlign w:val="bottom"/>
            <w:shd w:val="clear" w:color="auto" w:fill="CDDAE6"/>
          </w:tcPr>
          <w:p>
            <w:pPr>
              <w:spacing w:after="0"/>
              <w:rPr>
                <w:sz w:val="16"/>
                <w:szCs w:val="16"/>
                <w:color w:val="auto"/>
              </w:rPr>
            </w:pP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10/30/15</w:t>
            </w:r>
          </w:p>
        </w:tc>
        <w:tc>
          <w:tcPr>
            <w:tcW w:w="1100" w:type="dxa"/>
            <w:vAlign w:val="bottom"/>
            <w:gridSpan w:val="3"/>
            <w:shd w:val="clear" w:color="auto" w:fill="CDDAE6"/>
          </w:tcPr>
          <w:p>
            <w:pPr>
              <w:jc w:val="right"/>
              <w:ind w:right="23"/>
              <w:spacing w:after="0"/>
              <w:rPr>
                <w:sz w:val="20"/>
                <w:szCs w:val="20"/>
                <w:color w:val="auto"/>
              </w:rPr>
            </w:pPr>
            <w:r>
              <w:rPr>
                <w:rFonts w:ascii="Arial" w:cs="Arial" w:eastAsia="Arial" w:hAnsi="Arial"/>
                <w:sz w:val="15"/>
                <w:szCs w:val="15"/>
                <w:color w:val="auto"/>
              </w:rPr>
              <w:t>16,989</w:t>
            </w:r>
          </w:p>
        </w:tc>
        <w:tc>
          <w:tcPr>
            <w:tcW w:w="1340" w:type="dxa"/>
            <w:vAlign w:val="bottom"/>
            <w:shd w:val="clear" w:color="auto" w:fill="CDDAE6"/>
          </w:tcPr>
          <w:p>
            <w:pPr>
              <w:jc w:val="right"/>
              <w:ind w:right="105"/>
              <w:spacing w:after="0"/>
              <w:rPr>
                <w:sz w:val="20"/>
                <w:szCs w:val="20"/>
                <w:color w:val="auto"/>
              </w:rPr>
            </w:pPr>
            <w:r>
              <w:rPr>
                <w:rFonts w:ascii="Arial" w:cs="Arial" w:eastAsia="Arial" w:hAnsi="Arial"/>
                <w:sz w:val="15"/>
                <w:szCs w:val="15"/>
                <w:color w:val="auto"/>
              </w:rPr>
              <w:t>33,979</w:t>
            </w:r>
          </w:p>
        </w:tc>
        <w:tc>
          <w:tcPr>
            <w:tcW w:w="620" w:type="dxa"/>
            <w:vAlign w:val="bottom"/>
            <w:shd w:val="clear" w:color="auto" w:fill="CDDAE6"/>
          </w:tcPr>
          <w:p>
            <w:pPr>
              <w:jc w:val="right"/>
              <w:ind w:right="25"/>
              <w:spacing w:after="0"/>
              <w:rPr>
                <w:sz w:val="20"/>
                <w:szCs w:val="20"/>
                <w:color w:val="auto"/>
              </w:rPr>
            </w:pPr>
            <w:r>
              <w:rPr>
                <w:rFonts w:ascii="Arial" w:cs="Arial" w:eastAsia="Arial" w:hAnsi="Arial"/>
                <w:sz w:val="15"/>
                <w:szCs w:val="15"/>
                <w:color w:val="auto"/>
              </w:rPr>
              <w:t>126.40</w:t>
            </w: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10/30/25</w:t>
            </w:r>
          </w:p>
        </w:tc>
        <w:tc>
          <w:tcPr>
            <w:tcW w:w="160" w:type="dxa"/>
            <w:vAlign w:val="bottom"/>
            <w:shd w:val="clear" w:color="auto" w:fill="CDDAE6"/>
          </w:tcPr>
          <w:p>
            <w:pPr>
              <w:spacing w:after="0"/>
              <w:rPr>
                <w:sz w:val="16"/>
                <w:szCs w:val="16"/>
                <w:color w:val="auto"/>
              </w:rPr>
            </w:pPr>
          </w:p>
        </w:tc>
        <w:tc>
          <w:tcPr>
            <w:tcW w:w="7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720" w:type="dxa"/>
            <w:vAlign w:val="bottom"/>
            <w:shd w:val="clear" w:color="auto" w:fill="CDDAE6"/>
          </w:tcPr>
          <w:p>
            <w:pPr>
              <w:spacing w:after="0"/>
              <w:rPr>
                <w:sz w:val="16"/>
                <w:szCs w:val="16"/>
                <w:color w:val="auto"/>
              </w:rPr>
            </w:pPr>
          </w:p>
        </w:tc>
        <w:tc>
          <w:tcPr>
            <w:tcW w:w="100" w:type="dxa"/>
            <w:vAlign w:val="bottom"/>
            <w:shd w:val="clear" w:color="auto" w:fill="CDDAE6"/>
          </w:tcPr>
          <w:p>
            <w:pPr>
              <w:spacing w:after="0"/>
              <w:rPr>
                <w:sz w:val="16"/>
                <w:szCs w:val="16"/>
                <w:color w:val="auto"/>
              </w:rPr>
            </w:pPr>
          </w:p>
        </w:tc>
      </w:tr>
      <w:tr>
        <w:trPr>
          <w:trHeight w:val="189"/>
        </w:trPr>
        <w:tc>
          <w:tcPr>
            <w:tcW w:w="1520" w:type="dxa"/>
            <w:vAlign w:val="bottom"/>
            <w:shd w:val="clear" w:color="auto" w:fill="CDDAE6"/>
          </w:tcPr>
          <w:p>
            <w:pPr>
              <w:ind w:left="20"/>
              <w:spacing w:after="0"/>
              <w:rPr>
                <w:sz w:val="20"/>
                <w:szCs w:val="20"/>
                <w:color w:val="auto"/>
              </w:rPr>
            </w:pPr>
            <w:r>
              <w:rPr>
                <w:rFonts w:ascii="Arial" w:cs="Arial" w:eastAsia="Arial" w:hAnsi="Arial"/>
                <w:sz w:val="15"/>
                <w:szCs w:val="15"/>
                <w:color w:val="auto"/>
              </w:rPr>
              <w:t>Ralph G. D’Ambrosio</w:t>
            </w: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2/16/16</w:t>
            </w:r>
          </w:p>
        </w:tc>
        <w:tc>
          <w:tcPr>
            <w:tcW w:w="120" w:type="dxa"/>
            <w:vAlign w:val="bottom"/>
            <w:shd w:val="clear" w:color="auto" w:fill="CDDAE6"/>
          </w:tcPr>
          <w:p>
            <w:pPr>
              <w:spacing w:after="0"/>
              <w:rPr>
                <w:sz w:val="16"/>
                <w:szCs w:val="16"/>
                <w:color w:val="auto"/>
              </w:rPr>
            </w:pPr>
          </w:p>
        </w:tc>
        <w:tc>
          <w:tcPr>
            <w:tcW w:w="280" w:type="dxa"/>
            <w:vAlign w:val="bottom"/>
            <w:shd w:val="clear" w:color="auto" w:fill="CDDAE6"/>
          </w:tcPr>
          <w:p>
            <w:pPr>
              <w:spacing w:after="0"/>
              <w:rPr>
                <w:sz w:val="16"/>
                <w:szCs w:val="16"/>
                <w:color w:val="auto"/>
              </w:rPr>
            </w:pPr>
          </w:p>
        </w:tc>
        <w:tc>
          <w:tcPr>
            <w:tcW w:w="700" w:type="dxa"/>
            <w:vAlign w:val="bottom"/>
            <w:shd w:val="clear" w:color="auto" w:fill="CDDAE6"/>
          </w:tcPr>
          <w:p>
            <w:pPr>
              <w:jc w:val="right"/>
              <w:ind w:right="23"/>
              <w:spacing w:after="0"/>
              <w:rPr>
                <w:sz w:val="20"/>
                <w:szCs w:val="20"/>
                <w:color w:val="auto"/>
              </w:rPr>
            </w:pPr>
            <w:r>
              <w:rPr>
                <w:rFonts w:ascii="Arial" w:cs="Arial" w:eastAsia="Arial" w:hAnsi="Arial"/>
                <w:sz w:val="15"/>
                <w:szCs w:val="15"/>
                <w:color w:val="auto"/>
              </w:rPr>
              <w:t>—</w:t>
            </w:r>
          </w:p>
        </w:tc>
        <w:tc>
          <w:tcPr>
            <w:tcW w:w="1340" w:type="dxa"/>
            <w:vAlign w:val="bottom"/>
            <w:shd w:val="clear" w:color="auto" w:fill="CDDAE6"/>
          </w:tcPr>
          <w:p>
            <w:pPr>
              <w:jc w:val="right"/>
              <w:ind w:right="105"/>
              <w:spacing w:after="0"/>
              <w:rPr>
                <w:sz w:val="20"/>
                <w:szCs w:val="20"/>
                <w:color w:val="auto"/>
              </w:rPr>
            </w:pPr>
            <w:r>
              <w:rPr>
                <w:rFonts w:ascii="Arial" w:cs="Arial" w:eastAsia="Arial" w:hAnsi="Arial"/>
                <w:sz w:val="15"/>
                <w:szCs w:val="15"/>
                <w:color w:val="auto"/>
              </w:rPr>
              <w:t>48,077</w:t>
            </w:r>
          </w:p>
        </w:tc>
        <w:tc>
          <w:tcPr>
            <w:tcW w:w="620" w:type="dxa"/>
            <w:vAlign w:val="bottom"/>
            <w:shd w:val="clear" w:color="auto" w:fill="CDDAE6"/>
          </w:tcPr>
          <w:p>
            <w:pPr>
              <w:jc w:val="right"/>
              <w:ind w:right="25"/>
              <w:spacing w:after="0"/>
              <w:rPr>
                <w:sz w:val="20"/>
                <w:szCs w:val="20"/>
                <w:color w:val="auto"/>
              </w:rPr>
            </w:pPr>
            <w:r>
              <w:rPr>
                <w:rFonts w:ascii="Arial" w:cs="Arial" w:eastAsia="Arial" w:hAnsi="Arial"/>
                <w:sz w:val="15"/>
                <w:szCs w:val="15"/>
                <w:color w:val="auto"/>
              </w:rPr>
              <w:t>116.20</w:t>
            </w: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2/16/26</w:t>
            </w:r>
          </w:p>
        </w:tc>
        <w:tc>
          <w:tcPr>
            <w:tcW w:w="920" w:type="dxa"/>
            <w:vAlign w:val="bottom"/>
            <w:gridSpan w:val="2"/>
            <w:shd w:val="clear" w:color="auto" w:fill="CDDAE6"/>
          </w:tcPr>
          <w:p>
            <w:pPr>
              <w:jc w:val="right"/>
              <w:ind w:right="52"/>
              <w:spacing w:after="0"/>
              <w:rPr>
                <w:sz w:val="20"/>
                <w:szCs w:val="20"/>
                <w:color w:val="auto"/>
              </w:rPr>
            </w:pPr>
            <w:r>
              <w:rPr>
                <w:rFonts w:ascii="Arial" w:cs="Arial" w:eastAsia="Arial" w:hAnsi="Arial"/>
                <w:sz w:val="15"/>
                <w:szCs w:val="15"/>
                <w:color w:val="auto"/>
              </w:rPr>
              <w:t>6,777</w:t>
            </w:r>
          </w:p>
        </w:tc>
        <w:tc>
          <w:tcPr>
            <w:tcW w:w="860" w:type="dxa"/>
            <w:vAlign w:val="bottom"/>
            <w:shd w:val="clear" w:color="auto" w:fill="CDDAE6"/>
          </w:tcPr>
          <w:p>
            <w:pPr>
              <w:jc w:val="right"/>
              <w:ind w:right="27"/>
              <w:spacing w:after="0"/>
              <w:rPr>
                <w:sz w:val="20"/>
                <w:szCs w:val="20"/>
                <w:color w:val="auto"/>
              </w:rPr>
            </w:pPr>
            <w:r>
              <w:rPr>
                <w:rFonts w:ascii="Arial" w:cs="Arial" w:eastAsia="Arial" w:hAnsi="Arial"/>
                <w:sz w:val="15"/>
                <w:szCs w:val="15"/>
                <w:color w:val="auto"/>
              </w:rPr>
              <w:t>1,030,849</w:t>
            </w:r>
          </w:p>
        </w:tc>
        <w:tc>
          <w:tcPr>
            <w:tcW w:w="860" w:type="dxa"/>
            <w:vAlign w:val="bottom"/>
            <w:shd w:val="clear" w:color="auto" w:fill="CDDAE6"/>
          </w:tcPr>
          <w:p>
            <w:pPr>
              <w:jc w:val="right"/>
              <w:ind w:right="48"/>
              <w:spacing w:after="0"/>
              <w:rPr>
                <w:sz w:val="20"/>
                <w:szCs w:val="20"/>
                <w:color w:val="auto"/>
              </w:rPr>
            </w:pPr>
            <w:r>
              <w:rPr>
                <w:rFonts w:ascii="Arial" w:cs="Arial" w:eastAsia="Arial" w:hAnsi="Arial"/>
                <w:sz w:val="15"/>
                <w:szCs w:val="15"/>
                <w:color w:val="auto"/>
              </w:rPr>
              <w:t>9,036</w:t>
            </w:r>
          </w:p>
        </w:tc>
        <w:tc>
          <w:tcPr>
            <w:tcW w:w="820" w:type="dxa"/>
            <w:vAlign w:val="bottom"/>
            <w:gridSpan w:val="2"/>
            <w:shd w:val="clear" w:color="auto" w:fill="CDDAE6"/>
          </w:tcPr>
          <w:p>
            <w:pPr>
              <w:jc w:val="right"/>
              <w:ind w:right="40"/>
              <w:spacing w:after="0"/>
              <w:rPr>
                <w:sz w:val="20"/>
                <w:szCs w:val="20"/>
                <w:color w:val="auto"/>
              </w:rPr>
            </w:pPr>
            <w:r>
              <w:rPr>
                <w:rFonts w:ascii="Arial" w:cs="Arial" w:eastAsia="Arial" w:hAnsi="Arial"/>
                <w:sz w:val="15"/>
                <w:szCs w:val="15"/>
                <w:color w:val="auto"/>
              </w:rPr>
              <w:t>1,374,466</w:t>
            </w:r>
          </w:p>
        </w:tc>
      </w:tr>
      <w:tr>
        <w:trPr>
          <w:trHeight w:val="189"/>
        </w:trPr>
        <w:tc>
          <w:tcPr>
            <w:tcW w:w="1520" w:type="dxa"/>
            <w:vAlign w:val="bottom"/>
            <w:shd w:val="clear" w:color="auto" w:fill="CDDAE6"/>
          </w:tcPr>
          <w:p>
            <w:pPr>
              <w:spacing w:after="0"/>
              <w:rPr>
                <w:sz w:val="16"/>
                <w:szCs w:val="16"/>
                <w:color w:val="auto"/>
              </w:rPr>
            </w:pP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2/17/15</w:t>
            </w:r>
          </w:p>
        </w:tc>
        <w:tc>
          <w:tcPr>
            <w:tcW w:w="1100" w:type="dxa"/>
            <w:vAlign w:val="bottom"/>
            <w:gridSpan w:val="3"/>
            <w:shd w:val="clear" w:color="auto" w:fill="CDDAE6"/>
          </w:tcPr>
          <w:p>
            <w:pPr>
              <w:jc w:val="right"/>
              <w:ind w:right="23"/>
              <w:spacing w:after="0"/>
              <w:rPr>
                <w:sz w:val="20"/>
                <w:szCs w:val="20"/>
                <w:color w:val="auto"/>
              </w:rPr>
            </w:pPr>
            <w:r>
              <w:rPr>
                <w:rFonts w:ascii="Arial" w:cs="Arial" w:eastAsia="Arial" w:hAnsi="Arial"/>
                <w:sz w:val="15"/>
                <w:szCs w:val="15"/>
                <w:color w:val="auto"/>
              </w:rPr>
              <w:t>12,243</w:t>
            </w:r>
          </w:p>
        </w:tc>
        <w:tc>
          <w:tcPr>
            <w:tcW w:w="1340" w:type="dxa"/>
            <w:vAlign w:val="bottom"/>
            <w:shd w:val="clear" w:color="auto" w:fill="CDDAE6"/>
          </w:tcPr>
          <w:p>
            <w:pPr>
              <w:jc w:val="right"/>
              <w:ind w:right="105"/>
              <w:spacing w:after="0"/>
              <w:rPr>
                <w:sz w:val="20"/>
                <w:szCs w:val="20"/>
                <w:color w:val="auto"/>
              </w:rPr>
            </w:pPr>
            <w:r>
              <w:rPr>
                <w:rFonts w:ascii="Arial" w:cs="Arial" w:eastAsia="Arial" w:hAnsi="Arial"/>
                <w:sz w:val="15"/>
                <w:szCs w:val="15"/>
                <w:color w:val="auto"/>
              </w:rPr>
              <w:t>24,486</w:t>
            </w:r>
          </w:p>
        </w:tc>
        <w:tc>
          <w:tcPr>
            <w:tcW w:w="620" w:type="dxa"/>
            <w:vAlign w:val="bottom"/>
            <w:shd w:val="clear" w:color="auto" w:fill="CDDAE6"/>
          </w:tcPr>
          <w:p>
            <w:pPr>
              <w:jc w:val="right"/>
              <w:ind w:right="25"/>
              <w:spacing w:after="0"/>
              <w:rPr>
                <w:sz w:val="20"/>
                <w:szCs w:val="20"/>
                <w:color w:val="auto"/>
              </w:rPr>
            </w:pPr>
            <w:r>
              <w:rPr>
                <w:rFonts w:ascii="Arial" w:cs="Arial" w:eastAsia="Arial" w:hAnsi="Arial"/>
                <w:sz w:val="15"/>
                <w:szCs w:val="15"/>
                <w:color w:val="auto"/>
              </w:rPr>
              <w:t>129.31</w:t>
            </w: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2/17/25</w:t>
            </w:r>
          </w:p>
        </w:tc>
        <w:tc>
          <w:tcPr>
            <w:tcW w:w="920" w:type="dxa"/>
            <w:vAlign w:val="bottom"/>
            <w:gridSpan w:val="2"/>
            <w:shd w:val="clear" w:color="auto" w:fill="CDDAE6"/>
          </w:tcPr>
          <w:p>
            <w:pPr>
              <w:jc w:val="right"/>
              <w:ind w:right="52"/>
              <w:spacing w:after="0"/>
              <w:rPr>
                <w:sz w:val="20"/>
                <w:szCs w:val="20"/>
                <w:color w:val="auto"/>
              </w:rPr>
            </w:pPr>
            <w:r>
              <w:rPr>
                <w:rFonts w:ascii="Arial" w:cs="Arial" w:eastAsia="Arial" w:hAnsi="Arial"/>
                <w:sz w:val="15"/>
                <w:szCs w:val="15"/>
                <w:color w:val="auto"/>
              </w:rPr>
              <w:t>5,800</w:t>
            </w:r>
          </w:p>
        </w:tc>
        <w:tc>
          <w:tcPr>
            <w:tcW w:w="860" w:type="dxa"/>
            <w:vAlign w:val="bottom"/>
            <w:shd w:val="clear" w:color="auto" w:fill="CDDAE6"/>
          </w:tcPr>
          <w:p>
            <w:pPr>
              <w:jc w:val="right"/>
              <w:ind w:right="27"/>
              <w:spacing w:after="0"/>
              <w:rPr>
                <w:sz w:val="20"/>
                <w:szCs w:val="20"/>
                <w:color w:val="auto"/>
              </w:rPr>
            </w:pPr>
            <w:r>
              <w:rPr>
                <w:rFonts w:ascii="Arial" w:cs="Arial" w:eastAsia="Arial" w:hAnsi="Arial"/>
                <w:sz w:val="15"/>
                <w:szCs w:val="15"/>
                <w:color w:val="auto"/>
              </w:rPr>
              <w:t>882,238</w:t>
            </w:r>
          </w:p>
        </w:tc>
        <w:tc>
          <w:tcPr>
            <w:tcW w:w="860" w:type="dxa"/>
            <w:vAlign w:val="bottom"/>
            <w:shd w:val="clear" w:color="auto" w:fill="CDDAE6"/>
          </w:tcPr>
          <w:p>
            <w:pPr>
              <w:jc w:val="right"/>
              <w:ind w:right="48"/>
              <w:spacing w:after="0"/>
              <w:rPr>
                <w:sz w:val="20"/>
                <w:szCs w:val="20"/>
                <w:color w:val="auto"/>
              </w:rPr>
            </w:pPr>
            <w:r>
              <w:rPr>
                <w:rFonts w:ascii="Arial" w:cs="Arial" w:eastAsia="Arial" w:hAnsi="Arial"/>
                <w:sz w:val="15"/>
                <w:szCs w:val="15"/>
                <w:color w:val="auto"/>
              </w:rPr>
              <w:t>3,867</w:t>
            </w:r>
          </w:p>
        </w:tc>
        <w:tc>
          <w:tcPr>
            <w:tcW w:w="820" w:type="dxa"/>
            <w:vAlign w:val="bottom"/>
            <w:gridSpan w:val="2"/>
            <w:shd w:val="clear" w:color="auto" w:fill="CDDAE6"/>
          </w:tcPr>
          <w:p>
            <w:pPr>
              <w:jc w:val="right"/>
              <w:ind w:right="40"/>
              <w:spacing w:after="0"/>
              <w:rPr>
                <w:sz w:val="20"/>
                <w:szCs w:val="20"/>
                <w:color w:val="auto"/>
              </w:rPr>
            </w:pPr>
            <w:r>
              <w:rPr>
                <w:rFonts w:ascii="Arial" w:cs="Arial" w:eastAsia="Arial" w:hAnsi="Arial"/>
                <w:sz w:val="15"/>
                <w:szCs w:val="15"/>
                <w:color w:val="auto"/>
              </w:rPr>
              <w:t>588,209</w:t>
            </w:r>
          </w:p>
        </w:tc>
      </w:tr>
      <w:tr>
        <w:trPr>
          <w:trHeight w:val="189"/>
        </w:trPr>
        <w:tc>
          <w:tcPr>
            <w:tcW w:w="1520" w:type="dxa"/>
            <w:vAlign w:val="bottom"/>
            <w:shd w:val="clear" w:color="auto" w:fill="CDDAE6"/>
          </w:tcPr>
          <w:p>
            <w:pPr>
              <w:spacing w:after="0"/>
              <w:rPr>
                <w:sz w:val="16"/>
                <w:szCs w:val="16"/>
                <w:color w:val="auto"/>
              </w:rPr>
            </w:pP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2/19/14</w:t>
            </w:r>
          </w:p>
        </w:tc>
        <w:tc>
          <w:tcPr>
            <w:tcW w:w="1100" w:type="dxa"/>
            <w:vAlign w:val="bottom"/>
            <w:gridSpan w:val="3"/>
            <w:shd w:val="clear" w:color="auto" w:fill="CDDAE6"/>
          </w:tcPr>
          <w:p>
            <w:pPr>
              <w:jc w:val="right"/>
              <w:ind w:right="23"/>
              <w:spacing w:after="0"/>
              <w:rPr>
                <w:sz w:val="20"/>
                <w:szCs w:val="20"/>
                <w:color w:val="auto"/>
              </w:rPr>
            </w:pPr>
            <w:r>
              <w:rPr>
                <w:rFonts w:ascii="Arial" w:cs="Arial" w:eastAsia="Arial" w:hAnsi="Arial"/>
                <w:sz w:val="15"/>
                <w:szCs w:val="15"/>
                <w:color w:val="auto"/>
              </w:rPr>
              <w:t>25,233</w:t>
            </w:r>
          </w:p>
        </w:tc>
        <w:tc>
          <w:tcPr>
            <w:tcW w:w="1340" w:type="dxa"/>
            <w:vAlign w:val="bottom"/>
            <w:shd w:val="clear" w:color="auto" w:fill="CDDAE6"/>
          </w:tcPr>
          <w:p>
            <w:pPr>
              <w:jc w:val="right"/>
              <w:ind w:right="105"/>
              <w:spacing w:after="0"/>
              <w:rPr>
                <w:sz w:val="20"/>
                <w:szCs w:val="20"/>
                <w:color w:val="auto"/>
              </w:rPr>
            </w:pPr>
            <w:r>
              <w:rPr>
                <w:rFonts w:ascii="Arial" w:cs="Arial" w:eastAsia="Arial" w:hAnsi="Arial"/>
                <w:sz w:val="15"/>
                <w:szCs w:val="15"/>
                <w:color w:val="auto"/>
              </w:rPr>
              <w:t>12,617</w:t>
            </w:r>
          </w:p>
        </w:tc>
        <w:tc>
          <w:tcPr>
            <w:tcW w:w="620" w:type="dxa"/>
            <w:vAlign w:val="bottom"/>
            <w:shd w:val="clear" w:color="auto" w:fill="CDDAE6"/>
          </w:tcPr>
          <w:p>
            <w:pPr>
              <w:jc w:val="right"/>
              <w:ind w:right="25"/>
              <w:spacing w:after="0"/>
              <w:rPr>
                <w:sz w:val="20"/>
                <w:szCs w:val="20"/>
                <w:color w:val="auto"/>
              </w:rPr>
            </w:pPr>
            <w:r>
              <w:rPr>
                <w:rFonts w:ascii="Arial" w:cs="Arial" w:eastAsia="Arial" w:hAnsi="Arial"/>
                <w:sz w:val="15"/>
                <w:szCs w:val="15"/>
                <w:color w:val="auto"/>
              </w:rPr>
              <w:t>113.67</w:t>
            </w: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2/19/24</w:t>
            </w:r>
          </w:p>
        </w:tc>
        <w:tc>
          <w:tcPr>
            <w:tcW w:w="920" w:type="dxa"/>
            <w:vAlign w:val="bottom"/>
            <w:gridSpan w:val="2"/>
            <w:shd w:val="clear" w:color="auto" w:fill="CDDAE6"/>
          </w:tcPr>
          <w:p>
            <w:pPr>
              <w:jc w:val="right"/>
              <w:ind w:right="52"/>
              <w:spacing w:after="0"/>
              <w:rPr>
                <w:sz w:val="20"/>
                <w:szCs w:val="20"/>
                <w:color w:val="auto"/>
              </w:rPr>
            </w:pPr>
            <w:r>
              <w:rPr>
                <w:rFonts w:ascii="Arial" w:cs="Arial" w:eastAsia="Arial" w:hAnsi="Arial"/>
                <w:sz w:val="15"/>
                <w:szCs w:val="15"/>
                <w:color w:val="auto"/>
              </w:rPr>
              <w:t>7,126</w:t>
            </w:r>
          </w:p>
        </w:tc>
        <w:tc>
          <w:tcPr>
            <w:tcW w:w="860" w:type="dxa"/>
            <w:vAlign w:val="bottom"/>
            <w:shd w:val="clear" w:color="auto" w:fill="CDDAE6"/>
          </w:tcPr>
          <w:p>
            <w:pPr>
              <w:jc w:val="right"/>
              <w:ind w:right="27"/>
              <w:spacing w:after="0"/>
              <w:rPr>
                <w:sz w:val="20"/>
                <w:szCs w:val="20"/>
                <w:color w:val="auto"/>
              </w:rPr>
            </w:pPr>
            <w:r>
              <w:rPr>
                <w:rFonts w:ascii="Arial" w:cs="Arial" w:eastAsia="Arial" w:hAnsi="Arial"/>
                <w:sz w:val="15"/>
                <w:szCs w:val="15"/>
                <w:color w:val="auto"/>
              </w:rPr>
              <w:t>1,083,936</w:t>
            </w:r>
          </w:p>
        </w:tc>
        <w:tc>
          <w:tcPr>
            <w:tcW w:w="860" w:type="dxa"/>
            <w:vAlign w:val="bottom"/>
            <w:shd w:val="clear" w:color="auto" w:fill="CDDAE6"/>
          </w:tcPr>
          <w:p>
            <w:pPr>
              <w:spacing w:after="0"/>
              <w:rPr>
                <w:sz w:val="16"/>
                <w:szCs w:val="16"/>
                <w:color w:val="auto"/>
              </w:rPr>
            </w:pPr>
          </w:p>
        </w:tc>
        <w:tc>
          <w:tcPr>
            <w:tcW w:w="720" w:type="dxa"/>
            <w:vAlign w:val="bottom"/>
            <w:shd w:val="clear" w:color="auto" w:fill="CDDAE6"/>
          </w:tcPr>
          <w:p>
            <w:pPr>
              <w:spacing w:after="0"/>
              <w:rPr>
                <w:sz w:val="16"/>
                <w:szCs w:val="16"/>
                <w:color w:val="auto"/>
              </w:rPr>
            </w:pPr>
          </w:p>
        </w:tc>
        <w:tc>
          <w:tcPr>
            <w:tcW w:w="100" w:type="dxa"/>
            <w:vAlign w:val="bottom"/>
            <w:shd w:val="clear" w:color="auto" w:fill="CDDAE6"/>
          </w:tcPr>
          <w:p>
            <w:pPr>
              <w:spacing w:after="0"/>
              <w:rPr>
                <w:sz w:val="16"/>
                <w:szCs w:val="16"/>
                <w:color w:val="auto"/>
              </w:rPr>
            </w:pPr>
          </w:p>
        </w:tc>
      </w:tr>
      <w:tr>
        <w:trPr>
          <w:trHeight w:val="189"/>
        </w:trPr>
        <w:tc>
          <w:tcPr>
            <w:tcW w:w="1520" w:type="dxa"/>
            <w:vAlign w:val="bottom"/>
            <w:shd w:val="clear" w:color="auto" w:fill="CDDAE6"/>
          </w:tcPr>
          <w:p>
            <w:pPr>
              <w:spacing w:after="0"/>
              <w:rPr>
                <w:sz w:val="16"/>
                <w:szCs w:val="16"/>
                <w:color w:val="auto"/>
              </w:rPr>
            </w:pP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2/20/13</w:t>
            </w:r>
          </w:p>
        </w:tc>
        <w:tc>
          <w:tcPr>
            <w:tcW w:w="1100" w:type="dxa"/>
            <w:vAlign w:val="bottom"/>
            <w:gridSpan w:val="3"/>
            <w:shd w:val="clear" w:color="auto" w:fill="CDDAE6"/>
          </w:tcPr>
          <w:p>
            <w:pPr>
              <w:jc w:val="right"/>
              <w:ind w:right="23"/>
              <w:spacing w:after="0"/>
              <w:rPr>
                <w:sz w:val="20"/>
                <w:szCs w:val="20"/>
                <w:color w:val="auto"/>
              </w:rPr>
            </w:pPr>
            <w:r>
              <w:rPr>
                <w:rFonts w:ascii="Arial" w:cs="Arial" w:eastAsia="Arial" w:hAnsi="Arial"/>
                <w:sz w:val="15"/>
                <w:szCs w:val="15"/>
                <w:color w:val="auto"/>
              </w:rPr>
              <w:t>62,086</w:t>
            </w:r>
          </w:p>
        </w:tc>
        <w:tc>
          <w:tcPr>
            <w:tcW w:w="1340" w:type="dxa"/>
            <w:vAlign w:val="bottom"/>
            <w:shd w:val="clear" w:color="auto" w:fill="CDDAE6"/>
          </w:tcPr>
          <w:p>
            <w:pPr>
              <w:jc w:val="right"/>
              <w:ind w:right="105"/>
              <w:spacing w:after="0"/>
              <w:rPr>
                <w:sz w:val="20"/>
                <w:szCs w:val="20"/>
                <w:color w:val="auto"/>
              </w:rPr>
            </w:pPr>
            <w:r>
              <w:rPr>
                <w:rFonts w:ascii="Arial" w:cs="Arial" w:eastAsia="Arial" w:hAnsi="Arial"/>
                <w:sz w:val="15"/>
                <w:szCs w:val="15"/>
                <w:color w:val="auto"/>
              </w:rPr>
              <w:t>—</w:t>
            </w:r>
          </w:p>
        </w:tc>
        <w:tc>
          <w:tcPr>
            <w:tcW w:w="620" w:type="dxa"/>
            <w:vAlign w:val="bottom"/>
            <w:shd w:val="clear" w:color="auto" w:fill="CDDAE6"/>
          </w:tcPr>
          <w:p>
            <w:pPr>
              <w:jc w:val="right"/>
              <w:ind w:right="25"/>
              <w:spacing w:after="0"/>
              <w:rPr>
                <w:sz w:val="20"/>
                <w:szCs w:val="20"/>
                <w:color w:val="auto"/>
              </w:rPr>
            </w:pPr>
            <w:r>
              <w:rPr>
                <w:rFonts w:ascii="Arial" w:cs="Arial" w:eastAsia="Arial" w:hAnsi="Arial"/>
                <w:sz w:val="15"/>
                <w:szCs w:val="15"/>
                <w:color w:val="auto"/>
              </w:rPr>
              <w:t>77.00</w:t>
            </w: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2/20/23</w:t>
            </w:r>
          </w:p>
        </w:tc>
        <w:tc>
          <w:tcPr>
            <w:tcW w:w="160" w:type="dxa"/>
            <w:vAlign w:val="bottom"/>
            <w:shd w:val="clear" w:color="auto" w:fill="CDDAE6"/>
          </w:tcPr>
          <w:p>
            <w:pPr>
              <w:spacing w:after="0"/>
              <w:rPr>
                <w:sz w:val="16"/>
                <w:szCs w:val="16"/>
                <w:color w:val="auto"/>
              </w:rPr>
            </w:pPr>
          </w:p>
        </w:tc>
        <w:tc>
          <w:tcPr>
            <w:tcW w:w="7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720" w:type="dxa"/>
            <w:vAlign w:val="bottom"/>
            <w:shd w:val="clear" w:color="auto" w:fill="CDDAE6"/>
          </w:tcPr>
          <w:p>
            <w:pPr>
              <w:spacing w:after="0"/>
              <w:rPr>
                <w:sz w:val="16"/>
                <w:szCs w:val="16"/>
                <w:color w:val="auto"/>
              </w:rPr>
            </w:pPr>
          </w:p>
        </w:tc>
        <w:tc>
          <w:tcPr>
            <w:tcW w:w="100" w:type="dxa"/>
            <w:vAlign w:val="bottom"/>
            <w:shd w:val="clear" w:color="auto" w:fill="CDDAE6"/>
          </w:tcPr>
          <w:p>
            <w:pPr>
              <w:spacing w:after="0"/>
              <w:rPr>
                <w:sz w:val="16"/>
                <w:szCs w:val="16"/>
                <w:color w:val="auto"/>
              </w:rPr>
            </w:pPr>
          </w:p>
        </w:tc>
      </w:tr>
      <w:tr>
        <w:trPr>
          <w:trHeight w:val="189"/>
        </w:trPr>
        <w:tc>
          <w:tcPr>
            <w:tcW w:w="1520" w:type="dxa"/>
            <w:vAlign w:val="bottom"/>
            <w:shd w:val="clear" w:color="auto" w:fill="CDDAE6"/>
          </w:tcPr>
          <w:p>
            <w:pPr>
              <w:spacing w:after="0"/>
              <w:rPr>
                <w:sz w:val="16"/>
                <w:szCs w:val="16"/>
                <w:color w:val="auto"/>
              </w:rPr>
            </w:pP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2/22/12</w:t>
            </w:r>
          </w:p>
        </w:tc>
        <w:tc>
          <w:tcPr>
            <w:tcW w:w="1100" w:type="dxa"/>
            <w:vAlign w:val="bottom"/>
            <w:gridSpan w:val="3"/>
            <w:shd w:val="clear" w:color="auto" w:fill="CDDAE6"/>
          </w:tcPr>
          <w:p>
            <w:pPr>
              <w:jc w:val="right"/>
              <w:ind w:right="23"/>
              <w:spacing w:after="0"/>
              <w:rPr>
                <w:sz w:val="20"/>
                <w:szCs w:val="20"/>
                <w:color w:val="auto"/>
              </w:rPr>
            </w:pPr>
            <w:r>
              <w:rPr>
                <w:rFonts w:ascii="Arial" w:cs="Arial" w:eastAsia="Arial" w:hAnsi="Arial"/>
                <w:sz w:val="15"/>
                <w:szCs w:val="15"/>
                <w:color w:val="auto"/>
              </w:rPr>
              <w:t>20,978</w:t>
            </w:r>
          </w:p>
        </w:tc>
        <w:tc>
          <w:tcPr>
            <w:tcW w:w="1340" w:type="dxa"/>
            <w:vAlign w:val="bottom"/>
            <w:shd w:val="clear" w:color="auto" w:fill="CDDAE6"/>
          </w:tcPr>
          <w:p>
            <w:pPr>
              <w:jc w:val="right"/>
              <w:ind w:right="105"/>
              <w:spacing w:after="0"/>
              <w:rPr>
                <w:sz w:val="20"/>
                <w:szCs w:val="20"/>
                <w:color w:val="auto"/>
              </w:rPr>
            </w:pPr>
            <w:r>
              <w:rPr>
                <w:rFonts w:ascii="Arial" w:cs="Arial" w:eastAsia="Arial" w:hAnsi="Arial"/>
                <w:sz w:val="15"/>
                <w:szCs w:val="15"/>
                <w:color w:val="auto"/>
              </w:rPr>
              <w:t>—</w:t>
            </w:r>
          </w:p>
        </w:tc>
        <w:tc>
          <w:tcPr>
            <w:tcW w:w="620" w:type="dxa"/>
            <w:vAlign w:val="bottom"/>
            <w:shd w:val="clear" w:color="auto" w:fill="CDDAE6"/>
          </w:tcPr>
          <w:p>
            <w:pPr>
              <w:jc w:val="right"/>
              <w:ind w:right="25"/>
              <w:spacing w:after="0"/>
              <w:rPr>
                <w:sz w:val="20"/>
                <w:szCs w:val="20"/>
                <w:color w:val="auto"/>
              </w:rPr>
            </w:pPr>
            <w:r>
              <w:rPr>
                <w:rFonts w:ascii="Arial" w:cs="Arial" w:eastAsia="Arial" w:hAnsi="Arial"/>
                <w:sz w:val="15"/>
                <w:szCs w:val="15"/>
                <w:color w:val="auto"/>
              </w:rPr>
              <w:t>67.49</w:t>
            </w: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2/22/22</w:t>
            </w:r>
          </w:p>
        </w:tc>
        <w:tc>
          <w:tcPr>
            <w:tcW w:w="160" w:type="dxa"/>
            <w:vAlign w:val="bottom"/>
            <w:shd w:val="clear" w:color="auto" w:fill="CDDAE6"/>
          </w:tcPr>
          <w:p>
            <w:pPr>
              <w:spacing w:after="0"/>
              <w:rPr>
                <w:sz w:val="16"/>
                <w:szCs w:val="16"/>
                <w:color w:val="auto"/>
              </w:rPr>
            </w:pPr>
          </w:p>
        </w:tc>
        <w:tc>
          <w:tcPr>
            <w:tcW w:w="7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720" w:type="dxa"/>
            <w:vAlign w:val="bottom"/>
            <w:shd w:val="clear" w:color="auto" w:fill="CDDAE6"/>
          </w:tcPr>
          <w:p>
            <w:pPr>
              <w:spacing w:after="0"/>
              <w:rPr>
                <w:sz w:val="16"/>
                <w:szCs w:val="16"/>
                <w:color w:val="auto"/>
              </w:rPr>
            </w:pPr>
          </w:p>
        </w:tc>
        <w:tc>
          <w:tcPr>
            <w:tcW w:w="100" w:type="dxa"/>
            <w:vAlign w:val="bottom"/>
            <w:shd w:val="clear" w:color="auto" w:fill="CDDAE6"/>
          </w:tcPr>
          <w:p>
            <w:pPr>
              <w:spacing w:after="0"/>
              <w:rPr>
                <w:sz w:val="16"/>
                <w:szCs w:val="16"/>
                <w:color w:val="auto"/>
              </w:rPr>
            </w:pPr>
          </w:p>
        </w:tc>
      </w:tr>
      <w:tr>
        <w:trPr>
          <w:trHeight w:val="189"/>
        </w:trPr>
        <w:tc>
          <w:tcPr>
            <w:tcW w:w="1520" w:type="dxa"/>
            <w:vAlign w:val="bottom"/>
            <w:shd w:val="clear" w:color="auto" w:fill="CDDAE6"/>
          </w:tcPr>
          <w:p>
            <w:pPr>
              <w:spacing w:after="0"/>
              <w:rPr>
                <w:sz w:val="16"/>
                <w:szCs w:val="16"/>
                <w:color w:val="auto"/>
              </w:rPr>
            </w:pP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2/24/11</w:t>
            </w:r>
          </w:p>
        </w:tc>
        <w:tc>
          <w:tcPr>
            <w:tcW w:w="1100" w:type="dxa"/>
            <w:vAlign w:val="bottom"/>
            <w:gridSpan w:val="3"/>
            <w:shd w:val="clear" w:color="auto" w:fill="CDDAE6"/>
          </w:tcPr>
          <w:p>
            <w:pPr>
              <w:jc w:val="right"/>
              <w:ind w:right="23"/>
              <w:spacing w:after="0"/>
              <w:rPr>
                <w:sz w:val="20"/>
                <w:szCs w:val="20"/>
                <w:color w:val="auto"/>
              </w:rPr>
            </w:pPr>
            <w:r>
              <w:rPr>
                <w:rFonts w:ascii="Arial" w:cs="Arial" w:eastAsia="Arial" w:hAnsi="Arial"/>
                <w:sz w:val="15"/>
                <w:szCs w:val="15"/>
                <w:color w:val="auto"/>
              </w:rPr>
              <w:t>39,262</w:t>
            </w:r>
          </w:p>
        </w:tc>
        <w:tc>
          <w:tcPr>
            <w:tcW w:w="1340" w:type="dxa"/>
            <w:vAlign w:val="bottom"/>
            <w:shd w:val="clear" w:color="auto" w:fill="CDDAE6"/>
          </w:tcPr>
          <w:p>
            <w:pPr>
              <w:jc w:val="right"/>
              <w:ind w:right="105"/>
              <w:spacing w:after="0"/>
              <w:rPr>
                <w:sz w:val="20"/>
                <w:szCs w:val="20"/>
                <w:color w:val="auto"/>
              </w:rPr>
            </w:pPr>
            <w:r>
              <w:rPr>
                <w:rFonts w:ascii="Arial" w:cs="Arial" w:eastAsia="Arial" w:hAnsi="Arial"/>
                <w:sz w:val="15"/>
                <w:szCs w:val="15"/>
                <w:color w:val="auto"/>
              </w:rPr>
              <w:t>—</w:t>
            </w:r>
          </w:p>
        </w:tc>
        <w:tc>
          <w:tcPr>
            <w:tcW w:w="620" w:type="dxa"/>
            <w:vAlign w:val="bottom"/>
            <w:shd w:val="clear" w:color="auto" w:fill="CDDAE6"/>
          </w:tcPr>
          <w:p>
            <w:pPr>
              <w:jc w:val="right"/>
              <w:ind w:right="25"/>
              <w:spacing w:after="0"/>
              <w:rPr>
                <w:sz w:val="20"/>
                <w:szCs w:val="20"/>
                <w:color w:val="auto"/>
              </w:rPr>
            </w:pPr>
            <w:r>
              <w:rPr>
                <w:rFonts w:ascii="Arial" w:cs="Arial" w:eastAsia="Arial" w:hAnsi="Arial"/>
                <w:sz w:val="15"/>
                <w:szCs w:val="15"/>
                <w:color w:val="auto"/>
              </w:rPr>
              <w:t>76.82</w:t>
            </w: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2/24/21</w:t>
            </w:r>
          </w:p>
        </w:tc>
        <w:tc>
          <w:tcPr>
            <w:tcW w:w="160" w:type="dxa"/>
            <w:vAlign w:val="bottom"/>
            <w:shd w:val="clear" w:color="auto" w:fill="CDDAE6"/>
          </w:tcPr>
          <w:p>
            <w:pPr>
              <w:spacing w:after="0"/>
              <w:rPr>
                <w:sz w:val="16"/>
                <w:szCs w:val="16"/>
                <w:color w:val="auto"/>
              </w:rPr>
            </w:pPr>
          </w:p>
        </w:tc>
        <w:tc>
          <w:tcPr>
            <w:tcW w:w="7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720" w:type="dxa"/>
            <w:vAlign w:val="bottom"/>
            <w:shd w:val="clear" w:color="auto" w:fill="CDDAE6"/>
          </w:tcPr>
          <w:p>
            <w:pPr>
              <w:spacing w:after="0"/>
              <w:rPr>
                <w:sz w:val="16"/>
                <w:szCs w:val="16"/>
                <w:color w:val="auto"/>
              </w:rPr>
            </w:pPr>
          </w:p>
        </w:tc>
        <w:tc>
          <w:tcPr>
            <w:tcW w:w="100" w:type="dxa"/>
            <w:vAlign w:val="bottom"/>
            <w:shd w:val="clear" w:color="auto" w:fill="CDDAE6"/>
          </w:tcPr>
          <w:p>
            <w:pPr>
              <w:spacing w:after="0"/>
              <w:rPr>
                <w:sz w:val="16"/>
                <w:szCs w:val="16"/>
                <w:color w:val="auto"/>
              </w:rPr>
            </w:pPr>
          </w:p>
        </w:tc>
      </w:tr>
      <w:tr>
        <w:trPr>
          <w:trHeight w:val="189"/>
        </w:trPr>
        <w:tc>
          <w:tcPr>
            <w:tcW w:w="1520" w:type="dxa"/>
            <w:vAlign w:val="bottom"/>
            <w:shd w:val="clear" w:color="auto" w:fill="CDDAE6"/>
          </w:tcPr>
          <w:p>
            <w:pPr>
              <w:spacing w:after="0"/>
              <w:rPr>
                <w:sz w:val="16"/>
                <w:szCs w:val="16"/>
                <w:color w:val="auto"/>
              </w:rPr>
            </w:pP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2/23/10</w:t>
            </w:r>
          </w:p>
        </w:tc>
        <w:tc>
          <w:tcPr>
            <w:tcW w:w="1100" w:type="dxa"/>
            <w:vAlign w:val="bottom"/>
            <w:gridSpan w:val="3"/>
            <w:shd w:val="clear" w:color="auto" w:fill="CDDAE6"/>
          </w:tcPr>
          <w:p>
            <w:pPr>
              <w:jc w:val="right"/>
              <w:ind w:right="23"/>
              <w:spacing w:after="0"/>
              <w:rPr>
                <w:sz w:val="20"/>
                <w:szCs w:val="20"/>
                <w:color w:val="auto"/>
              </w:rPr>
            </w:pPr>
            <w:r>
              <w:rPr>
                <w:rFonts w:ascii="Arial" w:cs="Arial" w:eastAsia="Arial" w:hAnsi="Arial"/>
                <w:sz w:val="15"/>
                <w:szCs w:val="15"/>
                <w:color w:val="auto"/>
              </w:rPr>
              <w:t>36,144</w:t>
            </w:r>
          </w:p>
        </w:tc>
        <w:tc>
          <w:tcPr>
            <w:tcW w:w="1340" w:type="dxa"/>
            <w:vAlign w:val="bottom"/>
            <w:shd w:val="clear" w:color="auto" w:fill="CDDAE6"/>
          </w:tcPr>
          <w:p>
            <w:pPr>
              <w:jc w:val="right"/>
              <w:ind w:right="105"/>
              <w:spacing w:after="0"/>
              <w:rPr>
                <w:sz w:val="20"/>
                <w:szCs w:val="20"/>
                <w:color w:val="auto"/>
              </w:rPr>
            </w:pPr>
            <w:r>
              <w:rPr>
                <w:rFonts w:ascii="Arial" w:cs="Arial" w:eastAsia="Arial" w:hAnsi="Arial"/>
                <w:sz w:val="15"/>
                <w:szCs w:val="15"/>
                <w:color w:val="auto"/>
              </w:rPr>
              <w:t>—</w:t>
            </w:r>
          </w:p>
        </w:tc>
        <w:tc>
          <w:tcPr>
            <w:tcW w:w="620" w:type="dxa"/>
            <w:vAlign w:val="bottom"/>
            <w:shd w:val="clear" w:color="auto" w:fill="CDDAE6"/>
          </w:tcPr>
          <w:p>
            <w:pPr>
              <w:jc w:val="right"/>
              <w:ind w:right="25"/>
              <w:spacing w:after="0"/>
              <w:rPr>
                <w:sz w:val="20"/>
                <w:szCs w:val="20"/>
                <w:color w:val="auto"/>
              </w:rPr>
            </w:pPr>
            <w:r>
              <w:rPr>
                <w:rFonts w:ascii="Arial" w:cs="Arial" w:eastAsia="Arial" w:hAnsi="Arial"/>
                <w:sz w:val="15"/>
                <w:szCs w:val="15"/>
                <w:color w:val="auto"/>
              </w:rPr>
              <w:t>86.41</w:t>
            </w: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2/23/20</w:t>
            </w:r>
          </w:p>
        </w:tc>
        <w:tc>
          <w:tcPr>
            <w:tcW w:w="160" w:type="dxa"/>
            <w:vAlign w:val="bottom"/>
            <w:shd w:val="clear" w:color="auto" w:fill="CDDAE6"/>
          </w:tcPr>
          <w:p>
            <w:pPr>
              <w:spacing w:after="0"/>
              <w:rPr>
                <w:sz w:val="16"/>
                <w:szCs w:val="16"/>
                <w:color w:val="auto"/>
              </w:rPr>
            </w:pPr>
          </w:p>
        </w:tc>
        <w:tc>
          <w:tcPr>
            <w:tcW w:w="7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720" w:type="dxa"/>
            <w:vAlign w:val="bottom"/>
            <w:shd w:val="clear" w:color="auto" w:fill="CDDAE6"/>
          </w:tcPr>
          <w:p>
            <w:pPr>
              <w:spacing w:after="0"/>
              <w:rPr>
                <w:sz w:val="16"/>
                <w:szCs w:val="16"/>
                <w:color w:val="auto"/>
              </w:rPr>
            </w:pPr>
          </w:p>
        </w:tc>
        <w:tc>
          <w:tcPr>
            <w:tcW w:w="100" w:type="dxa"/>
            <w:vAlign w:val="bottom"/>
            <w:shd w:val="clear" w:color="auto" w:fill="CDDAE6"/>
          </w:tcPr>
          <w:p>
            <w:pPr>
              <w:spacing w:after="0"/>
              <w:rPr>
                <w:sz w:val="16"/>
                <w:szCs w:val="16"/>
                <w:color w:val="auto"/>
              </w:rPr>
            </w:pPr>
          </w:p>
        </w:tc>
      </w:tr>
      <w:tr>
        <w:trPr>
          <w:trHeight w:val="189"/>
        </w:trPr>
        <w:tc>
          <w:tcPr>
            <w:tcW w:w="1520" w:type="dxa"/>
            <w:vAlign w:val="bottom"/>
            <w:shd w:val="clear" w:color="auto" w:fill="CDDAE6"/>
          </w:tcPr>
          <w:p>
            <w:pPr>
              <w:spacing w:after="0"/>
              <w:rPr>
                <w:sz w:val="16"/>
                <w:szCs w:val="16"/>
                <w:color w:val="auto"/>
              </w:rPr>
            </w:pP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7/29/08</w:t>
            </w:r>
          </w:p>
        </w:tc>
        <w:tc>
          <w:tcPr>
            <w:tcW w:w="1100" w:type="dxa"/>
            <w:vAlign w:val="bottom"/>
            <w:gridSpan w:val="3"/>
            <w:shd w:val="clear" w:color="auto" w:fill="CDDAE6"/>
          </w:tcPr>
          <w:p>
            <w:pPr>
              <w:jc w:val="right"/>
              <w:ind w:right="23"/>
              <w:spacing w:after="0"/>
              <w:rPr>
                <w:sz w:val="20"/>
                <w:szCs w:val="20"/>
                <w:color w:val="auto"/>
              </w:rPr>
            </w:pPr>
            <w:r>
              <w:rPr>
                <w:rFonts w:ascii="Arial" w:cs="Arial" w:eastAsia="Arial" w:hAnsi="Arial"/>
                <w:sz w:val="15"/>
                <w:szCs w:val="15"/>
                <w:color w:val="auto"/>
              </w:rPr>
              <w:t>9,000</w:t>
            </w:r>
          </w:p>
        </w:tc>
        <w:tc>
          <w:tcPr>
            <w:tcW w:w="1340" w:type="dxa"/>
            <w:vAlign w:val="bottom"/>
            <w:shd w:val="clear" w:color="auto" w:fill="CDDAE6"/>
          </w:tcPr>
          <w:p>
            <w:pPr>
              <w:jc w:val="right"/>
              <w:ind w:right="105"/>
              <w:spacing w:after="0"/>
              <w:rPr>
                <w:sz w:val="20"/>
                <w:szCs w:val="20"/>
                <w:color w:val="auto"/>
              </w:rPr>
            </w:pPr>
            <w:r>
              <w:rPr>
                <w:rFonts w:ascii="Arial" w:cs="Arial" w:eastAsia="Arial" w:hAnsi="Arial"/>
                <w:sz w:val="15"/>
                <w:szCs w:val="15"/>
                <w:color w:val="auto"/>
              </w:rPr>
              <w:t>—</w:t>
            </w:r>
          </w:p>
        </w:tc>
        <w:tc>
          <w:tcPr>
            <w:tcW w:w="620" w:type="dxa"/>
            <w:vAlign w:val="bottom"/>
            <w:shd w:val="clear" w:color="auto" w:fill="CDDAE6"/>
          </w:tcPr>
          <w:p>
            <w:pPr>
              <w:jc w:val="right"/>
              <w:ind w:right="25"/>
              <w:spacing w:after="0"/>
              <w:rPr>
                <w:sz w:val="20"/>
                <w:szCs w:val="20"/>
                <w:color w:val="auto"/>
              </w:rPr>
            </w:pPr>
            <w:r>
              <w:rPr>
                <w:rFonts w:ascii="Arial" w:cs="Arial" w:eastAsia="Arial" w:hAnsi="Arial"/>
                <w:sz w:val="15"/>
                <w:szCs w:val="15"/>
                <w:color w:val="auto"/>
              </w:rPr>
              <w:t>92.31</w:t>
            </w: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7/29/18</w:t>
            </w:r>
          </w:p>
        </w:tc>
        <w:tc>
          <w:tcPr>
            <w:tcW w:w="160" w:type="dxa"/>
            <w:vAlign w:val="bottom"/>
            <w:shd w:val="clear" w:color="auto" w:fill="CDDAE6"/>
          </w:tcPr>
          <w:p>
            <w:pPr>
              <w:spacing w:after="0"/>
              <w:rPr>
                <w:sz w:val="16"/>
                <w:szCs w:val="16"/>
                <w:color w:val="auto"/>
              </w:rPr>
            </w:pPr>
          </w:p>
        </w:tc>
        <w:tc>
          <w:tcPr>
            <w:tcW w:w="7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720" w:type="dxa"/>
            <w:vAlign w:val="bottom"/>
            <w:shd w:val="clear" w:color="auto" w:fill="CDDAE6"/>
          </w:tcPr>
          <w:p>
            <w:pPr>
              <w:spacing w:after="0"/>
              <w:rPr>
                <w:sz w:val="16"/>
                <w:szCs w:val="16"/>
                <w:color w:val="auto"/>
              </w:rPr>
            </w:pPr>
          </w:p>
        </w:tc>
        <w:tc>
          <w:tcPr>
            <w:tcW w:w="100" w:type="dxa"/>
            <w:vAlign w:val="bottom"/>
            <w:shd w:val="clear" w:color="auto" w:fill="CDDAE6"/>
          </w:tcPr>
          <w:p>
            <w:pPr>
              <w:spacing w:after="0"/>
              <w:rPr>
                <w:sz w:val="16"/>
                <w:szCs w:val="16"/>
                <w:color w:val="auto"/>
              </w:rPr>
            </w:pPr>
          </w:p>
        </w:tc>
      </w:tr>
      <w:tr>
        <w:trPr>
          <w:trHeight w:val="189"/>
        </w:trPr>
        <w:tc>
          <w:tcPr>
            <w:tcW w:w="1520" w:type="dxa"/>
            <w:vAlign w:val="bottom"/>
          </w:tcPr>
          <w:p>
            <w:pPr>
              <w:ind w:left="20"/>
              <w:spacing w:after="0"/>
              <w:rPr>
                <w:sz w:val="20"/>
                <w:szCs w:val="20"/>
                <w:color w:val="auto"/>
              </w:rPr>
            </w:pPr>
            <w:r>
              <w:rPr>
                <w:rFonts w:ascii="Arial" w:cs="Arial" w:eastAsia="Arial" w:hAnsi="Arial"/>
                <w:sz w:val="15"/>
                <w:szCs w:val="15"/>
                <w:color w:val="auto"/>
              </w:rPr>
              <w:t>Curtis Brunson</w:t>
            </w:r>
          </w:p>
        </w:tc>
        <w:tc>
          <w:tcPr>
            <w:tcW w:w="760" w:type="dxa"/>
            <w:vAlign w:val="bottom"/>
          </w:tcPr>
          <w:p>
            <w:pPr>
              <w:jc w:val="right"/>
              <w:spacing w:after="0"/>
              <w:rPr>
                <w:sz w:val="20"/>
                <w:szCs w:val="20"/>
                <w:color w:val="auto"/>
              </w:rPr>
            </w:pPr>
            <w:r>
              <w:rPr>
                <w:rFonts w:ascii="Arial" w:cs="Arial" w:eastAsia="Arial" w:hAnsi="Arial"/>
                <w:sz w:val="15"/>
                <w:szCs w:val="15"/>
                <w:color w:val="auto"/>
              </w:rPr>
              <w:t>2/16/16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05"/>
              <w:spacing w:after="0"/>
              <w:rPr>
                <w:sz w:val="20"/>
                <w:szCs w:val="20"/>
                <w:color w:val="auto"/>
              </w:rPr>
            </w:pPr>
            <w:r>
              <w:rPr>
                <w:rFonts w:ascii="Arial" w:cs="Arial" w:eastAsia="Arial" w:hAnsi="Arial"/>
                <w:sz w:val="15"/>
                <w:szCs w:val="15"/>
                <w:color w:val="auto"/>
              </w:rPr>
              <w:t>49,451</w:t>
            </w:r>
          </w:p>
        </w:tc>
        <w:tc>
          <w:tcPr>
            <w:tcW w:w="620" w:type="dxa"/>
            <w:vAlign w:val="bottom"/>
          </w:tcPr>
          <w:p>
            <w:pPr>
              <w:jc w:val="right"/>
              <w:ind w:right="25"/>
              <w:spacing w:after="0"/>
              <w:rPr>
                <w:sz w:val="20"/>
                <w:szCs w:val="20"/>
                <w:color w:val="auto"/>
              </w:rPr>
            </w:pPr>
            <w:r>
              <w:rPr>
                <w:rFonts w:ascii="Arial" w:cs="Arial" w:eastAsia="Arial" w:hAnsi="Arial"/>
                <w:sz w:val="15"/>
                <w:szCs w:val="15"/>
                <w:color w:val="auto"/>
              </w:rPr>
              <w:t>116.20</w:t>
            </w:r>
          </w:p>
        </w:tc>
        <w:tc>
          <w:tcPr>
            <w:tcW w:w="760" w:type="dxa"/>
            <w:vAlign w:val="bottom"/>
          </w:tcPr>
          <w:p>
            <w:pPr>
              <w:jc w:val="right"/>
              <w:spacing w:after="0"/>
              <w:rPr>
                <w:sz w:val="20"/>
                <w:szCs w:val="20"/>
                <w:color w:val="auto"/>
              </w:rPr>
            </w:pPr>
            <w:r>
              <w:rPr>
                <w:rFonts w:ascii="Arial" w:cs="Arial" w:eastAsia="Arial" w:hAnsi="Arial"/>
                <w:sz w:val="15"/>
                <w:szCs w:val="15"/>
                <w:color w:val="auto"/>
              </w:rPr>
              <w:t>2/16/26</w:t>
            </w:r>
          </w:p>
        </w:tc>
        <w:tc>
          <w:tcPr>
            <w:tcW w:w="920" w:type="dxa"/>
            <w:vAlign w:val="bottom"/>
            <w:gridSpan w:val="2"/>
          </w:tcPr>
          <w:p>
            <w:pPr>
              <w:jc w:val="right"/>
              <w:ind w:right="52"/>
              <w:spacing w:after="0"/>
              <w:rPr>
                <w:sz w:val="20"/>
                <w:szCs w:val="20"/>
                <w:color w:val="auto"/>
              </w:rPr>
            </w:pPr>
            <w:r>
              <w:rPr>
                <w:rFonts w:ascii="Arial" w:cs="Arial" w:eastAsia="Arial" w:hAnsi="Arial"/>
                <w:sz w:val="15"/>
                <w:szCs w:val="15"/>
                <w:color w:val="auto"/>
              </w:rPr>
              <w:t>6,971</w:t>
            </w: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1,060,359</w:t>
            </w:r>
          </w:p>
        </w:tc>
        <w:tc>
          <w:tcPr>
            <w:tcW w:w="860" w:type="dxa"/>
            <w:vAlign w:val="bottom"/>
          </w:tcPr>
          <w:p>
            <w:pPr>
              <w:jc w:val="right"/>
              <w:ind w:right="48"/>
              <w:spacing w:after="0"/>
              <w:rPr>
                <w:sz w:val="20"/>
                <w:szCs w:val="20"/>
                <w:color w:val="auto"/>
              </w:rPr>
            </w:pPr>
            <w:r>
              <w:rPr>
                <w:rFonts w:ascii="Arial" w:cs="Arial" w:eastAsia="Arial" w:hAnsi="Arial"/>
                <w:sz w:val="15"/>
                <w:szCs w:val="15"/>
                <w:color w:val="auto"/>
              </w:rPr>
              <w:t>9,294</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1,413,710</w:t>
            </w:r>
          </w:p>
        </w:tc>
      </w:tr>
      <w:tr>
        <w:trPr>
          <w:trHeight w:val="189"/>
        </w:trPr>
        <w:tc>
          <w:tcPr>
            <w:tcW w:w="1520" w:type="dxa"/>
            <w:vAlign w:val="bottom"/>
            <w:shd w:val="clear" w:color="auto" w:fill="CDDAE6"/>
          </w:tcPr>
          <w:p>
            <w:pPr>
              <w:spacing w:after="0"/>
              <w:rPr>
                <w:sz w:val="16"/>
                <w:szCs w:val="16"/>
                <w:color w:val="auto"/>
              </w:rPr>
            </w:pP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2/17/15</w:t>
            </w:r>
          </w:p>
        </w:tc>
        <w:tc>
          <w:tcPr>
            <w:tcW w:w="1100" w:type="dxa"/>
            <w:vAlign w:val="bottom"/>
            <w:gridSpan w:val="3"/>
            <w:shd w:val="clear" w:color="auto" w:fill="CDDAE6"/>
          </w:tcPr>
          <w:p>
            <w:pPr>
              <w:jc w:val="right"/>
              <w:ind w:right="23"/>
              <w:spacing w:after="0"/>
              <w:rPr>
                <w:sz w:val="20"/>
                <w:szCs w:val="20"/>
                <w:color w:val="auto"/>
              </w:rPr>
            </w:pPr>
            <w:r>
              <w:rPr>
                <w:rFonts w:ascii="Arial" w:cs="Arial" w:eastAsia="Arial" w:hAnsi="Arial"/>
                <w:sz w:val="15"/>
                <w:szCs w:val="15"/>
                <w:color w:val="auto"/>
              </w:rPr>
              <w:t>13,222</w:t>
            </w:r>
          </w:p>
        </w:tc>
        <w:tc>
          <w:tcPr>
            <w:tcW w:w="1340" w:type="dxa"/>
            <w:vAlign w:val="bottom"/>
            <w:shd w:val="clear" w:color="auto" w:fill="CDDAE6"/>
          </w:tcPr>
          <w:p>
            <w:pPr>
              <w:jc w:val="right"/>
              <w:ind w:right="105"/>
              <w:spacing w:after="0"/>
              <w:rPr>
                <w:sz w:val="20"/>
                <w:szCs w:val="20"/>
                <w:color w:val="auto"/>
              </w:rPr>
            </w:pPr>
            <w:r>
              <w:rPr>
                <w:rFonts w:ascii="Arial" w:cs="Arial" w:eastAsia="Arial" w:hAnsi="Arial"/>
                <w:sz w:val="15"/>
                <w:szCs w:val="15"/>
                <w:color w:val="auto"/>
              </w:rPr>
              <w:t>26,445</w:t>
            </w:r>
          </w:p>
        </w:tc>
        <w:tc>
          <w:tcPr>
            <w:tcW w:w="620" w:type="dxa"/>
            <w:vAlign w:val="bottom"/>
            <w:shd w:val="clear" w:color="auto" w:fill="CDDAE6"/>
          </w:tcPr>
          <w:p>
            <w:pPr>
              <w:jc w:val="right"/>
              <w:ind w:right="25"/>
              <w:spacing w:after="0"/>
              <w:rPr>
                <w:sz w:val="20"/>
                <w:szCs w:val="20"/>
                <w:color w:val="auto"/>
              </w:rPr>
            </w:pPr>
            <w:r>
              <w:rPr>
                <w:rFonts w:ascii="Arial" w:cs="Arial" w:eastAsia="Arial" w:hAnsi="Arial"/>
                <w:sz w:val="15"/>
                <w:szCs w:val="15"/>
                <w:color w:val="auto"/>
              </w:rPr>
              <w:t>129.31</w:t>
            </w: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2/17/25</w:t>
            </w:r>
          </w:p>
        </w:tc>
        <w:tc>
          <w:tcPr>
            <w:tcW w:w="160" w:type="dxa"/>
            <w:vAlign w:val="bottom"/>
            <w:shd w:val="clear" w:color="auto" w:fill="CDDAE6"/>
          </w:tcPr>
          <w:p>
            <w:pPr>
              <w:spacing w:after="0"/>
              <w:rPr>
                <w:sz w:val="16"/>
                <w:szCs w:val="16"/>
                <w:color w:val="auto"/>
              </w:rPr>
            </w:pPr>
          </w:p>
        </w:tc>
        <w:tc>
          <w:tcPr>
            <w:tcW w:w="7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860" w:type="dxa"/>
            <w:vAlign w:val="bottom"/>
            <w:shd w:val="clear" w:color="auto" w:fill="CDDAE6"/>
          </w:tcPr>
          <w:p>
            <w:pPr>
              <w:jc w:val="right"/>
              <w:ind w:right="48"/>
              <w:spacing w:after="0"/>
              <w:rPr>
                <w:sz w:val="20"/>
                <w:szCs w:val="20"/>
                <w:color w:val="auto"/>
              </w:rPr>
            </w:pPr>
            <w:r>
              <w:rPr>
                <w:rFonts w:ascii="Arial" w:cs="Arial" w:eastAsia="Arial" w:hAnsi="Arial"/>
                <w:sz w:val="15"/>
                <w:szCs w:val="15"/>
                <w:color w:val="auto"/>
              </w:rPr>
              <w:t>4,176</w:t>
            </w:r>
          </w:p>
        </w:tc>
        <w:tc>
          <w:tcPr>
            <w:tcW w:w="820" w:type="dxa"/>
            <w:vAlign w:val="bottom"/>
            <w:gridSpan w:val="2"/>
            <w:shd w:val="clear" w:color="auto" w:fill="CDDAE6"/>
          </w:tcPr>
          <w:p>
            <w:pPr>
              <w:jc w:val="right"/>
              <w:ind w:right="40"/>
              <w:spacing w:after="0"/>
              <w:rPr>
                <w:sz w:val="20"/>
                <w:szCs w:val="20"/>
                <w:color w:val="auto"/>
              </w:rPr>
            </w:pPr>
            <w:r>
              <w:rPr>
                <w:rFonts w:ascii="Arial" w:cs="Arial" w:eastAsia="Arial" w:hAnsi="Arial"/>
                <w:sz w:val="15"/>
                <w:szCs w:val="15"/>
                <w:color w:val="auto"/>
              </w:rPr>
              <w:t>635,211</w:t>
            </w:r>
          </w:p>
        </w:tc>
      </w:tr>
      <w:tr>
        <w:trPr>
          <w:trHeight w:val="189"/>
        </w:trPr>
        <w:tc>
          <w:tcPr>
            <w:tcW w:w="15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2/19/14</w:t>
            </w:r>
          </w:p>
        </w:tc>
        <w:tc>
          <w:tcPr>
            <w:tcW w:w="1100" w:type="dxa"/>
            <w:vAlign w:val="bottom"/>
            <w:gridSpan w:val="3"/>
          </w:tcPr>
          <w:p>
            <w:pPr>
              <w:jc w:val="right"/>
              <w:ind w:right="23"/>
              <w:spacing w:after="0"/>
              <w:rPr>
                <w:sz w:val="20"/>
                <w:szCs w:val="20"/>
                <w:color w:val="auto"/>
              </w:rPr>
            </w:pPr>
            <w:r>
              <w:rPr>
                <w:rFonts w:ascii="Arial" w:cs="Arial" w:eastAsia="Arial" w:hAnsi="Arial"/>
                <w:sz w:val="15"/>
                <w:szCs w:val="15"/>
                <w:color w:val="auto"/>
              </w:rPr>
              <w:t>25,233</w:t>
            </w:r>
          </w:p>
        </w:tc>
        <w:tc>
          <w:tcPr>
            <w:tcW w:w="1340" w:type="dxa"/>
            <w:vAlign w:val="bottom"/>
          </w:tcPr>
          <w:p>
            <w:pPr>
              <w:jc w:val="right"/>
              <w:ind w:right="105"/>
              <w:spacing w:after="0"/>
              <w:rPr>
                <w:sz w:val="20"/>
                <w:szCs w:val="20"/>
                <w:color w:val="auto"/>
              </w:rPr>
            </w:pPr>
            <w:r>
              <w:rPr>
                <w:rFonts w:ascii="Arial" w:cs="Arial" w:eastAsia="Arial" w:hAnsi="Arial"/>
                <w:sz w:val="15"/>
                <w:szCs w:val="15"/>
                <w:color w:val="auto"/>
              </w:rPr>
              <w:t>12,617</w:t>
            </w:r>
          </w:p>
        </w:tc>
        <w:tc>
          <w:tcPr>
            <w:tcW w:w="620" w:type="dxa"/>
            <w:vAlign w:val="bottom"/>
          </w:tcPr>
          <w:p>
            <w:pPr>
              <w:jc w:val="right"/>
              <w:ind w:right="25"/>
              <w:spacing w:after="0"/>
              <w:rPr>
                <w:sz w:val="20"/>
                <w:szCs w:val="20"/>
                <w:color w:val="auto"/>
              </w:rPr>
            </w:pPr>
            <w:r>
              <w:rPr>
                <w:rFonts w:ascii="Arial" w:cs="Arial" w:eastAsia="Arial" w:hAnsi="Arial"/>
                <w:sz w:val="15"/>
                <w:szCs w:val="15"/>
                <w:color w:val="auto"/>
              </w:rPr>
              <w:t>113.67</w:t>
            </w:r>
          </w:p>
        </w:tc>
        <w:tc>
          <w:tcPr>
            <w:tcW w:w="760" w:type="dxa"/>
            <w:vAlign w:val="bottom"/>
          </w:tcPr>
          <w:p>
            <w:pPr>
              <w:jc w:val="right"/>
              <w:spacing w:after="0"/>
              <w:rPr>
                <w:sz w:val="20"/>
                <w:szCs w:val="20"/>
                <w:color w:val="auto"/>
              </w:rPr>
            </w:pPr>
            <w:r>
              <w:rPr>
                <w:rFonts w:ascii="Arial" w:cs="Arial" w:eastAsia="Arial" w:hAnsi="Arial"/>
                <w:sz w:val="15"/>
                <w:szCs w:val="15"/>
                <w:color w:val="auto"/>
              </w:rPr>
              <w:t>2/19/24</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1520" w:type="dxa"/>
            <w:vAlign w:val="bottom"/>
            <w:shd w:val="clear" w:color="auto" w:fill="CDDAE6"/>
          </w:tcPr>
          <w:p>
            <w:pPr>
              <w:spacing w:after="0"/>
              <w:rPr>
                <w:sz w:val="16"/>
                <w:szCs w:val="16"/>
                <w:color w:val="auto"/>
              </w:rPr>
            </w:pP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2/20/13</w:t>
            </w:r>
          </w:p>
        </w:tc>
        <w:tc>
          <w:tcPr>
            <w:tcW w:w="1100" w:type="dxa"/>
            <w:vAlign w:val="bottom"/>
            <w:gridSpan w:val="3"/>
            <w:shd w:val="clear" w:color="auto" w:fill="CDDAE6"/>
          </w:tcPr>
          <w:p>
            <w:pPr>
              <w:jc w:val="right"/>
              <w:ind w:right="23"/>
              <w:spacing w:after="0"/>
              <w:rPr>
                <w:sz w:val="20"/>
                <w:szCs w:val="20"/>
                <w:color w:val="auto"/>
              </w:rPr>
            </w:pPr>
            <w:r>
              <w:rPr>
                <w:rFonts w:ascii="Arial" w:cs="Arial" w:eastAsia="Arial" w:hAnsi="Arial"/>
                <w:sz w:val="15"/>
                <w:szCs w:val="15"/>
                <w:color w:val="auto"/>
              </w:rPr>
              <w:t>62,086</w:t>
            </w:r>
          </w:p>
        </w:tc>
        <w:tc>
          <w:tcPr>
            <w:tcW w:w="1340" w:type="dxa"/>
            <w:vAlign w:val="bottom"/>
            <w:shd w:val="clear" w:color="auto" w:fill="CDDAE6"/>
          </w:tcPr>
          <w:p>
            <w:pPr>
              <w:jc w:val="right"/>
              <w:ind w:right="105"/>
              <w:spacing w:after="0"/>
              <w:rPr>
                <w:sz w:val="20"/>
                <w:szCs w:val="20"/>
                <w:color w:val="auto"/>
              </w:rPr>
            </w:pPr>
            <w:r>
              <w:rPr>
                <w:rFonts w:ascii="Arial" w:cs="Arial" w:eastAsia="Arial" w:hAnsi="Arial"/>
                <w:sz w:val="15"/>
                <w:szCs w:val="15"/>
                <w:color w:val="auto"/>
              </w:rPr>
              <w:t>—</w:t>
            </w:r>
          </w:p>
        </w:tc>
        <w:tc>
          <w:tcPr>
            <w:tcW w:w="620" w:type="dxa"/>
            <w:vAlign w:val="bottom"/>
            <w:shd w:val="clear" w:color="auto" w:fill="CDDAE6"/>
          </w:tcPr>
          <w:p>
            <w:pPr>
              <w:jc w:val="right"/>
              <w:ind w:right="25"/>
              <w:spacing w:after="0"/>
              <w:rPr>
                <w:sz w:val="20"/>
                <w:szCs w:val="20"/>
                <w:color w:val="auto"/>
              </w:rPr>
            </w:pPr>
            <w:r>
              <w:rPr>
                <w:rFonts w:ascii="Arial" w:cs="Arial" w:eastAsia="Arial" w:hAnsi="Arial"/>
                <w:sz w:val="15"/>
                <w:szCs w:val="15"/>
                <w:color w:val="auto"/>
              </w:rPr>
              <w:t>77.00</w:t>
            </w: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2/20/23</w:t>
            </w:r>
          </w:p>
        </w:tc>
        <w:tc>
          <w:tcPr>
            <w:tcW w:w="160" w:type="dxa"/>
            <w:vAlign w:val="bottom"/>
            <w:shd w:val="clear" w:color="auto" w:fill="CDDAE6"/>
          </w:tcPr>
          <w:p>
            <w:pPr>
              <w:spacing w:after="0"/>
              <w:rPr>
                <w:sz w:val="16"/>
                <w:szCs w:val="16"/>
                <w:color w:val="auto"/>
              </w:rPr>
            </w:pPr>
          </w:p>
        </w:tc>
        <w:tc>
          <w:tcPr>
            <w:tcW w:w="7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720" w:type="dxa"/>
            <w:vAlign w:val="bottom"/>
            <w:shd w:val="clear" w:color="auto" w:fill="CDDAE6"/>
          </w:tcPr>
          <w:p>
            <w:pPr>
              <w:spacing w:after="0"/>
              <w:rPr>
                <w:sz w:val="16"/>
                <w:szCs w:val="16"/>
                <w:color w:val="auto"/>
              </w:rPr>
            </w:pPr>
          </w:p>
        </w:tc>
        <w:tc>
          <w:tcPr>
            <w:tcW w:w="100" w:type="dxa"/>
            <w:vAlign w:val="bottom"/>
            <w:shd w:val="clear" w:color="auto" w:fill="CDDAE6"/>
          </w:tcPr>
          <w:p>
            <w:pPr>
              <w:spacing w:after="0"/>
              <w:rPr>
                <w:sz w:val="16"/>
                <w:szCs w:val="16"/>
                <w:color w:val="auto"/>
              </w:rPr>
            </w:pPr>
          </w:p>
        </w:tc>
      </w:tr>
      <w:tr>
        <w:trPr>
          <w:trHeight w:val="189"/>
        </w:trPr>
        <w:tc>
          <w:tcPr>
            <w:tcW w:w="1520" w:type="dxa"/>
            <w:vAlign w:val="bottom"/>
            <w:shd w:val="clear" w:color="auto" w:fill="CDDAE6"/>
          </w:tcPr>
          <w:p>
            <w:pPr>
              <w:ind w:left="20"/>
              <w:spacing w:after="0"/>
              <w:rPr>
                <w:sz w:val="20"/>
                <w:szCs w:val="20"/>
                <w:color w:val="auto"/>
              </w:rPr>
            </w:pPr>
            <w:r>
              <w:rPr>
                <w:rFonts w:ascii="Arial" w:cs="Arial" w:eastAsia="Arial" w:hAnsi="Arial"/>
                <w:sz w:val="15"/>
                <w:szCs w:val="15"/>
                <w:color w:val="auto"/>
              </w:rPr>
              <w:t>Steve Kantor</w:t>
            </w: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2/16/16</w:t>
            </w:r>
          </w:p>
        </w:tc>
        <w:tc>
          <w:tcPr>
            <w:tcW w:w="120" w:type="dxa"/>
            <w:vAlign w:val="bottom"/>
            <w:shd w:val="clear" w:color="auto" w:fill="CDDAE6"/>
          </w:tcPr>
          <w:p>
            <w:pPr>
              <w:spacing w:after="0"/>
              <w:rPr>
                <w:sz w:val="16"/>
                <w:szCs w:val="16"/>
                <w:color w:val="auto"/>
              </w:rPr>
            </w:pPr>
          </w:p>
        </w:tc>
        <w:tc>
          <w:tcPr>
            <w:tcW w:w="280" w:type="dxa"/>
            <w:vAlign w:val="bottom"/>
            <w:shd w:val="clear" w:color="auto" w:fill="CDDAE6"/>
          </w:tcPr>
          <w:p>
            <w:pPr>
              <w:spacing w:after="0"/>
              <w:rPr>
                <w:sz w:val="16"/>
                <w:szCs w:val="16"/>
                <w:color w:val="auto"/>
              </w:rPr>
            </w:pPr>
          </w:p>
        </w:tc>
        <w:tc>
          <w:tcPr>
            <w:tcW w:w="700" w:type="dxa"/>
            <w:vAlign w:val="bottom"/>
            <w:shd w:val="clear" w:color="auto" w:fill="CDDAE6"/>
          </w:tcPr>
          <w:p>
            <w:pPr>
              <w:jc w:val="right"/>
              <w:ind w:right="23"/>
              <w:spacing w:after="0"/>
              <w:rPr>
                <w:sz w:val="20"/>
                <w:szCs w:val="20"/>
                <w:color w:val="auto"/>
              </w:rPr>
            </w:pPr>
            <w:r>
              <w:rPr>
                <w:rFonts w:ascii="Arial" w:cs="Arial" w:eastAsia="Arial" w:hAnsi="Arial"/>
                <w:sz w:val="15"/>
                <w:szCs w:val="15"/>
                <w:color w:val="auto"/>
              </w:rPr>
              <w:t>—</w:t>
            </w:r>
          </w:p>
        </w:tc>
        <w:tc>
          <w:tcPr>
            <w:tcW w:w="1340" w:type="dxa"/>
            <w:vAlign w:val="bottom"/>
            <w:shd w:val="clear" w:color="auto" w:fill="CDDAE6"/>
          </w:tcPr>
          <w:p>
            <w:pPr>
              <w:jc w:val="right"/>
              <w:ind w:right="105"/>
              <w:spacing w:after="0"/>
              <w:rPr>
                <w:sz w:val="20"/>
                <w:szCs w:val="20"/>
                <w:color w:val="auto"/>
              </w:rPr>
            </w:pPr>
            <w:r>
              <w:rPr>
                <w:rFonts w:ascii="Arial" w:cs="Arial" w:eastAsia="Arial" w:hAnsi="Arial"/>
                <w:sz w:val="15"/>
                <w:szCs w:val="15"/>
                <w:color w:val="auto"/>
              </w:rPr>
              <w:t>30,220</w:t>
            </w:r>
          </w:p>
        </w:tc>
        <w:tc>
          <w:tcPr>
            <w:tcW w:w="620" w:type="dxa"/>
            <w:vAlign w:val="bottom"/>
            <w:shd w:val="clear" w:color="auto" w:fill="CDDAE6"/>
          </w:tcPr>
          <w:p>
            <w:pPr>
              <w:jc w:val="right"/>
              <w:ind w:right="25"/>
              <w:spacing w:after="0"/>
              <w:rPr>
                <w:sz w:val="20"/>
                <w:szCs w:val="20"/>
                <w:color w:val="auto"/>
              </w:rPr>
            </w:pPr>
            <w:r>
              <w:rPr>
                <w:rFonts w:ascii="Arial" w:cs="Arial" w:eastAsia="Arial" w:hAnsi="Arial"/>
                <w:sz w:val="15"/>
                <w:szCs w:val="15"/>
                <w:color w:val="auto"/>
              </w:rPr>
              <w:t>116.20</w:t>
            </w: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2/16/26</w:t>
            </w:r>
          </w:p>
        </w:tc>
        <w:tc>
          <w:tcPr>
            <w:tcW w:w="920" w:type="dxa"/>
            <w:vAlign w:val="bottom"/>
            <w:gridSpan w:val="2"/>
            <w:shd w:val="clear" w:color="auto" w:fill="CDDAE6"/>
          </w:tcPr>
          <w:p>
            <w:pPr>
              <w:jc w:val="right"/>
              <w:ind w:right="52"/>
              <w:spacing w:after="0"/>
              <w:rPr>
                <w:sz w:val="20"/>
                <w:szCs w:val="20"/>
                <w:color w:val="auto"/>
              </w:rPr>
            </w:pPr>
            <w:r>
              <w:rPr>
                <w:rFonts w:ascii="Arial" w:cs="Arial" w:eastAsia="Arial" w:hAnsi="Arial"/>
                <w:sz w:val="15"/>
                <w:szCs w:val="15"/>
                <w:color w:val="auto"/>
              </w:rPr>
              <w:t>4,260</w:t>
            </w:r>
          </w:p>
        </w:tc>
        <w:tc>
          <w:tcPr>
            <w:tcW w:w="860" w:type="dxa"/>
            <w:vAlign w:val="bottom"/>
            <w:shd w:val="clear" w:color="auto" w:fill="CDDAE6"/>
          </w:tcPr>
          <w:p>
            <w:pPr>
              <w:jc w:val="right"/>
              <w:ind w:right="27"/>
              <w:spacing w:after="0"/>
              <w:rPr>
                <w:sz w:val="20"/>
                <w:szCs w:val="20"/>
                <w:color w:val="auto"/>
              </w:rPr>
            </w:pPr>
            <w:r>
              <w:rPr>
                <w:rFonts w:ascii="Arial" w:cs="Arial" w:eastAsia="Arial" w:hAnsi="Arial"/>
                <w:sz w:val="15"/>
                <w:szCs w:val="15"/>
                <w:color w:val="auto"/>
              </w:rPr>
              <w:t>647,989</w:t>
            </w:r>
          </w:p>
        </w:tc>
        <w:tc>
          <w:tcPr>
            <w:tcW w:w="860" w:type="dxa"/>
            <w:vAlign w:val="bottom"/>
            <w:shd w:val="clear" w:color="auto" w:fill="CDDAE6"/>
          </w:tcPr>
          <w:p>
            <w:pPr>
              <w:jc w:val="right"/>
              <w:ind w:right="48"/>
              <w:spacing w:after="0"/>
              <w:rPr>
                <w:sz w:val="20"/>
                <w:szCs w:val="20"/>
                <w:color w:val="auto"/>
              </w:rPr>
            </w:pPr>
            <w:r>
              <w:rPr>
                <w:rFonts w:ascii="Arial" w:cs="Arial" w:eastAsia="Arial" w:hAnsi="Arial"/>
                <w:sz w:val="15"/>
                <w:szCs w:val="15"/>
                <w:color w:val="auto"/>
              </w:rPr>
              <w:t>5,680</w:t>
            </w:r>
          </w:p>
        </w:tc>
        <w:tc>
          <w:tcPr>
            <w:tcW w:w="820" w:type="dxa"/>
            <w:vAlign w:val="bottom"/>
            <w:gridSpan w:val="2"/>
            <w:shd w:val="clear" w:color="auto" w:fill="CDDAE6"/>
          </w:tcPr>
          <w:p>
            <w:pPr>
              <w:jc w:val="right"/>
              <w:ind w:right="40"/>
              <w:spacing w:after="0"/>
              <w:rPr>
                <w:sz w:val="20"/>
                <w:szCs w:val="20"/>
                <w:color w:val="auto"/>
              </w:rPr>
            </w:pPr>
            <w:r>
              <w:rPr>
                <w:rFonts w:ascii="Arial" w:cs="Arial" w:eastAsia="Arial" w:hAnsi="Arial"/>
                <w:sz w:val="15"/>
                <w:szCs w:val="15"/>
                <w:color w:val="auto"/>
              </w:rPr>
              <w:t>863,985</w:t>
            </w:r>
          </w:p>
        </w:tc>
      </w:tr>
      <w:tr>
        <w:trPr>
          <w:trHeight w:val="189"/>
        </w:trPr>
        <w:tc>
          <w:tcPr>
            <w:tcW w:w="1520" w:type="dxa"/>
            <w:vAlign w:val="bottom"/>
            <w:shd w:val="clear" w:color="auto" w:fill="CDDAE6"/>
          </w:tcPr>
          <w:p>
            <w:pPr>
              <w:spacing w:after="0"/>
              <w:rPr>
                <w:sz w:val="16"/>
                <w:szCs w:val="16"/>
                <w:color w:val="auto"/>
              </w:rPr>
            </w:pP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2/17/15</w:t>
            </w:r>
          </w:p>
        </w:tc>
        <w:tc>
          <w:tcPr>
            <w:tcW w:w="1100" w:type="dxa"/>
            <w:vAlign w:val="bottom"/>
            <w:gridSpan w:val="3"/>
            <w:shd w:val="clear" w:color="auto" w:fill="CDDAE6"/>
          </w:tcPr>
          <w:p>
            <w:pPr>
              <w:jc w:val="right"/>
              <w:ind w:right="23"/>
              <w:spacing w:after="0"/>
              <w:rPr>
                <w:sz w:val="20"/>
                <w:szCs w:val="20"/>
                <w:color w:val="auto"/>
              </w:rPr>
            </w:pPr>
            <w:r>
              <w:rPr>
                <w:rFonts w:ascii="Arial" w:cs="Arial" w:eastAsia="Arial" w:hAnsi="Arial"/>
                <w:sz w:val="15"/>
                <w:szCs w:val="15"/>
                <w:color w:val="auto"/>
              </w:rPr>
              <w:t>8,080</w:t>
            </w:r>
          </w:p>
        </w:tc>
        <w:tc>
          <w:tcPr>
            <w:tcW w:w="1340" w:type="dxa"/>
            <w:vAlign w:val="bottom"/>
            <w:shd w:val="clear" w:color="auto" w:fill="CDDAE6"/>
          </w:tcPr>
          <w:p>
            <w:pPr>
              <w:jc w:val="right"/>
              <w:ind w:right="105"/>
              <w:spacing w:after="0"/>
              <w:rPr>
                <w:sz w:val="20"/>
                <w:szCs w:val="20"/>
                <w:color w:val="auto"/>
              </w:rPr>
            </w:pPr>
            <w:r>
              <w:rPr>
                <w:rFonts w:ascii="Arial" w:cs="Arial" w:eastAsia="Arial" w:hAnsi="Arial"/>
                <w:sz w:val="15"/>
                <w:szCs w:val="15"/>
                <w:color w:val="auto"/>
              </w:rPr>
              <w:t>16,161</w:t>
            </w:r>
          </w:p>
        </w:tc>
        <w:tc>
          <w:tcPr>
            <w:tcW w:w="620" w:type="dxa"/>
            <w:vAlign w:val="bottom"/>
            <w:shd w:val="clear" w:color="auto" w:fill="CDDAE6"/>
          </w:tcPr>
          <w:p>
            <w:pPr>
              <w:jc w:val="right"/>
              <w:ind w:right="25"/>
              <w:spacing w:after="0"/>
              <w:rPr>
                <w:sz w:val="20"/>
                <w:szCs w:val="20"/>
                <w:color w:val="auto"/>
              </w:rPr>
            </w:pPr>
            <w:r>
              <w:rPr>
                <w:rFonts w:ascii="Arial" w:cs="Arial" w:eastAsia="Arial" w:hAnsi="Arial"/>
                <w:sz w:val="15"/>
                <w:szCs w:val="15"/>
                <w:color w:val="auto"/>
              </w:rPr>
              <w:t>129.31</w:t>
            </w:r>
          </w:p>
        </w:tc>
        <w:tc>
          <w:tcPr>
            <w:tcW w:w="7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2/17/25</w:t>
            </w:r>
          </w:p>
        </w:tc>
        <w:tc>
          <w:tcPr>
            <w:tcW w:w="160" w:type="dxa"/>
            <w:vAlign w:val="bottom"/>
            <w:shd w:val="clear" w:color="auto" w:fill="CDDAE6"/>
          </w:tcPr>
          <w:p>
            <w:pPr>
              <w:spacing w:after="0"/>
              <w:rPr>
                <w:sz w:val="16"/>
                <w:szCs w:val="16"/>
                <w:color w:val="auto"/>
              </w:rPr>
            </w:pPr>
          </w:p>
        </w:tc>
        <w:tc>
          <w:tcPr>
            <w:tcW w:w="760" w:type="dxa"/>
            <w:vAlign w:val="bottom"/>
            <w:shd w:val="clear" w:color="auto" w:fill="CDDAE6"/>
          </w:tcPr>
          <w:p>
            <w:pPr>
              <w:spacing w:after="0"/>
              <w:rPr>
                <w:sz w:val="16"/>
                <w:szCs w:val="16"/>
                <w:color w:val="auto"/>
              </w:rPr>
            </w:pPr>
          </w:p>
        </w:tc>
        <w:tc>
          <w:tcPr>
            <w:tcW w:w="860" w:type="dxa"/>
            <w:vAlign w:val="bottom"/>
            <w:shd w:val="clear" w:color="auto" w:fill="CDDAE6"/>
          </w:tcPr>
          <w:p>
            <w:pPr>
              <w:spacing w:after="0"/>
              <w:rPr>
                <w:sz w:val="16"/>
                <w:szCs w:val="16"/>
                <w:color w:val="auto"/>
              </w:rPr>
            </w:pPr>
          </w:p>
        </w:tc>
        <w:tc>
          <w:tcPr>
            <w:tcW w:w="860" w:type="dxa"/>
            <w:vAlign w:val="bottom"/>
            <w:shd w:val="clear" w:color="auto" w:fill="CDDAE6"/>
          </w:tcPr>
          <w:p>
            <w:pPr>
              <w:jc w:val="right"/>
              <w:ind w:right="48"/>
              <w:spacing w:after="0"/>
              <w:rPr>
                <w:sz w:val="20"/>
                <w:szCs w:val="20"/>
                <w:color w:val="auto"/>
              </w:rPr>
            </w:pPr>
            <w:r>
              <w:rPr>
                <w:rFonts w:ascii="Arial" w:cs="Arial" w:eastAsia="Arial" w:hAnsi="Arial"/>
                <w:sz w:val="15"/>
                <w:szCs w:val="15"/>
                <w:color w:val="auto"/>
              </w:rPr>
              <w:t>2,552</w:t>
            </w:r>
          </w:p>
        </w:tc>
        <w:tc>
          <w:tcPr>
            <w:tcW w:w="820" w:type="dxa"/>
            <w:vAlign w:val="bottom"/>
            <w:gridSpan w:val="2"/>
            <w:shd w:val="clear" w:color="auto" w:fill="CDDAE6"/>
          </w:tcPr>
          <w:p>
            <w:pPr>
              <w:jc w:val="right"/>
              <w:ind w:right="40"/>
              <w:spacing w:after="0"/>
              <w:rPr>
                <w:sz w:val="20"/>
                <w:szCs w:val="20"/>
                <w:color w:val="auto"/>
              </w:rPr>
            </w:pPr>
            <w:r>
              <w:rPr>
                <w:rFonts w:ascii="Arial" w:cs="Arial" w:eastAsia="Arial" w:hAnsi="Arial"/>
                <w:sz w:val="15"/>
                <w:szCs w:val="15"/>
                <w:color w:val="auto"/>
              </w:rPr>
              <w:t>388,185</w:t>
            </w:r>
          </w:p>
        </w:tc>
      </w:tr>
      <w:tr>
        <w:trPr>
          <w:trHeight w:val="189"/>
        </w:trPr>
        <w:tc>
          <w:tcPr>
            <w:tcW w:w="1520" w:type="dxa"/>
            <w:vAlign w:val="bottom"/>
            <w:tcBorders>
              <w:bottom w:val="single" w:sz="8" w:color="005C7D"/>
            </w:tcBorders>
            <w:shd w:val="clear" w:color="auto" w:fill="CDDAE6"/>
          </w:tcPr>
          <w:p>
            <w:pPr>
              <w:spacing w:after="0"/>
              <w:rPr>
                <w:sz w:val="16"/>
                <w:szCs w:val="16"/>
                <w:color w:val="auto"/>
              </w:rPr>
            </w:pPr>
          </w:p>
        </w:tc>
        <w:tc>
          <w:tcPr>
            <w:tcW w:w="760" w:type="dxa"/>
            <w:vAlign w:val="bottom"/>
            <w:tcBorders>
              <w:bottom w:val="single" w:sz="8" w:color="005C7D"/>
            </w:tcBorders>
            <w:shd w:val="clear" w:color="auto" w:fill="CDDAE6"/>
          </w:tcPr>
          <w:p>
            <w:pPr>
              <w:jc w:val="right"/>
              <w:spacing w:after="0"/>
              <w:rPr>
                <w:sz w:val="20"/>
                <w:szCs w:val="20"/>
                <w:color w:val="auto"/>
              </w:rPr>
            </w:pPr>
            <w:r>
              <w:rPr>
                <w:rFonts w:ascii="Arial" w:cs="Arial" w:eastAsia="Arial" w:hAnsi="Arial"/>
                <w:sz w:val="15"/>
                <w:szCs w:val="15"/>
                <w:color w:val="auto"/>
              </w:rPr>
              <w:t>2/19/14</w:t>
            </w:r>
          </w:p>
        </w:tc>
        <w:tc>
          <w:tcPr>
            <w:tcW w:w="1100" w:type="dxa"/>
            <w:vAlign w:val="bottom"/>
            <w:tcBorders>
              <w:bottom w:val="single" w:sz="8" w:color="005C7D"/>
            </w:tcBorders>
            <w:gridSpan w:val="3"/>
            <w:shd w:val="clear" w:color="auto" w:fill="CDDAE6"/>
          </w:tcPr>
          <w:p>
            <w:pPr>
              <w:jc w:val="right"/>
              <w:ind w:right="23"/>
              <w:spacing w:after="0"/>
              <w:rPr>
                <w:sz w:val="20"/>
                <w:szCs w:val="20"/>
                <w:color w:val="auto"/>
              </w:rPr>
            </w:pPr>
            <w:r>
              <w:rPr>
                <w:rFonts w:ascii="Arial" w:cs="Arial" w:eastAsia="Arial" w:hAnsi="Arial"/>
                <w:sz w:val="15"/>
                <w:szCs w:val="15"/>
                <w:color w:val="auto"/>
              </w:rPr>
              <w:t>15,420</w:t>
            </w:r>
          </w:p>
        </w:tc>
        <w:tc>
          <w:tcPr>
            <w:tcW w:w="1340" w:type="dxa"/>
            <w:vAlign w:val="bottom"/>
            <w:tcBorders>
              <w:bottom w:val="single" w:sz="8" w:color="005C7D"/>
            </w:tcBorders>
            <w:shd w:val="clear" w:color="auto" w:fill="CDDAE6"/>
          </w:tcPr>
          <w:p>
            <w:pPr>
              <w:jc w:val="right"/>
              <w:ind w:right="105"/>
              <w:spacing w:after="0"/>
              <w:rPr>
                <w:sz w:val="20"/>
                <w:szCs w:val="20"/>
                <w:color w:val="auto"/>
              </w:rPr>
            </w:pPr>
            <w:r>
              <w:rPr>
                <w:rFonts w:ascii="Arial" w:cs="Arial" w:eastAsia="Arial" w:hAnsi="Arial"/>
                <w:sz w:val="15"/>
                <w:szCs w:val="15"/>
                <w:color w:val="auto"/>
              </w:rPr>
              <w:t>7,711</w:t>
            </w:r>
          </w:p>
        </w:tc>
        <w:tc>
          <w:tcPr>
            <w:tcW w:w="620" w:type="dxa"/>
            <w:vAlign w:val="bottom"/>
            <w:tcBorders>
              <w:bottom w:val="single" w:sz="8" w:color="005C7D"/>
            </w:tcBorders>
            <w:shd w:val="clear" w:color="auto" w:fill="CDDAE6"/>
          </w:tcPr>
          <w:p>
            <w:pPr>
              <w:jc w:val="right"/>
              <w:ind w:right="25"/>
              <w:spacing w:after="0"/>
              <w:rPr>
                <w:sz w:val="20"/>
                <w:szCs w:val="20"/>
                <w:color w:val="auto"/>
              </w:rPr>
            </w:pPr>
            <w:r>
              <w:rPr>
                <w:rFonts w:ascii="Arial" w:cs="Arial" w:eastAsia="Arial" w:hAnsi="Arial"/>
                <w:sz w:val="15"/>
                <w:szCs w:val="15"/>
                <w:color w:val="auto"/>
              </w:rPr>
              <w:t>113.67</w:t>
            </w:r>
          </w:p>
        </w:tc>
        <w:tc>
          <w:tcPr>
            <w:tcW w:w="760" w:type="dxa"/>
            <w:vAlign w:val="bottom"/>
            <w:tcBorders>
              <w:bottom w:val="single" w:sz="8" w:color="005C7D"/>
            </w:tcBorders>
            <w:shd w:val="clear" w:color="auto" w:fill="CDDAE6"/>
          </w:tcPr>
          <w:p>
            <w:pPr>
              <w:jc w:val="right"/>
              <w:spacing w:after="0"/>
              <w:rPr>
                <w:sz w:val="20"/>
                <w:szCs w:val="20"/>
                <w:color w:val="auto"/>
              </w:rPr>
            </w:pPr>
            <w:r>
              <w:rPr>
                <w:rFonts w:ascii="Arial" w:cs="Arial" w:eastAsia="Arial" w:hAnsi="Arial"/>
                <w:sz w:val="15"/>
                <w:szCs w:val="15"/>
                <w:color w:val="auto"/>
              </w:rPr>
              <w:t>2/19/24</w:t>
            </w:r>
          </w:p>
        </w:tc>
        <w:tc>
          <w:tcPr>
            <w:tcW w:w="160" w:type="dxa"/>
            <w:vAlign w:val="bottom"/>
            <w:tcBorders>
              <w:bottom w:val="single" w:sz="8" w:color="005C7D"/>
            </w:tcBorders>
            <w:shd w:val="clear" w:color="auto" w:fill="CDDAE6"/>
          </w:tcPr>
          <w:p>
            <w:pPr>
              <w:spacing w:after="0"/>
              <w:rPr>
                <w:sz w:val="16"/>
                <w:szCs w:val="16"/>
                <w:color w:val="auto"/>
              </w:rPr>
            </w:pPr>
          </w:p>
        </w:tc>
        <w:tc>
          <w:tcPr>
            <w:tcW w:w="760" w:type="dxa"/>
            <w:vAlign w:val="bottom"/>
            <w:tcBorders>
              <w:bottom w:val="single" w:sz="8" w:color="005C7D"/>
            </w:tcBorders>
            <w:shd w:val="clear" w:color="auto" w:fill="CDDAE6"/>
          </w:tcPr>
          <w:p>
            <w:pPr>
              <w:spacing w:after="0"/>
              <w:rPr>
                <w:sz w:val="16"/>
                <w:szCs w:val="16"/>
                <w:color w:val="auto"/>
              </w:rPr>
            </w:pPr>
          </w:p>
        </w:tc>
        <w:tc>
          <w:tcPr>
            <w:tcW w:w="860" w:type="dxa"/>
            <w:vAlign w:val="bottom"/>
            <w:tcBorders>
              <w:bottom w:val="single" w:sz="8" w:color="005C7D"/>
            </w:tcBorders>
            <w:shd w:val="clear" w:color="auto" w:fill="CDDAE6"/>
          </w:tcPr>
          <w:p>
            <w:pPr>
              <w:spacing w:after="0"/>
              <w:rPr>
                <w:sz w:val="16"/>
                <w:szCs w:val="16"/>
                <w:color w:val="auto"/>
              </w:rPr>
            </w:pPr>
          </w:p>
        </w:tc>
        <w:tc>
          <w:tcPr>
            <w:tcW w:w="860" w:type="dxa"/>
            <w:vAlign w:val="bottom"/>
            <w:tcBorders>
              <w:bottom w:val="single" w:sz="8" w:color="005C7D"/>
            </w:tcBorders>
            <w:shd w:val="clear" w:color="auto" w:fill="CDDAE6"/>
          </w:tcPr>
          <w:p>
            <w:pPr>
              <w:spacing w:after="0"/>
              <w:rPr>
                <w:sz w:val="16"/>
                <w:szCs w:val="16"/>
                <w:color w:val="auto"/>
              </w:rPr>
            </w:pPr>
          </w:p>
        </w:tc>
        <w:tc>
          <w:tcPr>
            <w:tcW w:w="720" w:type="dxa"/>
            <w:vAlign w:val="bottom"/>
            <w:tcBorders>
              <w:bottom w:val="single" w:sz="8" w:color="005C7D"/>
            </w:tcBorders>
            <w:shd w:val="clear" w:color="auto" w:fill="CDDAE6"/>
          </w:tcPr>
          <w:p>
            <w:pPr>
              <w:spacing w:after="0"/>
              <w:rPr>
                <w:sz w:val="16"/>
                <w:szCs w:val="16"/>
                <w:color w:val="auto"/>
              </w:rPr>
            </w:pPr>
          </w:p>
        </w:tc>
        <w:tc>
          <w:tcPr>
            <w:tcW w:w="100" w:type="dxa"/>
            <w:vAlign w:val="bottom"/>
            <w:tcBorders>
              <w:bottom w:val="single" w:sz="8" w:color="005C7D"/>
            </w:tcBorders>
            <w:shd w:val="clear" w:color="auto" w:fill="CDDAE6"/>
          </w:tcPr>
          <w:p>
            <w:pPr>
              <w:spacing w:after="0"/>
              <w:rPr>
                <w:sz w:val="16"/>
                <w:szCs w:val="16"/>
                <w:color w:val="auto"/>
              </w:rPr>
            </w:pPr>
          </w:p>
        </w:tc>
      </w:tr>
      <w:tr>
        <w:trPr>
          <w:trHeight w:val="169"/>
        </w:trPr>
        <w:tc>
          <w:tcPr>
            <w:tcW w:w="15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-2049145</wp:posOffset>
            </wp:positionV>
            <wp:extent cx="6071870" cy="1200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071870" cy="1200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-848360</wp:posOffset>
            </wp:positionV>
            <wp:extent cx="6071870" cy="1200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71870" cy="1200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-608330</wp:posOffset>
            </wp:positionV>
            <wp:extent cx="6071870" cy="1200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071870" cy="120015"/>
                    </a:xfrm>
                    <a:prstGeom prst="rect">
                      <a:avLst/>
                    </a:prstGeom>
                    <a:noFill/>
                  </pic:spPr>
                </pic:pic>
              </a:graphicData>
            </a:graphic>
          </wp:anchor>
        </w:drawing>
      </w:r>
    </w:p>
    <w:p>
      <w:pPr>
        <w:spacing w:after="0" w:line="78" w:lineRule="exact"/>
        <w:rPr>
          <w:sz w:val="20"/>
          <w:szCs w:val="20"/>
          <w:color w:val="auto"/>
        </w:rPr>
      </w:pPr>
    </w:p>
    <w:p>
      <w:pPr>
        <w:ind w:left="347" w:right="140" w:hanging="347"/>
        <w:spacing w:after="0" w:line="291" w:lineRule="auto"/>
        <w:tabs>
          <w:tab w:leader="none" w:pos="347" w:val="left"/>
        </w:tabs>
        <w:numPr>
          <w:ilvl w:val="0"/>
          <w:numId w:val="76"/>
        </w:numPr>
        <w:rPr>
          <w:rFonts w:ascii="Arial" w:cs="Arial" w:eastAsia="Arial" w:hAnsi="Arial"/>
          <w:sz w:val="15"/>
          <w:szCs w:val="15"/>
          <w:color w:val="auto"/>
        </w:rPr>
      </w:pPr>
      <w:r>
        <w:rPr>
          <w:rFonts w:ascii="Arial" w:cs="Arial" w:eastAsia="Arial" w:hAnsi="Arial"/>
          <w:sz w:val="15"/>
          <w:szCs w:val="15"/>
          <w:color w:val="auto"/>
        </w:rPr>
        <w:t>In connection with our spin-off of Engility Holdings, Inc. on July 17, 2012, the number of shares subject to then outstanding option awards, and the exercise price for the option awards, were adjusted to maintain the intrinsic value of each award as required pursuant to the terms of the stock-based compensation plans under which they were issued. The awards otherwise retained the original terms and conditions after adjustment, except in the case of financial performance conditions, which were also adjusted to reflect the spin-off.</w:t>
      </w:r>
    </w:p>
    <w:p>
      <w:pPr>
        <w:ind w:left="347" w:right="100" w:hanging="347"/>
        <w:spacing w:after="0" w:line="305" w:lineRule="auto"/>
        <w:tabs>
          <w:tab w:leader="none" w:pos="347" w:val="left"/>
        </w:tabs>
        <w:numPr>
          <w:ilvl w:val="0"/>
          <w:numId w:val="76"/>
        </w:numPr>
        <w:rPr>
          <w:rFonts w:ascii="Arial" w:cs="Arial" w:eastAsia="Arial" w:hAnsi="Arial"/>
          <w:sz w:val="15"/>
          <w:szCs w:val="15"/>
          <w:color w:val="auto"/>
        </w:rPr>
      </w:pPr>
      <w:r>
        <w:rPr>
          <w:rFonts w:ascii="Arial" w:cs="Arial" w:eastAsia="Arial" w:hAnsi="Arial"/>
          <w:sz w:val="15"/>
          <w:szCs w:val="15"/>
          <w:color w:val="auto"/>
        </w:rPr>
        <w:t>Stock options vest in equal, annual increments over a three-year period starting with the first anniversary of the grant date and, in the case of the options granted to Mr. Strianese in 2011 and subsequent years, are also subject to performance-based vesting conditions that have been fully satisfied. For a further discussion, see “Compensation Discussion and Analysis – Elements of 2016</w:t>
      </w:r>
    </w:p>
    <w:p>
      <w:pPr>
        <w:spacing w:after="0" w:line="202" w:lineRule="exact"/>
        <w:rPr>
          <w:sz w:val="20"/>
          <w:szCs w:val="20"/>
          <w:color w:val="auto"/>
        </w:rPr>
      </w:pPr>
    </w:p>
    <w:p>
      <w:pPr>
        <w:ind w:left="7827"/>
        <w:spacing w:after="0"/>
        <w:tabs>
          <w:tab w:leader="none" w:pos="9326"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381000</wp:posOffset>
            </wp:positionV>
            <wp:extent cx="6071870" cy="4318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-107315</wp:posOffset>
            </wp:positionV>
            <wp:extent cx="163195" cy="1543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73" w:name="page74"/>
    <w:bookmarkEnd w:id="73"/>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7"/>
        <w:spacing w:after="0"/>
        <w:rPr>
          <w:sz w:val="20"/>
          <w:szCs w:val="20"/>
          <w:color w:val="auto"/>
        </w:rPr>
      </w:pPr>
      <w:r>
        <w:rPr>
          <w:rFonts w:ascii="Arial" w:cs="Arial" w:eastAsia="Arial" w:hAnsi="Arial"/>
          <w:sz w:val="14"/>
          <w:szCs w:val="14"/>
          <w:color w:val="005C7D"/>
        </w:rPr>
        <w:t>TABULAR EXECUTIVE COMPENSATION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07187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6" w:lineRule="exact"/>
        <w:rPr>
          <w:sz w:val="20"/>
          <w:szCs w:val="20"/>
          <w:color w:val="auto"/>
        </w:rPr>
      </w:pPr>
    </w:p>
    <w:p>
      <w:pPr>
        <w:ind w:left="367" w:right="20"/>
        <w:spacing w:after="0" w:line="275" w:lineRule="auto"/>
        <w:rPr>
          <w:rFonts w:ascii="Arial" w:cs="Arial" w:eastAsia="Arial" w:hAnsi="Arial"/>
          <w:sz w:val="15"/>
          <w:szCs w:val="15"/>
          <w:color w:val="auto"/>
        </w:rPr>
      </w:pPr>
      <w:r>
        <w:rPr>
          <w:rFonts w:ascii="Arial" w:cs="Arial" w:eastAsia="Arial" w:hAnsi="Arial"/>
          <w:sz w:val="15"/>
          <w:szCs w:val="15"/>
          <w:color w:val="auto"/>
        </w:rPr>
        <w:t xml:space="preserve">Target Pay – Long-Term Incentives – Stock Options” on page </w:t>
      </w:r>
      <w:hyperlink w:anchor="page60">
        <w:r>
          <w:rPr>
            <w:rFonts w:ascii="Arial" w:cs="Arial" w:eastAsia="Arial" w:hAnsi="Arial"/>
            <w:sz w:val="15"/>
            <w:szCs w:val="15"/>
            <w:u w:val="single" w:color="auto"/>
            <w:color w:val="0000EE"/>
          </w:rPr>
          <w:t>54</w:t>
        </w:r>
      </w:hyperlink>
      <w:r>
        <w:rPr>
          <w:rFonts w:ascii="Arial" w:cs="Arial" w:eastAsia="Arial" w:hAnsi="Arial"/>
          <w:sz w:val="15"/>
          <w:szCs w:val="15"/>
          <w:color w:val="auto"/>
        </w:rPr>
        <w:t xml:space="preserve">. For a discussion concerning the effect of a change in control or termination of employment on outstanding stock option awards, see “– Potential Payments Upon Change in Control or Termination of Employment – Effect of Change in Control or Termination of Employment Upon Long–Term Incentive Awards” beginning on page </w:t>
      </w:r>
      <w:hyperlink w:anchor="page81">
        <w:r>
          <w:rPr>
            <w:rFonts w:ascii="Arial" w:cs="Arial" w:eastAsia="Arial" w:hAnsi="Arial"/>
            <w:sz w:val="15"/>
            <w:szCs w:val="15"/>
            <w:u w:val="single" w:color="auto"/>
            <w:color w:val="0000EE"/>
          </w:rPr>
          <w:t>75</w:t>
        </w:r>
      </w:hyperlink>
      <w:r>
        <w:rPr>
          <w:rFonts w:ascii="Arial" w:cs="Arial" w:eastAsia="Arial" w:hAnsi="Arial"/>
          <w:sz w:val="15"/>
          <w:szCs w:val="15"/>
          <w:color w:val="auto"/>
        </w:rPr>
        <w:t>.</w:t>
      </w:r>
    </w:p>
    <w:p>
      <w:pPr>
        <w:spacing w:after="0" w:line="1" w:lineRule="exact"/>
        <w:rPr>
          <w:sz w:val="20"/>
          <w:szCs w:val="20"/>
          <w:color w:val="auto"/>
        </w:rPr>
      </w:pPr>
    </w:p>
    <w:p>
      <w:pPr>
        <w:ind w:left="347" w:hanging="347"/>
        <w:spacing w:after="0" w:line="286" w:lineRule="auto"/>
        <w:tabs>
          <w:tab w:leader="none" w:pos="347" w:val="left"/>
        </w:tabs>
        <w:numPr>
          <w:ilvl w:val="0"/>
          <w:numId w:val="77"/>
        </w:numPr>
        <w:rPr>
          <w:rFonts w:ascii="Arial" w:cs="Arial" w:eastAsia="Arial" w:hAnsi="Arial"/>
          <w:sz w:val="15"/>
          <w:szCs w:val="15"/>
          <w:color w:val="000000"/>
        </w:rPr>
      </w:pPr>
      <w:r>
        <w:rPr>
          <w:rFonts w:ascii="Arial" w:cs="Arial" w:eastAsia="Arial" w:hAnsi="Arial"/>
          <w:sz w:val="15"/>
          <w:szCs w:val="15"/>
          <w:color w:val="auto"/>
        </w:rPr>
        <w:t xml:space="preserve">Represents RSUs, which vest three years after the grant date and are subject to forfeiture conditions based on L3’s FCF for the fiscal year in which they were granted. Our FCF for each of our three most recent completed fiscal years was sufficient to avoid any forfeiture of the RSUs. For a further discussion of the forfeiture conditions, see Note 4 to the “2016 Grants of Plan-Based Awards” table beginning on page </w:t>
      </w:r>
      <w:hyperlink w:anchor="page71">
        <w:r>
          <w:rPr>
            <w:rFonts w:ascii="Arial" w:cs="Arial" w:eastAsia="Arial" w:hAnsi="Arial"/>
            <w:sz w:val="15"/>
            <w:szCs w:val="15"/>
            <w:u w:val="single" w:color="auto"/>
            <w:color w:val="0000EE"/>
          </w:rPr>
          <w:t>65</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5"/>
          <w:szCs w:val="15"/>
          <w:color w:val="000000"/>
        </w:rPr>
        <w:t>On the vesting date, each RSU automatically converts into the right to receive one share of our Common Stock. For a discussion</w:t>
      </w:r>
      <w:r>
        <w:rPr>
          <w:rFonts w:ascii="Arial" w:cs="Arial" w:eastAsia="Arial" w:hAnsi="Arial"/>
          <w:sz w:val="15"/>
          <w:szCs w:val="15"/>
          <w:color w:val="0000EE"/>
        </w:rPr>
        <w:t xml:space="preserve"> </w:t>
      </w:r>
      <w:r>
        <w:rPr>
          <w:rFonts w:ascii="Arial" w:cs="Arial" w:eastAsia="Arial" w:hAnsi="Arial"/>
          <w:sz w:val="15"/>
          <w:szCs w:val="15"/>
          <w:color w:val="000000"/>
        </w:rPr>
        <w:t xml:space="preserve">concerning the effect of a change in control or termination of employment on outstanding RSU awards, see “– Potential Payments Upon Change in Control or Termination of Employment – Effect of Change in Control or Termination of Employment Upon Long-Term Incentive Awards” beginning on page </w:t>
      </w:r>
      <w:hyperlink w:anchor="page81">
        <w:r>
          <w:rPr>
            <w:rFonts w:ascii="Arial" w:cs="Arial" w:eastAsia="Arial" w:hAnsi="Arial"/>
            <w:sz w:val="15"/>
            <w:szCs w:val="15"/>
            <w:u w:val="single" w:color="auto"/>
            <w:color w:val="0000EE"/>
          </w:rPr>
          <w:t>75</w:t>
        </w:r>
      </w:hyperlink>
      <w:r>
        <w:rPr>
          <w:rFonts w:ascii="Arial" w:cs="Arial" w:eastAsia="Arial" w:hAnsi="Arial"/>
          <w:sz w:val="15"/>
          <w:szCs w:val="15"/>
          <w:color w:val="000000"/>
        </w:rPr>
        <w:t xml:space="preserve">. For a further discussion concerning the effect of retirement eligibility on outstanding RSU awards, see Note 2 to the “2016 Option Exercises and Stock Vested” table on page </w:t>
      </w:r>
      <w:hyperlink w:anchor="page75">
        <w:r>
          <w:rPr>
            <w:rFonts w:ascii="Arial" w:cs="Arial" w:eastAsia="Arial" w:hAnsi="Arial"/>
            <w:sz w:val="15"/>
            <w:szCs w:val="15"/>
            <w:u w:val="single" w:color="auto"/>
            <w:color w:val="0000EE"/>
          </w:rPr>
          <w:t>69</w:t>
        </w:r>
      </w:hyperlink>
      <w:r>
        <w:rPr>
          <w:rFonts w:ascii="Arial" w:cs="Arial" w:eastAsia="Arial" w:hAnsi="Arial"/>
          <w:sz w:val="15"/>
          <w:szCs w:val="15"/>
          <w:color w:val="000000"/>
        </w:rPr>
        <w:t>.</w:t>
      </w:r>
    </w:p>
    <w:p>
      <w:pPr>
        <w:spacing w:after="0" w:line="3" w:lineRule="exact"/>
        <w:rPr>
          <w:rFonts w:ascii="Arial" w:cs="Arial" w:eastAsia="Arial" w:hAnsi="Arial"/>
          <w:sz w:val="15"/>
          <w:szCs w:val="15"/>
          <w:color w:val="000000"/>
        </w:rPr>
      </w:pPr>
    </w:p>
    <w:p>
      <w:pPr>
        <w:ind w:left="347" w:right="160" w:hanging="347"/>
        <w:spacing w:after="0" w:line="275" w:lineRule="auto"/>
        <w:tabs>
          <w:tab w:leader="none" w:pos="347"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market value is based on the closing price of our Common Stock on December 30, 2016, the last trading day of 2016, of $152.11, multiplied by the number of shares or units, and does not include accumulated cash dividend equivalents payable upon the vesting of RSUs or performance units, as applicable.</w:t>
      </w:r>
    </w:p>
    <w:p>
      <w:pPr>
        <w:spacing w:after="0" w:line="2" w:lineRule="exact"/>
        <w:rPr>
          <w:rFonts w:ascii="Arial" w:cs="Arial" w:eastAsia="Arial" w:hAnsi="Arial"/>
          <w:sz w:val="16"/>
          <w:szCs w:val="16"/>
          <w:color w:val="auto"/>
        </w:rPr>
      </w:pPr>
    </w:p>
    <w:p>
      <w:pPr>
        <w:ind w:left="347" w:hanging="347"/>
        <w:spacing w:after="0" w:line="286" w:lineRule="auto"/>
        <w:tabs>
          <w:tab w:leader="none" w:pos="347" w:val="left"/>
        </w:tabs>
        <w:numPr>
          <w:ilvl w:val="0"/>
          <w:numId w:val="77"/>
        </w:numPr>
        <w:rPr>
          <w:rFonts w:ascii="Arial" w:cs="Arial" w:eastAsia="Arial" w:hAnsi="Arial"/>
          <w:sz w:val="15"/>
          <w:szCs w:val="15"/>
          <w:color w:val="auto"/>
        </w:rPr>
      </w:pPr>
      <w:r>
        <w:rPr>
          <w:rFonts w:ascii="Arial" w:cs="Arial" w:eastAsia="Arial" w:hAnsi="Arial"/>
          <w:sz w:val="15"/>
          <w:szCs w:val="15"/>
          <w:color w:val="auto"/>
        </w:rPr>
        <w:t xml:space="preserve">Reflects the number of shares of our Common Stock issuable under performance units granted in 2016 and 2015 assuming achievement of the Maximum and Target levels of performance for these units, respectively. The Maximum level of performance is reported for the performance units granted in 2016 because the Company’s performance from the beginning of the applicable performance period (January 1, 2016) through December 31, 2016, measured against the applicable performance goals, exceeded the Target level of performance. The Target level of performance is reported for the performance units granted in 2015 because the Company’s performance from the beginning of the applicable performance period (January 1, 2015) through December 31, 2016, measured against the applicable performance goals, was greater than the Threshold level of performance but did not exceed the Target level of performance. For a further discussion of our performance units, see “Compensation Discussion and Analysis – Elements of 2016 Target Pay – Long-Term Incentives – Performance Awards” beginning on page </w:t>
      </w:r>
      <w:hyperlink w:anchor="page60">
        <w:r>
          <w:rPr>
            <w:rFonts w:ascii="Arial" w:cs="Arial" w:eastAsia="Arial" w:hAnsi="Arial"/>
            <w:sz w:val="15"/>
            <w:szCs w:val="15"/>
            <w:u w:val="single" w:color="auto"/>
            <w:color w:val="0000EE"/>
          </w:rPr>
          <w:t>54</w:t>
        </w:r>
      </w:hyperlink>
      <w:r>
        <w:rPr>
          <w:rFonts w:ascii="Arial" w:cs="Arial" w:eastAsia="Arial" w:hAnsi="Arial"/>
          <w:sz w:val="15"/>
          <w:szCs w:val="15"/>
          <w:color w:val="auto"/>
        </w:rPr>
        <w:t xml:space="preserve">. For a discussion concerning the effect of a change in control or termination of employment on performance unit awards, see “– Potential Payments Upon Change in Control or Termination of Employment – Effect of Change in Control or Termination of Employment Upon Long-Term Incentive Awards” beginning on page </w:t>
      </w:r>
      <w:hyperlink w:anchor="page81">
        <w:r>
          <w:rPr>
            <w:rFonts w:ascii="Arial" w:cs="Arial" w:eastAsia="Arial" w:hAnsi="Arial"/>
            <w:sz w:val="15"/>
            <w:szCs w:val="15"/>
            <w:u w:val="single" w:color="auto"/>
            <w:color w:val="0000EE"/>
          </w:rPr>
          <w:t>75</w:t>
        </w:r>
      </w:hyperlink>
      <w:r>
        <w:rPr>
          <w:rFonts w:ascii="Arial" w:cs="Arial" w:eastAsia="Arial" w:hAnsi="Arial"/>
          <w:sz w:val="15"/>
          <w:szCs w:val="15"/>
          <w:color w:val="auto"/>
        </w:rPr>
        <w:t>.</w:t>
      </w:r>
    </w:p>
    <w:p>
      <w:pPr>
        <w:spacing w:after="0" w:line="249" w:lineRule="exact"/>
        <w:rPr>
          <w:rFonts w:ascii="Arial" w:cs="Arial" w:eastAsia="Arial" w:hAnsi="Arial"/>
          <w:sz w:val="15"/>
          <w:szCs w:val="15"/>
          <w:color w:val="auto"/>
        </w:rPr>
      </w:pPr>
    </w:p>
    <w:p>
      <w:pPr>
        <w:ind w:left="47"/>
        <w:spacing w:after="0"/>
        <w:tabs>
          <w:tab w:leader="none" w:pos="666" w:val="left"/>
        </w:tabs>
        <w:rPr>
          <w:sz w:val="20"/>
          <w:szCs w:val="20"/>
          <w:color w:val="auto"/>
        </w:rPr>
      </w:pPr>
      <w:r>
        <w:rPr>
          <w:rFonts w:ascii="Arial" w:cs="Arial" w:eastAsia="Arial" w:hAnsi="Arial"/>
          <w:sz w:val="18"/>
          <w:szCs w:val="18"/>
          <w:color w:val="005C7D"/>
        </w:rPr>
        <w:t>68</w:t>
      </w:r>
      <w:r>
        <w:rPr>
          <w:sz w:val="20"/>
          <w:szCs w:val="20"/>
          <w:color w:val="auto"/>
        </w:rPr>
        <w:tab/>
      </w: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4445</wp:posOffset>
            </wp:positionH>
            <wp:positionV relativeFrom="paragraph">
              <wp:posOffset>382270</wp:posOffset>
            </wp:positionV>
            <wp:extent cx="6071870" cy="431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-106045</wp:posOffset>
            </wp:positionV>
            <wp:extent cx="154305" cy="1543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74" w:name="page75"/>
    <w:bookmarkEnd w:id="74"/>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5987"/>
        <w:spacing w:after="0"/>
        <w:rPr>
          <w:sz w:val="20"/>
          <w:szCs w:val="20"/>
          <w:color w:val="auto"/>
        </w:rPr>
      </w:pPr>
      <w:r>
        <w:rPr>
          <w:rFonts w:ascii="Arial" w:cs="Arial" w:eastAsia="Arial" w:hAnsi="Arial"/>
          <w:sz w:val="13"/>
          <w:szCs w:val="13"/>
          <w:color w:val="005C7D"/>
        </w:rPr>
        <w:t>TABULAR EXECUTIVE COMPENSATION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607187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23"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2016 Option Exercises and Stock Vested</w:t>
      </w:r>
    </w:p>
    <w:p>
      <w:pPr>
        <w:spacing w:after="0" w:line="175" w:lineRule="exact"/>
        <w:rPr>
          <w:sz w:val="20"/>
          <w:szCs w:val="20"/>
          <w:color w:val="auto"/>
        </w:rPr>
      </w:pPr>
    </w:p>
    <w:p>
      <w:pPr>
        <w:ind w:left="7" w:right="100"/>
        <w:spacing w:after="0" w:line="264" w:lineRule="auto"/>
        <w:rPr>
          <w:sz w:val="20"/>
          <w:szCs w:val="20"/>
          <w:color w:val="auto"/>
        </w:rPr>
      </w:pPr>
      <w:r>
        <w:rPr>
          <w:rFonts w:ascii="Arial" w:cs="Arial" w:eastAsia="Arial" w:hAnsi="Arial"/>
          <w:sz w:val="18"/>
          <w:szCs w:val="18"/>
          <w:color w:val="auto"/>
        </w:rPr>
        <w:t>The following table provides information regarding the exercise of stock options and vesting of RSUs held by our named executive officers during the year ended December 31, 2016. No shares were earned under performance units held by our named executive officers during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607187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1"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60" w:type="dxa"/>
            <w:vAlign w:val="bottom"/>
            <w:gridSpan w:val="2"/>
          </w:tcPr>
          <w:p>
            <w:pPr>
              <w:jc w:val="right"/>
              <w:ind w:right="798"/>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Pr>
          <w:p>
            <w:pPr>
              <w:spacing w:after="0"/>
              <w:rPr>
                <w:sz w:val="14"/>
                <w:szCs w:val="14"/>
                <w:color w:val="auto"/>
              </w:rPr>
            </w:pPr>
          </w:p>
        </w:tc>
        <w:tc>
          <w:tcPr>
            <w:tcW w:w="272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Stock Awards</w:t>
            </w:r>
          </w:p>
        </w:tc>
      </w:tr>
      <w:tr>
        <w:trPr>
          <w:trHeight w:val="183"/>
        </w:trPr>
        <w:tc>
          <w:tcPr>
            <w:tcW w:w="26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Borders>
              <w:top w:val="single" w:sz="8" w:color="005C7D"/>
            </w:tcBorders>
          </w:tcPr>
          <w:p>
            <w:pPr>
              <w:jc w:val="center"/>
              <w:ind w:right="39"/>
              <w:spacing w:after="0"/>
              <w:rPr>
                <w:sz w:val="20"/>
                <w:szCs w:val="20"/>
                <w:color w:val="auto"/>
              </w:rPr>
            </w:pPr>
            <w:r>
              <w:rPr>
                <w:rFonts w:ascii="Arial" w:cs="Arial" w:eastAsia="Arial" w:hAnsi="Arial"/>
                <w:sz w:val="14"/>
                <w:szCs w:val="14"/>
                <w:b w:val="1"/>
                <w:bCs w:val="1"/>
                <w:color w:val="auto"/>
                <w:w w:val="92"/>
              </w:rPr>
              <w:t>Number of Shares</w:t>
            </w:r>
          </w:p>
        </w:tc>
        <w:tc>
          <w:tcPr>
            <w:tcW w:w="1300" w:type="dxa"/>
            <w:vAlign w:val="bottom"/>
            <w:tcBorders>
              <w:top w:val="single" w:sz="8" w:color="005C7D"/>
            </w:tcBorders>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Borders>
              <w:top w:val="single" w:sz="8" w:color="005C7D"/>
            </w:tcBorders>
          </w:tcPr>
          <w:p>
            <w:pPr>
              <w:jc w:val="center"/>
              <w:ind w:right="46"/>
              <w:spacing w:after="0"/>
              <w:rPr>
                <w:sz w:val="20"/>
                <w:szCs w:val="20"/>
                <w:color w:val="auto"/>
              </w:rPr>
            </w:pPr>
            <w:r>
              <w:rPr>
                <w:rFonts w:ascii="Arial" w:cs="Arial" w:eastAsia="Arial" w:hAnsi="Arial"/>
                <w:sz w:val="14"/>
                <w:szCs w:val="14"/>
                <w:b w:val="1"/>
                <w:bCs w:val="1"/>
                <w:color w:val="auto"/>
                <w:w w:val="91"/>
              </w:rPr>
              <w:t>Number of Shares</w:t>
            </w:r>
          </w:p>
        </w:tc>
        <w:tc>
          <w:tcPr>
            <w:tcW w:w="1240" w:type="dxa"/>
            <w:vAlign w:val="bottom"/>
            <w:tcBorders>
              <w:top w:val="single" w:sz="8" w:color="005C7D"/>
            </w:tcBorders>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2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Acquired on</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Value Realized on</w:t>
            </w:r>
          </w:p>
        </w:tc>
        <w:tc>
          <w:tcPr>
            <w:tcW w:w="160" w:type="dxa"/>
            <w:vAlign w:val="bottom"/>
          </w:tcPr>
          <w:p>
            <w:pPr>
              <w:spacing w:after="0"/>
              <w:rPr>
                <w:sz w:val="14"/>
                <w:szCs w:val="14"/>
                <w:color w:val="auto"/>
              </w:rPr>
            </w:pPr>
          </w:p>
        </w:tc>
        <w:tc>
          <w:tcPr>
            <w:tcW w:w="1380" w:type="dxa"/>
            <w:vAlign w:val="bottom"/>
          </w:tcPr>
          <w:p>
            <w:pPr>
              <w:jc w:val="center"/>
              <w:ind w:right="66"/>
              <w:spacing w:after="0"/>
              <w:rPr>
                <w:sz w:val="20"/>
                <w:szCs w:val="20"/>
                <w:color w:val="auto"/>
              </w:rPr>
            </w:pPr>
            <w:r>
              <w:rPr>
                <w:rFonts w:ascii="Arial" w:cs="Arial" w:eastAsia="Arial" w:hAnsi="Arial"/>
                <w:sz w:val="14"/>
                <w:szCs w:val="14"/>
                <w:b w:val="1"/>
                <w:bCs w:val="1"/>
                <w:color w:val="auto"/>
                <w:w w:val="92"/>
              </w:rPr>
              <w:t>Acquired on</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Value Realized on</w:t>
            </w:r>
          </w:p>
        </w:tc>
      </w:tr>
      <w:tr>
        <w:trPr>
          <w:trHeight w:val="180"/>
        </w:trPr>
        <w:tc>
          <w:tcPr>
            <w:tcW w:w="26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Exercise</w:t>
            </w:r>
          </w:p>
        </w:tc>
        <w:tc>
          <w:tcPr>
            <w:tcW w:w="1300" w:type="dxa"/>
            <w:vAlign w:val="bottom"/>
          </w:tcPr>
          <w:p>
            <w:pPr>
              <w:jc w:val="center"/>
              <w:spacing w:after="0" w:line="180" w:lineRule="exact"/>
              <w:rPr>
                <w:sz w:val="20"/>
                <w:szCs w:val="20"/>
                <w:color w:val="auto"/>
              </w:rPr>
            </w:pPr>
            <w:r>
              <w:rPr>
                <w:rFonts w:ascii="Arial" w:cs="Arial" w:eastAsia="Arial" w:hAnsi="Arial"/>
                <w:sz w:val="12"/>
                <w:szCs w:val="12"/>
                <w:b w:val="1"/>
                <w:bCs w:val="1"/>
                <w:color w:val="auto"/>
              </w:rPr>
              <w:t>Exercise</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1380" w:type="dxa"/>
            <w:vAlign w:val="bottom"/>
          </w:tcPr>
          <w:p>
            <w:pPr>
              <w:jc w:val="center"/>
              <w:ind w:right="46"/>
              <w:spacing w:after="0" w:line="180" w:lineRule="exact"/>
              <w:rPr>
                <w:sz w:val="20"/>
                <w:szCs w:val="20"/>
                <w:color w:val="auto"/>
              </w:rPr>
            </w:pPr>
            <w:r>
              <w:rPr>
                <w:rFonts w:ascii="Arial" w:cs="Arial" w:eastAsia="Arial" w:hAnsi="Arial"/>
                <w:sz w:val="12"/>
                <w:szCs w:val="12"/>
                <w:b w:val="1"/>
                <w:bCs w:val="1"/>
                <w:color w:val="auto"/>
                <w:w w:val="97"/>
              </w:rPr>
              <w:t>Vesting</w:t>
            </w:r>
            <w:r>
              <w:rPr>
                <w:rFonts w:ascii="Arial" w:cs="Arial" w:eastAsia="Arial" w:hAnsi="Arial"/>
                <w:sz w:val="20"/>
                <w:szCs w:val="20"/>
                <w:b w:val="1"/>
                <w:bCs w:val="1"/>
                <w:color w:val="auto"/>
                <w:w w:val="97"/>
                <w:vertAlign w:val="superscript"/>
              </w:rPr>
              <w:t>(2)</w:t>
            </w:r>
          </w:p>
        </w:tc>
        <w:tc>
          <w:tcPr>
            <w:tcW w:w="1340" w:type="dxa"/>
            <w:vAlign w:val="bottom"/>
            <w:gridSpan w:val="2"/>
          </w:tcPr>
          <w:p>
            <w:pPr>
              <w:jc w:val="center"/>
              <w:spacing w:after="0" w:line="180" w:lineRule="exact"/>
              <w:rPr>
                <w:sz w:val="20"/>
                <w:szCs w:val="20"/>
                <w:color w:val="auto"/>
              </w:rPr>
            </w:pPr>
            <w:r>
              <w:rPr>
                <w:rFonts w:ascii="Arial" w:cs="Arial" w:eastAsia="Arial" w:hAnsi="Arial"/>
                <w:sz w:val="12"/>
                <w:szCs w:val="12"/>
                <w:b w:val="1"/>
                <w:bCs w:val="1"/>
                <w:color w:val="auto"/>
              </w:rPr>
              <w:t>Vesting</w:t>
            </w:r>
            <w:r>
              <w:rPr>
                <w:rFonts w:ascii="Arial" w:cs="Arial" w:eastAsia="Arial" w:hAnsi="Arial"/>
                <w:sz w:val="20"/>
                <w:szCs w:val="20"/>
                <w:b w:val="1"/>
                <w:bCs w:val="1"/>
                <w:color w:val="auto"/>
                <w:vertAlign w:val="superscript"/>
              </w:rPr>
              <w:t>(3)</w:t>
            </w:r>
          </w:p>
        </w:tc>
      </w:tr>
      <w:tr>
        <w:trPr>
          <w:trHeight w:val="185"/>
        </w:trPr>
        <w:tc>
          <w:tcPr>
            <w:tcW w:w="4020" w:type="dxa"/>
            <w:vAlign w:val="bottom"/>
            <w:tcBorders>
              <w:bottom w:val="single" w:sz="8" w:color="005C7D"/>
            </w:tcBorders>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360" w:type="dxa"/>
            <w:vAlign w:val="bottom"/>
            <w:tcBorders>
              <w:bottom w:val="single" w:sz="8" w:color="005C7D"/>
            </w:tcBorders>
          </w:tcPr>
          <w:p>
            <w:pPr>
              <w:jc w:val="center"/>
              <w:ind w:right="59"/>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005C7D"/>
            </w:tcBorders>
          </w:tcPr>
          <w:p>
            <w:pPr>
              <w:jc w:val="center"/>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005C7D"/>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005C7D"/>
            </w:tcBorders>
          </w:tcPr>
          <w:p>
            <w:pPr>
              <w:jc w:val="center"/>
              <w:ind w:left="38"/>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005C7D"/>
            </w:tcBorders>
          </w:tcPr>
          <w:p>
            <w:pPr>
              <w:spacing w:after="0"/>
              <w:rPr>
                <w:sz w:val="16"/>
                <w:szCs w:val="16"/>
                <w:color w:val="auto"/>
              </w:rPr>
            </w:pPr>
          </w:p>
        </w:tc>
      </w:tr>
      <w:tr>
        <w:trPr>
          <w:trHeight w:val="237"/>
        </w:trPr>
        <w:tc>
          <w:tcPr>
            <w:tcW w:w="4020" w:type="dxa"/>
            <w:vAlign w:val="bottom"/>
            <w:gridSpan w:val="2"/>
            <w:shd w:val="clear" w:color="auto" w:fill="CDDAE6"/>
          </w:tcPr>
          <w:p>
            <w:pPr>
              <w:ind w:left="20"/>
              <w:spacing w:after="0"/>
              <w:rPr>
                <w:sz w:val="20"/>
                <w:szCs w:val="20"/>
                <w:color w:val="auto"/>
              </w:rPr>
            </w:pPr>
            <w:r>
              <w:rPr>
                <w:rFonts w:ascii="Arial" w:cs="Arial" w:eastAsia="Arial" w:hAnsi="Arial"/>
                <w:sz w:val="18"/>
                <w:szCs w:val="18"/>
                <w:color w:val="auto"/>
              </w:rPr>
              <w:t>Michael T. Strianese</w:t>
            </w:r>
          </w:p>
        </w:tc>
        <w:tc>
          <w:tcPr>
            <w:tcW w:w="1360" w:type="dxa"/>
            <w:vAlign w:val="bottom"/>
            <w:shd w:val="clear" w:color="auto" w:fill="CDDAE6"/>
          </w:tcPr>
          <w:p>
            <w:pPr>
              <w:jc w:val="right"/>
              <w:ind w:right="59"/>
              <w:spacing w:after="0"/>
              <w:rPr>
                <w:sz w:val="20"/>
                <w:szCs w:val="20"/>
                <w:color w:val="auto"/>
              </w:rPr>
            </w:pPr>
            <w:r>
              <w:rPr>
                <w:rFonts w:ascii="Arial" w:cs="Arial" w:eastAsia="Arial" w:hAnsi="Arial"/>
                <w:sz w:val="18"/>
                <w:szCs w:val="18"/>
                <w:color w:val="auto"/>
              </w:rPr>
              <w:t>245,511</w:t>
            </w:r>
          </w:p>
        </w:tc>
        <w:tc>
          <w:tcPr>
            <w:tcW w:w="1300" w:type="dxa"/>
            <w:vAlign w:val="bottom"/>
            <w:shd w:val="clear" w:color="auto" w:fill="CDDAE6"/>
          </w:tcPr>
          <w:p>
            <w:pPr>
              <w:jc w:val="right"/>
              <w:spacing w:after="0"/>
              <w:rPr>
                <w:sz w:val="20"/>
                <w:szCs w:val="20"/>
                <w:color w:val="auto"/>
              </w:rPr>
            </w:pPr>
            <w:r>
              <w:rPr>
                <w:rFonts w:ascii="Arial" w:cs="Arial" w:eastAsia="Arial" w:hAnsi="Arial"/>
                <w:sz w:val="18"/>
                <w:szCs w:val="18"/>
                <w:color w:val="auto"/>
              </w:rPr>
              <w:t>13,608,733</w:t>
            </w:r>
          </w:p>
        </w:tc>
        <w:tc>
          <w:tcPr>
            <w:tcW w:w="1540" w:type="dxa"/>
            <w:vAlign w:val="bottom"/>
            <w:gridSpan w:val="2"/>
            <w:shd w:val="clear" w:color="auto" w:fill="CDDAE6"/>
          </w:tcPr>
          <w:p>
            <w:pPr>
              <w:jc w:val="right"/>
              <w:ind w:right="66"/>
              <w:spacing w:after="0"/>
              <w:rPr>
                <w:sz w:val="20"/>
                <w:szCs w:val="20"/>
                <w:color w:val="auto"/>
              </w:rPr>
            </w:pPr>
            <w:r>
              <w:rPr>
                <w:rFonts w:ascii="Arial" w:cs="Arial" w:eastAsia="Arial" w:hAnsi="Arial"/>
                <w:sz w:val="18"/>
                <w:szCs w:val="18"/>
                <w:color w:val="auto"/>
              </w:rPr>
              <w:t>38,961</w:t>
            </w:r>
          </w:p>
        </w:tc>
        <w:tc>
          <w:tcPr>
            <w:tcW w:w="1340" w:type="dxa"/>
            <w:vAlign w:val="bottom"/>
            <w:gridSpan w:val="2"/>
            <w:shd w:val="clear" w:color="auto" w:fill="CDDAE6"/>
          </w:tcPr>
          <w:p>
            <w:pPr>
              <w:jc w:val="right"/>
              <w:ind w:right="60"/>
              <w:spacing w:after="0"/>
              <w:rPr>
                <w:sz w:val="20"/>
                <w:szCs w:val="20"/>
                <w:color w:val="auto"/>
              </w:rPr>
            </w:pPr>
            <w:r>
              <w:rPr>
                <w:rFonts w:ascii="Arial" w:cs="Arial" w:eastAsia="Arial" w:hAnsi="Arial"/>
                <w:sz w:val="18"/>
                <w:szCs w:val="18"/>
                <w:color w:val="auto"/>
              </w:rPr>
              <w:t>4,580,255</w:t>
            </w:r>
          </w:p>
        </w:tc>
      </w:tr>
      <w:tr>
        <w:trPr>
          <w:trHeight w:val="237"/>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Christopher E. Kubasik</w:t>
            </w:r>
          </w:p>
        </w:tc>
        <w:tc>
          <w:tcPr>
            <w:tcW w:w="13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80" w:type="dxa"/>
            <w:vAlign w:val="bottom"/>
          </w:tcPr>
          <w:p>
            <w:pPr>
              <w:jc w:val="right"/>
              <w:ind w:right="66"/>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9"/>
        </w:trPr>
        <w:tc>
          <w:tcPr>
            <w:tcW w:w="4020" w:type="dxa"/>
            <w:vAlign w:val="bottom"/>
            <w:gridSpan w:val="2"/>
            <w:shd w:val="clear" w:color="auto" w:fill="CDDAE6"/>
          </w:tcPr>
          <w:p>
            <w:pPr>
              <w:ind w:left="20"/>
              <w:spacing w:after="0"/>
              <w:rPr>
                <w:sz w:val="20"/>
                <w:szCs w:val="20"/>
                <w:color w:val="auto"/>
              </w:rPr>
            </w:pPr>
            <w:r>
              <w:rPr>
                <w:rFonts w:ascii="Arial" w:cs="Arial" w:eastAsia="Arial" w:hAnsi="Arial"/>
                <w:sz w:val="18"/>
                <w:szCs w:val="18"/>
                <w:color w:val="auto"/>
              </w:rPr>
              <w:t>Ralph G. D’Ambrosio</w:t>
            </w:r>
          </w:p>
        </w:tc>
        <w:tc>
          <w:tcPr>
            <w:tcW w:w="1360" w:type="dxa"/>
            <w:vAlign w:val="bottom"/>
            <w:shd w:val="clear" w:color="auto" w:fill="CDDAE6"/>
          </w:tcPr>
          <w:p>
            <w:pPr>
              <w:jc w:val="right"/>
              <w:ind w:right="59"/>
              <w:spacing w:after="0"/>
              <w:rPr>
                <w:sz w:val="20"/>
                <w:szCs w:val="20"/>
                <w:color w:val="auto"/>
              </w:rPr>
            </w:pPr>
            <w:r>
              <w:rPr>
                <w:rFonts w:ascii="Arial" w:cs="Arial" w:eastAsia="Arial" w:hAnsi="Arial"/>
                <w:sz w:val="18"/>
                <w:szCs w:val="18"/>
                <w:color w:val="auto"/>
              </w:rPr>
              <w:t>49,152</w:t>
            </w:r>
          </w:p>
        </w:tc>
        <w:tc>
          <w:tcPr>
            <w:tcW w:w="1300" w:type="dxa"/>
            <w:vAlign w:val="bottom"/>
            <w:shd w:val="clear" w:color="auto" w:fill="CDDAE6"/>
          </w:tcPr>
          <w:p>
            <w:pPr>
              <w:jc w:val="right"/>
              <w:spacing w:after="0"/>
              <w:rPr>
                <w:sz w:val="20"/>
                <w:szCs w:val="20"/>
                <w:color w:val="auto"/>
              </w:rPr>
            </w:pPr>
            <w:r>
              <w:rPr>
                <w:rFonts w:ascii="Arial" w:cs="Arial" w:eastAsia="Arial" w:hAnsi="Arial"/>
                <w:sz w:val="18"/>
                <w:szCs w:val="18"/>
                <w:color w:val="auto"/>
              </w:rPr>
              <w:t>2,672,890</w:t>
            </w:r>
          </w:p>
        </w:tc>
        <w:tc>
          <w:tcPr>
            <w:tcW w:w="1540" w:type="dxa"/>
            <w:vAlign w:val="bottom"/>
            <w:gridSpan w:val="2"/>
            <w:shd w:val="clear" w:color="auto" w:fill="CDDAE6"/>
          </w:tcPr>
          <w:p>
            <w:pPr>
              <w:jc w:val="right"/>
              <w:ind w:right="66"/>
              <w:spacing w:after="0"/>
              <w:rPr>
                <w:sz w:val="20"/>
                <w:szCs w:val="20"/>
                <w:color w:val="auto"/>
              </w:rPr>
            </w:pPr>
            <w:r>
              <w:rPr>
                <w:rFonts w:ascii="Arial" w:cs="Arial" w:eastAsia="Arial" w:hAnsi="Arial"/>
                <w:sz w:val="18"/>
                <w:szCs w:val="18"/>
                <w:color w:val="auto"/>
              </w:rPr>
              <w:t>9,740</w:t>
            </w:r>
          </w:p>
        </w:tc>
        <w:tc>
          <w:tcPr>
            <w:tcW w:w="1340" w:type="dxa"/>
            <w:vAlign w:val="bottom"/>
            <w:gridSpan w:val="2"/>
            <w:shd w:val="clear" w:color="auto" w:fill="CDDAE6"/>
          </w:tcPr>
          <w:p>
            <w:pPr>
              <w:jc w:val="right"/>
              <w:ind w:right="60"/>
              <w:spacing w:after="0"/>
              <w:rPr>
                <w:sz w:val="20"/>
                <w:szCs w:val="20"/>
                <w:color w:val="auto"/>
              </w:rPr>
            </w:pPr>
            <w:r>
              <w:rPr>
                <w:rFonts w:ascii="Arial" w:cs="Arial" w:eastAsia="Arial" w:hAnsi="Arial"/>
                <w:sz w:val="18"/>
                <w:szCs w:val="18"/>
                <w:color w:val="auto"/>
              </w:rPr>
              <w:t>1,145,034</w:t>
            </w:r>
          </w:p>
        </w:tc>
      </w:tr>
      <w:tr>
        <w:trPr>
          <w:trHeight w:val="237"/>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Curtis Brunson</w:t>
            </w:r>
          </w:p>
        </w:tc>
        <w:tc>
          <w:tcPr>
            <w:tcW w:w="13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6"/>
              <w:spacing w:after="0"/>
              <w:rPr>
                <w:sz w:val="20"/>
                <w:szCs w:val="20"/>
                <w:color w:val="auto"/>
              </w:rPr>
            </w:pPr>
            <w:r>
              <w:rPr>
                <w:rFonts w:ascii="Arial" w:cs="Arial" w:eastAsia="Arial" w:hAnsi="Arial"/>
                <w:sz w:val="18"/>
                <w:szCs w:val="18"/>
                <w:color w:val="auto"/>
              </w:rPr>
              <w:t>6,264</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736,396</w:t>
            </w:r>
          </w:p>
        </w:tc>
      </w:tr>
      <w:tr>
        <w:trPr>
          <w:trHeight w:val="243"/>
        </w:trPr>
        <w:tc>
          <w:tcPr>
            <w:tcW w:w="4020" w:type="dxa"/>
            <w:vAlign w:val="bottom"/>
            <w:tcBorders>
              <w:bottom w:val="single" w:sz="8" w:color="005C7D"/>
            </w:tcBorders>
            <w:gridSpan w:val="2"/>
            <w:shd w:val="clear" w:color="auto" w:fill="CDDAE6"/>
          </w:tcPr>
          <w:p>
            <w:pPr>
              <w:ind w:left="20"/>
              <w:spacing w:after="0"/>
              <w:rPr>
                <w:sz w:val="20"/>
                <w:szCs w:val="20"/>
                <w:color w:val="auto"/>
              </w:rPr>
            </w:pPr>
            <w:r>
              <w:rPr>
                <w:rFonts w:ascii="Arial" w:cs="Arial" w:eastAsia="Arial" w:hAnsi="Arial"/>
                <w:sz w:val="18"/>
                <w:szCs w:val="18"/>
                <w:color w:val="auto"/>
              </w:rPr>
              <w:t>Steve Kantor</w:t>
            </w:r>
          </w:p>
        </w:tc>
        <w:tc>
          <w:tcPr>
            <w:tcW w:w="1360" w:type="dxa"/>
            <w:vAlign w:val="bottom"/>
            <w:tcBorders>
              <w:bottom w:val="single" w:sz="8" w:color="005C7D"/>
            </w:tcBorders>
            <w:shd w:val="clear" w:color="auto" w:fill="CDDAE6"/>
          </w:tcPr>
          <w:p>
            <w:pPr>
              <w:jc w:val="right"/>
              <w:ind w:right="59"/>
              <w:spacing w:after="0"/>
              <w:rPr>
                <w:sz w:val="20"/>
                <w:szCs w:val="20"/>
                <w:color w:val="auto"/>
              </w:rPr>
            </w:pPr>
            <w:r>
              <w:rPr>
                <w:rFonts w:ascii="Arial" w:cs="Arial" w:eastAsia="Arial" w:hAnsi="Arial"/>
                <w:sz w:val="18"/>
                <w:szCs w:val="18"/>
                <w:color w:val="auto"/>
              </w:rPr>
              <w:t>16,090</w:t>
            </w:r>
          </w:p>
        </w:tc>
        <w:tc>
          <w:tcPr>
            <w:tcW w:w="1300" w:type="dxa"/>
            <w:vAlign w:val="bottom"/>
            <w:tcBorders>
              <w:bottom w:val="single" w:sz="8" w:color="005C7D"/>
            </w:tcBorders>
            <w:shd w:val="clear" w:color="auto" w:fill="CDDAE6"/>
          </w:tcPr>
          <w:p>
            <w:pPr>
              <w:jc w:val="right"/>
              <w:spacing w:after="0"/>
              <w:rPr>
                <w:sz w:val="20"/>
                <w:szCs w:val="20"/>
                <w:color w:val="auto"/>
              </w:rPr>
            </w:pPr>
            <w:r>
              <w:rPr>
                <w:rFonts w:ascii="Arial" w:cs="Arial" w:eastAsia="Arial" w:hAnsi="Arial"/>
                <w:sz w:val="18"/>
                <w:szCs w:val="18"/>
                <w:color w:val="auto"/>
              </w:rPr>
              <w:t>901,040</w:t>
            </w:r>
          </w:p>
        </w:tc>
        <w:tc>
          <w:tcPr>
            <w:tcW w:w="1540" w:type="dxa"/>
            <w:vAlign w:val="bottom"/>
            <w:tcBorders>
              <w:bottom w:val="single" w:sz="8" w:color="005C7D"/>
            </w:tcBorders>
            <w:gridSpan w:val="2"/>
            <w:shd w:val="clear" w:color="auto" w:fill="CDDAE6"/>
          </w:tcPr>
          <w:p>
            <w:pPr>
              <w:jc w:val="right"/>
              <w:ind w:right="66"/>
              <w:spacing w:after="0"/>
              <w:rPr>
                <w:sz w:val="20"/>
                <w:szCs w:val="20"/>
                <w:color w:val="auto"/>
              </w:rPr>
            </w:pPr>
            <w:r>
              <w:rPr>
                <w:rFonts w:ascii="Arial" w:cs="Arial" w:eastAsia="Arial" w:hAnsi="Arial"/>
                <w:sz w:val="18"/>
                <w:szCs w:val="18"/>
                <w:color w:val="auto"/>
              </w:rPr>
              <w:t>3,828</w:t>
            </w:r>
          </w:p>
        </w:tc>
        <w:tc>
          <w:tcPr>
            <w:tcW w:w="1340" w:type="dxa"/>
            <w:vAlign w:val="bottom"/>
            <w:tcBorders>
              <w:bottom w:val="single" w:sz="8" w:color="005C7D"/>
            </w:tcBorders>
            <w:gridSpan w:val="2"/>
            <w:shd w:val="clear" w:color="auto" w:fill="CDDAE6"/>
          </w:tcPr>
          <w:p>
            <w:pPr>
              <w:jc w:val="right"/>
              <w:ind w:right="60"/>
              <w:spacing w:after="0"/>
              <w:rPr>
                <w:sz w:val="20"/>
                <w:szCs w:val="20"/>
                <w:color w:val="auto"/>
              </w:rPr>
            </w:pPr>
            <w:r>
              <w:rPr>
                <w:rFonts w:ascii="Arial" w:cs="Arial" w:eastAsia="Arial" w:hAnsi="Arial"/>
                <w:sz w:val="18"/>
                <w:szCs w:val="18"/>
                <w:color w:val="auto"/>
              </w:rPr>
              <w:t>450,020</w:t>
            </w:r>
          </w:p>
        </w:tc>
      </w:tr>
      <w:tr>
        <w:trPr>
          <w:trHeight w:val="175"/>
        </w:trPr>
        <w:tc>
          <w:tcPr>
            <w:tcW w:w="2680" w:type="dxa"/>
            <w:vAlign w:val="bottom"/>
            <w:tcBorders>
              <w:bottom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98" w:lineRule="exact"/>
        <w:rPr>
          <w:sz w:val="20"/>
          <w:szCs w:val="20"/>
          <w:color w:val="auto"/>
        </w:rPr>
      </w:pPr>
    </w:p>
    <w:p>
      <w:pPr>
        <w:ind w:left="347" w:right="120" w:hanging="347"/>
        <w:spacing w:after="0" w:line="281" w:lineRule="auto"/>
        <w:tabs>
          <w:tab w:leader="none" w:pos="347" w:val="left"/>
        </w:tabs>
        <w:numPr>
          <w:ilvl w:val="0"/>
          <w:numId w:val="78"/>
        </w:numPr>
        <w:rPr>
          <w:rFonts w:ascii="Arial" w:cs="Arial" w:eastAsia="Arial" w:hAnsi="Arial"/>
          <w:sz w:val="16"/>
          <w:szCs w:val="16"/>
          <w:color w:val="auto"/>
        </w:rPr>
      </w:pPr>
      <w:r>
        <w:rPr>
          <w:rFonts w:ascii="Arial" w:cs="Arial" w:eastAsia="Arial" w:hAnsi="Arial"/>
          <w:sz w:val="16"/>
          <w:szCs w:val="16"/>
          <w:color w:val="auto"/>
        </w:rPr>
        <w:t>Value realized on exercise is based on the difference between the aggregate exercise price and the fair market value of the shares acquired at the time of exercise.</w:t>
      </w:r>
    </w:p>
    <w:p>
      <w:pPr>
        <w:spacing w:after="0" w:line="1" w:lineRule="exact"/>
        <w:rPr>
          <w:rFonts w:ascii="Arial" w:cs="Arial" w:eastAsia="Arial" w:hAnsi="Arial"/>
          <w:sz w:val="16"/>
          <w:szCs w:val="16"/>
          <w:color w:val="auto"/>
        </w:rPr>
      </w:pPr>
    </w:p>
    <w:p>
      <w:pPr>
        <w:ind w:left="347" w:right="40" w:hanging="347"/>
        <w:spacing w:after="0" w:line="269" w:lineRule="auto"/>
        <w:tabs>
          <w:tab w:leader="none" w:pos="347"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On February 18, 2016, Messrs. Brunson and Kantor became eligible for qualified retirement under the terms of their RSUs granted on February 17, 2015. Accordingly, the shares underlying their RSU awards are deemed to have vested on February 18, 2016. However, in accordance with the terms of the RSUs, these shares will not be delivered until February 17, 2018, unless accelerated due to death, disability or a change in control. For a further discussion, see “ – Potential Payments Upon Change in Control or Termination of Employment–Effect of Change of Control or Termination of Employment Upon Long–Term Incentive Awards” beginning on page </w:t>
      </w:r>
      <w:hyperlink w:anchor="page81">
        <w:r>
          <w:rPr>
            <w:rFonts w:ascii="Arial" w:cs="Arial" w:eastAsia="Arial" w:hAnsi="Arial"/>
            <w:sz w:val="16"/>
            <w:szCs w:val="16"/>
            <w:u w:val="single" w:color="auto"/>
            <w:color w:val="0000EE"/>
          </w:rPr>
          <w:t>75</w:t>
        </w:r>
      </w:hyperlink>
      <w:r>
        <w:rPr>
          <w:rFonts w:ascii="Arial" w:cs="Arial" w:eastAsia="Arial" w:hAnsi="Arial"/>
          <w:sz w:val="16"/>
          <w:szCs w:val="16"/>
          <w:color w:val="auto"/>
        </w:rPr>
        <w:t xml:space="preserve">. For information regarding shares delivered to Messrs. Brunson and Kantor in 2016 in respect of RSUs deemed to have vested in prior years, see “ – 2016 Nonqualified Deferred Compensation” table on page </w:t>
      </w:r>
      <w:hyperlink w:anchor="page79">
        <w:r>
          <w:rPr>
            <w:rFonts w:ascii="Arial" w:cs="Arial" w:eastAsia="Arial" w:hAnsi="Arial"/>
            <w:sz w:val="16"/>
            <w:szCs w:val="16"/>
            <w:u w:val="single" w:color="auto"/>
            <w:color w:val="0000EE"/>
          </w:rPr>
          <w:t>73</w:t>
        </w:r>
      </w:hyperlink>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347" w:right="220" w:hanging="347"/>
        <w:spacing w:after="0" w:line="293" w:lineRule="auto"/>
        <w:tabs>
          <w:tab w:leader="none" w:pos="347" w:val="left"/>
        </w:tabs>
        <w:numPr>
          <w:ilvl w:val="0"/>
          <w:numId w:val="78"/>
        </w:numPr>
        <w:rPr>
          <w:rFonts w:ascii="Arial" w:cs="Arial" w:eastAsia="Arial" w:hAnsi="Arial"/>
          <w:sz w:val="16"/>
          <w:szCs w:val="16"/>
          <w:color w:val="auto"/>
        </w:rPr>
      </w:pPr>
      <w:r>
        <w:rPr>
          <w:rFonts w:ascii="Arial" w:cs="Arial" w:eastAsia="Arial" w:hAnsi="Arial"/>
          <w:sz w:val="16"/>
          <w:szCs w:val="16"/>
          <w:color w:val="auto"/>
        </w:rPr>
        <w:t>Value realized on vesting is based on the fair market value of the shares at the time of vesting and includes the value of payments in lieu of fractional shares. The amounts in this column do not include accrued cash dividends realized on vesting.</w:t>
      </w:r>
    </w:p>
    <w:p>
      <w:pPr>
        <w:spacing w:after="0" w:line="208" w:lineRule="exact"/>
        <w:rPr>
          <w:rFonts w:ascii="Arial" w:cs="Arial" w:eastAsia="Arial" w:hAnsi="Arial"/>
          <w:sz w:val="16"/>
          <w:szCs w:val="16"/>
          <w:color w:val="auto"/>
        </w:rPr>
      </w:pPr>
    </w:p>
    <w:p>
      <w:pPr>
        <w:ind w:left="7827"/>
        <w:spacing w:after="0"/>
        <w:tabs>
          <w:tab w:leader="none" w:pos="9326"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69</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4445</wp:posOffset>
            </wp:positionH>
            <wp:positionV relativeFrom="paragraph">
              <wp:posOffset>381000</wp:posOffset>
            </wp:positionV>
            <wp:extent cx="6071870" cy="4318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-107315</wp:posOffset>
            </wp:positionV>
            <wp:extent cx="163195" cy="1543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75" w:name="page76"/>
    <w:bookmarkEnd w:id="75"/>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7"/>
        <w:spacing w:after="0"/>
        <w:rPr>
          <w:sz w:val="20"/>
          <w:szCs w:val="20"/>
          <w:color w:val="auto"/>
        </w:rPr>
      </w:pPr>
      <w:r>
        <w:rPr>
          <w:rFonts w:ascii="Arial" w:cs="Arial" w:eastAsia="Arial" w:hAnsi="Arial"/>
          <w:sz w:val="14"/>
          <w:szCs w:val="14"/>
          <w:color w:val="005C7D"/>
        </w:rPr>
        <w:t>TABULAR EXECUTIVE COMPENSATION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07187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11"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2016 Pension Benefits</w:t>
      </w:r>
    </w:p>
    <w:p>
      <w:pPr>
        <w:spacing w:after="0" w:line="175" w:lineRule="exact"/>
        <w:rPr>
          <w:sz w:val="20"/>
          <w:szCs w:val="20"/>
          <w:color w:val="auto"/>
        </w:rPr>
      </w:pPr>
    </w:p>
    <w:p>
      <w:pPr>
        <w:ind w:left="7" w:right="200"/>
        <w:spacing w:after="0" w:line="259" w:lineRule="auto"/>
        <w:rPr>
          <w:sz w:val="20"/>
          <w:szCs w:val="20"/>
          <w:color w:val="auto"/>
        </w:rPr>
      </w:pPr>
      <w:r>
        <w:rPr>
          <w:rFonts w:ascii="Arial" w:cs="Arial" w:eastAsia="Arial" w:hAnsi="Arial"/>
          <w:sz w:val="18"/>
          <w:szCs w:val="18"/>
          <w:color w:val="auto"/>
        </w:rPr>
        <w:t>The following table provides information regarding the pension benefits for our named executive officers under L3’s tax-qualified and supplemental plans. The named executive officers participate in multiple tax-qualified or supplemental pension plans. The purpose of each plan is to provide the named executive officers retirement benefits as part of their overall compensation package. The material terms of the plans are described following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607187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7"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Present Value of</w:t>
            </w:r>
          </w:p>
        </w:tc>
        <w:tc>
          <w:tcPr>
            <w:tcW w:w="1240" w:type="dxa"/>
            <w:vAlign w:val="bottom"/>
          </w:tcPr>
          <w:p>
            <w:pPr>
              <w:spacing w:after="0"/>
              <w:rPr>
                <w:sz w:val="14"/>
                <w:szCs w:val="14"/>
                <w:color w:val="auto"/>
              </w:rPr>
            </w:pPr>
          </w:p>
        </w:tc>
      </w:tr>
      <w:tr>
        <w:trPr>
          <w:trHeight w:val="171"/>
        </w:trPr>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Years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Payments During</w:t>
            </w:r>
          </w:p>
        </w:tc>
      </w:tr>
      <w:tr>
        <w:trPr>
          <w:trHeight w:val="180"/>
        </w:trPr>
        <w:tc>
          <w:tcPr>
            <w:tcW w:w="2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Credited Service</w:t>
            </w:r>
          </w:p>
        </w:tc>
        <w:tc>
          <w:tcPr>
            <w:tcW w:w="1220" w:type="dxa"/>
            <w:vAlign w:val="bottom"/>
          </w:tcPr>
          <w:p>
            <w:pPr>
              <w:jc w:val="center"/>
              <w:spacing w:after="0" w:line="180" w:lineRule="exact"/>
              <w:rPr>
                <w:sz w:val="20"/>
                <w:szCs w:val="20"/>
                <w:color w:val="auto"/>
              </w:rPr>
            </w:pPr>
            <w:r>
              <w:rPr>
                <w:rFonts w:ascii="Arial" w:cs="Arial" w:eastAsia="Arial" w:hAnsi="Arial"/>
                <w:sz w:val="12"/>
                <w:szCs w:val="12"/>
                <w:b w:val="1"/>
                <w:bCs w:val="1"/>
                <w:color w:val="auto"/>
              </w:rPr>
              <w:t>Benefit</w:t>
            </w:r>
            <w:r>
              <w:rPr>
                <w:rFonts w:ascii="Arial" w:cs="Arial" w:eastAsia="Arial" w:hAnsi="Arial"/>
                <w:sz w:val="20"/>
                <w:szCs w:val="20"/>
                <w:b w:val="1"/>
                <w:bCs w:val="1"/>
                <w:color w:val="auto"/>
                <w:vertAlign w:val="superscript"/>
              </w:rPr>
              <w:t>(1)</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Last Fiscal Year</w:t>
            </w:r>
          </w:p>
        </w:tc>
      </w:tr>
      <w:tr>
        <w:trPr>
          <w:trHeight w:val="185"/>
        </w:trPr>
        <w:tc>
          <w:tcPr>
            <w:tcW w:w="2760" w:type="dxa"/>
            <w:vAlign w:val="bottom"/>
            <w:tcBorders>
              <w:bottom w:val="single" w:sz="8" w:color="005C7D"/>
            </w:tcBorders>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260" w:type="dxa"/>
            <w:vAlign w:val="bottom"/>
            <w:tcBorders>
              <w:bottom w:val="single" w:sz="8" w:color="005C7D"/>
            </w:tcBorders>
          </w:tcPr>
          <w:p>
            <w:pPr>
              <w:spacing w:after="0"/>
              <w:rPr>
                <w:sz w:val="16"/>
                <w:szCs w:val="16"/>
                <w:color w:val="auto"/>
              </w:rPr>
            </w:pPr>
          </w:p>
        </w:tc>
        <w:tc>
          <w:tcPr>
            <w:tcW w:w="2820" w:type="dxa"/>
            <w:vAlign w:val="bottom"/>
            <w:tcBorders>
              <w:bottom w:val="single" w:sz="8" w:color="005C7D"/>
            </w:tcBorders>
          </w:tcPr>
          <w:p>
            <w:pPr>
              <w:ind w:left="940"/>
              <w:spacing w:after="0"/>
              <w:rPr>
                <w:sz w:val="20"/>
                <w:szCs w:val="20"/>
                <w:color w:val="auto"/>
              </w:rPr>
            </w:pPr>
            <w:r>
              <w:rPr>
                <w:rFonts w:ascii="Arial" w:cs="Arial" w:eastAsia="Arial" w:hAnsi="Arial"/>
                <w:sz w:val="14"/>
                <w:szCs w:val="14"/>
                <w:b w:val="1"/>
                <w:bCs w:val="1"/>
                <w:color w:val="auto"/>
              </w:rPr>
              <w:t>Plan Name</w:t>
            </w:r>
          </w:p>
        </w:tc>
        <w:tc>
          <w:tcPr>
            <w:tcW w:w="1260" w:type="dxa"/>
            <w:vAlign w:val="bottom"/>
            <w:tcBorders>
              <w:bottom w:val="single" w:sz="8" w:color="005C7D"/>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20" w:type="dxa"/>
            <w:vAlign w:val="bottom"/>
            <w:tcBorders>
              <w:bottom w:val="single" w:sz="8" w:color="005C7D"/>
            </w:tcBorders>
          </w:tcPr>
          <w:p>
            <w:pPr>
              <w:jc w:val="center"/>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005C7D"/>
            </w:tcBorders>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49"/>
        </w:trPr>
        <w:tc>
          <w:tcPr>
            <w:tcW w:w="2760" w:type="dxa"/>
            <w:vAlign w:val="bottom"/>
            <w:gridSpan w:val="2"/>
            <w:shd w:val="clear" w:color="auto" w:fill="CDDAE6"/>
          </w:tcPr>
          <w:p>
            <w:pPr>
              <w:ind w:left="20"/>
              <w:spacing w:after="0" w:line="249" w:lineRule="exact"/>
              <w:rPr>
                <w:sz w:val="20"/>
                <w:szCs w:val="20"/>
                <w:color w:val="auto"/>
              </w:rPr>
            </w:pPr>
            <w:r>
              <w:rPr>
                <w:rFonts w:ascii="Arial" w:cs="Arial" w:eastAsia="Arial" w:hAnsi="Arial"/>
                <w:sz w:val="17"/>
                <w:szCs w:val="17"/>
                <w:color w:val="auto"/>
              </w:rPr>
              <w:t>Michael T. Strianese</w:t>
            </w:r>
            <w:r>
              <w:rPr>
                <w:rFonts w:ascii="Arial" w:cs="Arial" w:eastAsia="Arial" w:hAnsi="Arial"/>
                <w:sz w:val="28"/>
                <w:szCs w:val="28"/>
                <w:color w:val="auto"/>
                <w:vertAlign w:val="superscript"/>
              </w:rPr>
              <w:t>(2)</w:t>
            </w:r>
          </w:p>
        </w:tc>
        <w:tc>
          <w:tcPr>
            <w:tcW w:w="260" w:type="dxa"/>
            <w:vAlign w:val="bottom"/>
            <w:shd w:val="clear" w:color="auto" w:fill="CDDAE6"/>
          </w:tcPr>
          <w:p>
            <w:pPr>
              <w:ind w:left="40"/>
              <w:spacing w:after="0"/>
              <w:rPr>
                <w:sz w:val="20"/>
                <w:szCs w:val="20"/>
                <w:color w:val="auto"/>
              </w:rPr>
            </w:pPr>
            <w:r>
              <w:rPr>
                <w:rFonts w:ascii="Arial" w:cs="Arial" w:eastAsia="Arial" w:hAnsi="Arial"/>
                <w:sz w:val="18"/>
                <w:szCs w:val="18"/>
                <w:color w:val="auto"/>
                <w:w w:val="99"/>
              </w:rPr>
              <w:t>L3</w:t>
            </w:r>
          </w:p>
        </w:tc>
        <w:tc>
          <w:tcPr>
            <w:tcW w:w="2820" w:type="dxa"/>
            <w:vAlign w:val="bottom"/>
            <w:shd w:val="clear" w:color="auto" w:fill="CDDAE6"/>
          </w:tcPr>
          <w:p>
            <w:pPr>
              <w:ind w:left="20"/>
              <w:spacing w:after="0"/>
              <w:rPr>
                <w:sz w:val="20"/>
                <w:szCs w:val="20"/>
                <w:color w:val="auto"/>
              </w:rPr>
            </w:pPr>
            <w:r>
              <w:rPr>
                <w:rFonts w:ascii="Arial" w:cs="Arial" w:eastAsia="Arial" w:hAnsi="Arial"/>
                <w:sz w:val="18"/>
                <w:szCs w:val="18"/>
                <w:color w:val="auto"/>
              </w:rPr>
              <w:t>Technologies, Inc.</w:t>
            </w:r>
          </w:p>
        </w:tc>
        <w:tc>
          <w:tcPr>
            <w:tcW w:w="1260" w:type="dxa"/>
            <w:vAlign w:val="bottom"/>
            <w:shd w:val="clear" w:color="auto" w:fill="CDDAE6"/>
          </w:tcPr>
          <w:p>
            <w:pPr>
              <w:jc w:val="right"/>
              <w:spacing w:after="0" w:line="249" w:lineRule="exact"/>
              <w:rPr>
                <w:sz w:val="20"/>
                <w:szCs w:val="20"/>
                <w:color w:val="auto"/>
              </w:rPr>
            </w:pPr>
            <w:r>
              <w:rPr>
                <w:rFonts w:ascii="Arial" w:cs="Arial" w:eastAsia="Arial" w:hAnsi="Arial"/>
                <w:sz w:val="17"/>
                <w:szCs w:val="17"/>
                <w:color w:val="auto"/>
              </w:rPr>
              <w:t>26.17</w:t>
            </w:r>
            <w:r>
              <w:rPr>
                <w:rFonts w:ascii="Arial" w:cs="Arial" w:eastAsia="Arial" w:hAnsi="Arial"/>
                <w:sz w:val="28"/>
                <w:szCs w:val="28"/>
                <w:color w:val="auto"/>
                <w:vertAlign w:val="superscript"/>
              </w:rPr>
              <w:t>(3)</w:t>
            </w:r>
          </w:p>
        </w:tc>
        <w:tc>
          <w:tcPr>
            <w:tcW w:w="1220" w:type="dxa"/>
            <w:vAlign w:val="bottom"/>
            <w:shd w:val="clear" w:color="auto" w:fill="CDDAE6"/>
          </w:tcPr>
          <w:p>
            <w:pPr>
              <w:jc w:val="right"/>
              <w:spacing w:after="0" w:line="249" w:lineRule="exact"/>
              <w:rPr>
                <w:sz w:val="20"/>
                <w:szCs w:val="20"/>
                <w:color w:val="auto"/>
              </w:rPr>
            </w:pPr>
            <w:r>
              <w:rPr>
                <w:rFonts w:ascii="Arial" w:cs="Arial" w:eastAsia="Arial" w:hAnsi="Arial"/>
                <w:sz w:val="17"/>
                <w:szCs w:val="17"/>
                <w:color w:val="auto"/>
              </w:rPr>
              <w:t>1,234,887</w:t>
            </w:r>
            <w:r>
              <w:rPr>
                <w:rFonts w:ascii="Arial" w:cs="Arial" w:eastAsia="Arial" w:hAnsi="Arial"/>
                <w:sz w:val="28"/>
                <w:szCs w:val="28"/>
                <w:color w:val="auto"/>
                <w:vertAlign w:val="superscript"/>
              </w:rPr>
              <w:t>(4)</w:t>
            </w:r>
          </w:p>
        </w:tc>
        <w:tc>
          <w:tcPr>
            <w:tcW w:w="1240" w:type="dxa"/>
            <w:vAlign w:val="bottom"/>
            <w:shd w:val="clear" w:color="auto" w:fill="CDDAE6"/>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2680" w:type="dxa"/>
            <w:vAlign w:val="bottom"/>
            <w:shd w:val="clear" w:color="auto" w:fill="CDDAE6"/>
          </w:tcPr>
          <w:p>
            <w:pPr>
              <w:spacing w:after="0"/>
              <w:rPr>
                <w:sz w:val="20"/>
                <w:szCs w:val="20"/>
                <w:color w:val="auto"/>
              </w:rPr>
            </w:pPr>
          </w:p>
        </w:tc>
        <w:tc>
          <w:tcPr>
            <w:tcW w:w="80" w:type="dxa"/>
            <w:vAlign w:val="bottom"/>
            <w:shd w:val="clear" w:color="auto" w:fill="CDDAE6"/>
          </w:tcPr>
          <w:p>
            <w:pPr>
              <w:spacing w:after="0"/>
              <w:rPr>
                <w:sz w:val="20"/>
                <w:szCs w:val="20"/>
                <w:color w:val="auto"/>
              </w:rPr>
            </w:pPr>
          </w:p>
        </w:tc>
        <w:tc>
          <w:tcPr>
            <w:tcW w:w="3080" w:type="dxa"/>
            <w:vAlign w:val="bottom"/>
            <w:gridSpan w:val="2"/>
            <w:shd w:val="clear" w:color="auto" w:fill="CDDAE6"/>
          </w:tcPr>
          <w:p>
            <w:pPr>
              <w:ind w:left="40"/>
              <w:spacing w:after="0"/>
              <w:rPr>
                <w:sz w:val="20"/>
                <w:szCs w:val="20"/>
                <w:color w:val="auto"/>
              </w:rPr>
            </w:pPr>
            <w:r>
              <w:rPr>
                <w:rFonts w:ascii="Arial" w:cs="Arial" w:eastAsia="Arial" w:hAnsi="Arial"/>
                <w:sz w:val="18"/>
                <w:szCs w:val="18"/>
                <w:color w:val="auto"/>
              </w:rPr>
              <w:t>Pension Plan</w:t>
            </w:r>
          </w:p>
        </w:tc>
        <w:tc>
          <w:tcPr>
            <w:tcW w:w="1260" w:type="dxa"/>
            <w:vAlign w:val="bottom"/>
            <w:shd w:val="clear" w:color="auto" w:fill="CDDAE6"/>
          </w:tcPr>
          <w:p>
            <w:pPr>
              <w:spacing w:after="0"/>
              <w:rPr>
                <w:sz w:val="20"/>
                <w:szCs w:val="20"/>
                <w:color w:val="auto"/>
              </w:rPr>
            </w:pPr>
          </w:p>
        </w:tc>
        <w:tc>
          <w:tcPr>
            <w:tcW w:w="1220" w:type="dxa"/>
            <w:vAlign w:val="bottom"/>
            <w:shd w:val="clear" w:color="auto" w:fill="CDDAE6"/>
          </w:tcPr>
          <w:p>
            <w:pPr>
              <w:spacing w:after="0"/>
              <w:rPr>
                <w:sz w:val="20"/>
                <w:szCs w:val="20"/>
                <w:color w:val="auto"/>
              </w:rPr>
            </w:pPr>
          </w:p>
        </w:tc>
        <w:tc>
          <w:tcPr>
            <w:tcW w:w="1240" w:type="dxa"/>
            <w:vAlign w:val="bottom"/>
            <w:shd w:val="clear" w:color="auto" w:fill="CDDAE6"/>
          </w:tcPr>
          <w:p>
            <w:pPr>
              <w:spacing w:after="0"/>
              <w:rPr>
                <w:sz w:val="20"/>
                <w:szCs w:val="20"/>
                <w:color w:val="auto"/>
              </w:rPr>
            </w:pPr>
          </w:p>
        </w:tc>
      </w:tr>
      <w:tr>
        <w:trPr>
          <w:trHeight w:val="269"/>
        </w:trPr>
        <w:tc>
          <w:tcPr>
            <w:tcW w:w="2680" w:type="dxa"/>
            <w:vAlign w:val="bottom"/>
            <w:shd w:val="clear" w:color="auto" w:fill="CDDAE6"/>
          </w:tcPr>
          <w:p>
            <w:pPr>
              <w:spacing w:after="0"/>
              <w:rPr>
                <w:sz w:val="23"/>
                <w:szCs w:val="23"/>
                <w:color w:val="auto"/>
              </w:rPr>
            </w:pPr>
          </w:p>
        </w:tc>
        <w:tc>
          <w:tcPr>
            <w:tcW w:w="80" w:type="dxa"/>
            <w:vAlign w:val="bottom"/>
            <w:shd w:val="clear" w:color="auto" w:fill="CDDAE6"/>
          </w:tcPr>
          <w:p>
            <w:pPr>
              <w:spacing w:after="0"/>
              <w:rPr>
                <w:sz w:val="23"/>
                <w:szCs w:val="23"/>
                <w:color w:val="auto"/>
              </w:rPr>
            </w:pPr>
          </w:p>
        </w:tc>
        <w:tc>
          <w:tcPr>
            <w:tcW w:w="260" w:type="dxa"/>
            <w:vAlign w:val="bottom"/>
            <w:shd w:val="clear" w:color="auto" w:fill="CDDAE6"/>
          </w:tcPr>
          <w:p>
            <w:pPr>
              <w:ind w:left="40"/>
              <w:spacing w:after="0"/>
              <w:rPr>
                <w:sz w:val="20"/>
                <w:szCs w:val="20"/>
                <w:color w:val="auto"/>
              </w:rPr>
            </w:pPr>
            <w:r>
              <w:rPr>
                <w:rFonts w:ascii="Arial" w:cs="Arial" w:eastAsia="Arial" w:hAnsi="Arial"/>
                <w:sz w:val="18"/>
                <w:szCs w:val="18"/>
                <w:color w:val="auto"/>
                <w:w w:val="99"/>
              </w:rPr>
              <w:t>L3</w:t>
            </w:r>
          </w:p>
        </w:tc>
        <w:tc>
          <w:tcPr>
            <w:tcW w:w="2820" w:type="dxa"/>
            <w:vAlign w:val="bottom"/>
            <w:shd w:val="clear" w:color="auto" w:fill="CDDAE6"/>
          </w:tcPr>
          <w:p>
            <w:pPr>
              <w:ind w:left="20"/>
              <w:spacing w:after="0"/>
              <w:rPr>
                <w:sz w:val="20"/>
                <w:szCs w:val="20"/>
                <w:color w:val="auto"/>
              </w:rPr>
            </w:pPr>
            <w:r>
              <w:rPr>
                <w:rFonts w:ascii="Arial" w:cs="Arial" w:eastAsia="Arial" w:hAnsi="Arial"/>
                <w:sz w:val="18"/>
                <w:szCs w:val="18"/>
                <w:color w:val="auto"/>
              </w:rPr>
              <w:t>Technologies, Inc.</w:t>
            </w:r>
          </w:p>
        </w:tc>
        <w:tc>
          <w:tcPr>
            <w:tcW w:w="1260" w:type="dxa"/>
            <w:vAlign w:val="bottom"/>
            <w:shd w:val="clear" w:color="auto" w:fill="CDDAE6"/>
          </w:tcPr>
          <w:p>
            <w:pPr>
              <w:jc w:val="right"/>
              <w:spacing w:after="0" w:line="269" w:lineRule="exact"/>
              <w:rPr>
                <w:sz w:val="20"/>
                <w:szCs w:val="20"/>
                <w:color w:val="auto"/>
              </w:rPr>
            </w:pPr>
            <w:r>
              <w:rPr>
                <w:rFonts w:ascii="Arial" w:cs="Arial" w:eastAsia="Arial" w:hAnsi="Arial"/>
                <w:sz w:val="18"/>
                <w:szCs w:val="18"/>
                <w:color w:val="auto"/>
              </w:rPr>
              <w:t>26.17</w:t>
            </w:r>
            <w:r>
              <w:rPr>
                <w:rFonts w:ascii="Arial" w:cs="Arial" w:eastAsia="Arial" w:hAnsi="Arial"/>
                <w:sz w:val="29"/>
                <w:szCs w:val="29"/>
                <w:color w:val="auto"/>
                <w:vertAlign w:val="superscript"/>
              </w:rPr>
              <w:t>(3)</w:t>
            </w:r>
          </w:p>
        </w:tc>
        <w:tc>
          <w:tcPr>
            <w:tcW w:w="1220" w:type="dxa"/>
            <w:vAlign w:val="bottom"/>
            <w:shd w:val="clear" w:color="auto" w:fill="CDDAE6"/>
          </w:tcPr>
          <w:p>
            <w:pPr>
              <w:jc w:val="right"/>
              <w:spacing w:after="0" w:line="269" w:lineRule="exact"/>
              <w:rPr>
                <w:sz w:val="20"/>
                <w:szCs w:val="20"/>
                <w:color w:val="auto"/>
              </w:rPr>
            </w:pPr>
            <w:r>
              <w:rPr>
                <w:rFonts w:ascii="Arial" w:cs="Arial" w:eastAsia="Arial" w:hAnsi="Arial"/>
                <w:sz w:val="18"/>
                <w:szCs w:val="18"/>
                <w:color w:val="auto"/>
              </w:rPr>
              <w:t>18,876,686</w:t>
            </w:r>
            <w:r>
              <w:rPr>
                <w:rFonts w:ascii="Arial" w:cs="Arial" w:eastAsia="Arial" w:hAnsi="Arial"/>
                <w:sz w:val="29"/>
                <w:szCs w:val="29"/>
                <w:color w:val="auto"/>
                <w:vertAlign w:val="superscript"/>
              </w:rPr>
              <w:t>(4)</w:t>
            </w:r>
          </w:p>
        </w:tc>
        <w:tc>
          <w:tcPr>
            <w:tcW w:w="1240" w:type="dxa"/>
            <w:vAlign w:val="bottom"/>
            <w:shd w:val="clear" w:color="auto" w:fill="CDDAE6"/>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2680" w:type="dxa"/>
            <w:vAlign w:val="bottom"/>
            <w:shd w:val="clear" w:color="auto" w:fill="CDDAE6"/>
          </w:tcPr>
          <w:p>
            <w:pPr>
              <w:spacing w:after="0"/>
              <w:rPr>
                <w:sz w:val="20"/>
                <w:szCs w:val="20"/>
                <w:color w:val="auto"/>
              </w:rPr>
            </w:pPr>
          </w:p>
        </w:tc>
        <w:tc>
          <w:tcPr>
            <w:tcW w:w="80" w:type="dxa"/>
            <w:vAlign w:val="bottom"/>
            <w:shd w:val="clear" w:color="auto" w:fill="CDDAE6"/>
          </w:tcPr>
          <w:p>
            <w:pPr>
              <w:spacing w:after="0"/>
              <w:rPr>
                <w:sz w:val="20"/>
                <w:szCs w:val="20"/>
                <w:color w:val="auto"/>
              </w:rPr>
            </w:pPr>
          </w:p>
        </w:tc>
        <w:tc>
          <w:tcPr>
            <w:tcW w:w="3080" w:type="dxa"/>
            <w:vAlign w:val="bottom"/>
            <w:gridSpan w:val="2"/>
            <w:shd w:val="clear" w:color="auto" w:fill="CDDAE6"/>
          </w:tcPr>
          <w:p>
            <w:pPr>
              <w:ind w:left="40"/>
              <w:spacing w:after="0"/>
              <w:rPr>
                <w:sz w:val="20"/>
                <w:szCs w:val="20"/>
                <w:color w:val="auto"/>
              </w:rPr>
            </w:pPr>
            <w:r>
              <w:rPr>
                <w:rFonts w:ascii="Arial" w:cs="Arial" w:eastAsia="Arial" w:hAnsi="Arial"/>
                <w:sz w:val="18"/>
                <w:szCs w:val="18"/>
                <w:color w:val="auto"/>
                <w:w w:val="92"/>
              </w:rPr>
              <w:t>Supplemental Executive Retirement Plan</w:t>
            </w:r>
          </w:p>
        </w:tc>
        <w:tc>
          <w:tcPr>
            <w:tcW w:w="1260" w:type="dxa"/>
            <w:vAlign w:val="bottom"/>
            <w:shd w:val="clear" w:color="auto" w:fill="CDDAE6"/>
          </w:tcPr>
          <w:p>
            <w:pPr>
              <w:spacing w:after="0"/>
              <w:rPr>
                <w:sz w:val="20"/>
                <w:szCs w:val="20"/>
                <w:color w:val="auto"/>
              </w:rPr>
            </w:pPr>
          </w:p>
        </w:tc>
        <w:tc>
          <w:tcPr>
            <w:tcW w:w="1220" w:type="dxa"/>
            <w:vAlign w:val="bottom"/>
            <w:shd w:val="clear" w:color="auto" w:fill="CDDAE6"/>
          </w:tcPr>
          <w:p>
            <w:pPr>
              <w:spacing w:after="0"/>
              <w:rPr>
                <w:sz w:val="20"/>
                <w:szCs w:val="20"/>
                <w:color w:val="auto"/>
              </w:rPr>
            </w:pPr>
          </w:p>
        </w:tc>
        <w:tc>
          <w:tcPr>
            <w:tcW w:w="1240" w:type="dxa"/>
            <w:vAlign w:val="bottom"/>
            <w:shd w:val="clear" w:color="auto" w:fill="CDDAE6"/>
          </w:tcPr>
          <w:p>
            <w:pPr>
              <w:spacing w:after="0"/>
              <w:rPr>
                <w:sz w:val="20"/>
                <w:szCs w:val="20"/>
                <w:color w:val="auto"/>
              </w:rPr>
            </w:pPr>
          </w:p>
        </w:tc>
      </w:tr>
      <w:tr>
        <w:trPr>
          <w:trHeight w:val="297"/>
        </w:trPr>
        <w:tc>
          <w:tcPr>
            <w:tcW w:w="2760" w:type="dxa"/>
            <w:vAlign w:val="bottom"/>
            <w:gridSpan w:val="2"/>
            <w:shd w:val="clear" w:color="auto" w:fill="CDDAE6"/>
          </w:tcPr>
          <w:p>
            <w:pPr>
              <w:ind w:left="20"/>
              <w:spacing w:after="0" w:line="296" w:lineRule="exact"/>
              <w:rPr>
                <w:sz w:val="20"/>
                <w:szCs w:val="20"/>
                <w:color w:val="auto"/>
              </w:rPr>
            </w:pPr>
            <w:r>
              <w:rPr>
                <w:rFonts w:ascii="Arial" w:cs="Arial" w:eastAsia="Arial" w:hAnsi="Arial"/>
                <w:sz w:val="18"/>
                <w:szCs w:val="18"/>
                <w:color w:val="auto"/>
              </w:rPr>
              <w:t>Christopher E. Kubasik</w:t>
            </w:r>
            <w:r>
              <w:rPr>
                <w:rFonts w:ascii="Arial" w:cs="Arial" w:eastAsia="Arial" w:hAnsi="Arial"/>
                <w:sz w:val="29"/>
                <w:szCs w:val="29"/>
                <w:color w:val="auto"/>
                <w:vertAlign w:val="superscript"/>
              </w:rPr>
              <w:t>(5)</w:t>
            </w:r>
          </w:p>
        </w:tc>
        <w:tc>
          <w:tcPr>
            <w:tcW w:w="260" w:type="dxa"/>
            <w:vAlign w:val="bottom"/>
            <w:shd w:val="clear" w:color="auto" w:fill="CDDAE6"/>
          </w:tcPr>
          <w:p>
            <w:pPr>
              <w:ind w:left="40"/>
              <w:spacing w:after="0"/>
              <w:rPr>
                <w:sz w:val="20"/>
                <w:szCs w:val="20"/>
                <w:color w:val="auto"/>
              </w:rPr>
            </w:pPr>
            <w:r>
              <w:rPr>
                <w:rFonts w:ascii="Arial" w:cs="Arial" w:eastAsia="Arial" w:hAnsi="Arial"/>
                <w:sz w:val="18"/>
                <w:szCs w:val="18"/>
                <w:color w:val="auto"/>
              </w:rPr>
              <w:t>—</w:t>
            </w:r>
          </w:p>
        </w:tc>
        <w:tc>
          <w:tcPr>
            <w:tcW w:w="2820" w:type="dxa"/>
            <w:vAlign w:val="bottom"/>
            <w:shd w:val="clear" w:color="auto" w:fill="CDDAE6"/>
          </w:tcPr>
          <w:p>
            <w:pPr>
              <w:spacing w:after="0"/>
              <w:rPr>
                <w:sz w:val="24"/>
                <w:szCs w:val="24"/>
                <w:color w:val="auto"/>
              </w:rPr>
            </w:pPr>
          </w:p>
        </w:tc>
        <w:tc>
          <w:tcPr>
            <w:tcW w:w="1260" w:type="dxa"/>
            <w:vAlign w:val="bottom"/>
            <w:shd w:val="clear" w:color="auto" w:fill="CDDAE6"/>
          </w:tcPr>
          <w:p>
            <w:pPr>
              <w:jc w:val="right"/>
              <w:ind w:right="15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DDAE6"/>
          </w:tcPr>
          <w:p>
            <w:pPr>
              <w:jc w:val="right"/>
              <w:ind w:right="13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DDAE6"/>
          </w:tcPr>
          <w:p>
            <w:pPr>
              <w:jc w:val="center"/>
              <w:spacing w:after="0"/>
              <w:rPr>
                <w:sz w:val="20"/>
                <w:szCs w:val="20"/>
                <w:color w:val="auto"/>
              </w:rPr>
            </w:pPr>
            <w:r>
              <w:rPr>
                <w:rFonts w:ascii="Arial" w:cs="Arial" w:eastAsia="Arial" w:hAnsi="Arial"/>
                <w:sz w:val="18"/>
                <w:szCs w:val="18"/>
                <w:color w:val="auto"/>
                <w:w w:val="99"/>
              </w:rPr>
              <w:t>—</w:t>
            </w:r>
          </w:p>
        </w:tc>
      </w:tr>
      <w:tr>
        <w:trPr>
          <w:trHeight w:val="256"/>
        </w:trPr>
        <w:tc>
          <w:tcPr>
            <w:tcW w:w="2760" w:type="dxa"/>
            <w:vAlign w:val="bottom"/>
            <w:gridSpan w:val="2"/>
            <w:shd w:val="clear" w:color="auto" w:fill="CDDAE6"/>
          </w:tcPr>
          <w:p>
            <w:pPr>
              <w:ind w:left="20"/>
              <w:spacing w:after="0" w:line="256" w:lineRule="exact"/>
              <w:rPr>
                <w:sz w:val="20"/>
                <w:szCs w:val="20"/>
                <w:color w:val="auto"/>
              </w:rPr>
            </w:pPr>
            <w:r>
              <w:rPr>
                <w:rFonts w:ascii="Arial" w:cs="Arial" w:eastAsia="Arial" w:hAnsi="Arial"/>
                <w:sz w:val="18"/>
                <w:szCs w:val="18"/>
                <w:color w:val="auto"/>
              </w:rPr>
              <w:t>Ralph G. D’Ambrosio</w:t>
            </w:r>
            <w:r>
              <w:rPr>
                <w:rFonts w:ascii="Arial" w:cs="Arial" w:eastAsia="Arial" w:hAnsi="Arial"/>
                <w:sz w:val="29"/>
                <w:szCs w:val="29"/>
                <w:color w:val="auto"/>
                <w:vertAlign w:val="superscript"/>
              </w:rPr>
              <w:t>(6)</w:t>
            </w:r>
          </w:p>
        </w:tc>
        <w:tc>
          <w:tcPr>
            <w:tcW w:w="260" w:type="dxa"/>
            <w:vAlign w:val="bottom"/>
            <w:shd w:val="clear" w:color="auto" w:fill="CDDAE6"/>
          </w:tcPr>
          <w:p>
            <w:pPr>
              <w:ind w:left="40"/>
              <w:spacing w:after="0"/>
              <w:rPr>
                <w:sz w:val="20"/>
                <w:szCs w:val="20"/>
                <w:color w:val="auto"/>
              </w:rPr>
            </w:pPr>
            <w:r>
              <w:rPr>
                <w:rFonts w:ascii="Arial" w:cs="Arial" w:eastAsia="Arial" w:hAnsi="Arial"/>
                <w:sz w:val="18"/>
                <w:szCs w:val="18"/>
                <w:color w:val="auto"/>
                <w:w w:val="99"/>
              </w:rPr>
              <w:t>L3</w:t>
            </w:r>
          </w:p>
        </w:tc>
        <w:tc>
          <w:tcPr>
            <w:tcW w:w="2820" w:type="dxa"/>
            <w:vAlign w:val="bottom"/>
            <w:shd w:val="clear" w:color="auto" w:fill="CDDAE6"/>
          </w:tcPr>
          <w:p>
            <w:pPr>
              <w:ind w:left="20"/>
              <w:spacing w:after="0"/>
              <w:rPr>
                <w:sz w:val="20"/>
                <w:szCs w:val="20"/>
                <w:color w:val="auto"/>
              </w:rPr>
            </w:pPr>
            <w:r>
              <w:rPr>
                <w:rFonts w:ascii="Arial" w:cs="Arial" w:eastAsia="Arial" w:hAnsi="Arial"/>
                <w:sz w:val="18"/>
                <w:szCs w:val="18"/>
                <w:color w:val="auto"/>
              </w:rPr>
              <w:t>Technologies, Inc.</w:t>
            </w:r>
          </w:p>
        </w:tc>
        <w:tc>
          <w:tcPr>
            <w:tcW w:w="1260" w:type="dxa"/>
            <w:vAlign w:val="bottom"/>
            <w:shd w:val="clear" w:color="auto" w:fill="CDDAE6"/>
          </w:tcPr>
          <w:p>
            <w:pPr>
              <w:jc w:val="right"/>
              <w:ind w:right="155"/>
              <w:spacing w:after="0"/>
              <w:rPr>
                <w:sz w:val="20"/>
                <w:szCs w:val="20"/>
                <w:color w:val="auto"/>
              </w:rPr>
            </w:pPr>
            <w:r>
              <w:rPr>
                <w:rFonts w:ascii="Arial" w:cs="Arial" w:eastAsia="Arial" w:hAnsi="Arial"/>
                <w:sz w:val="18"/>
                <w:szCs w:val="18"/>
                <w:color w:val="auto"/>
              </w:rPr>
              <w:t>19.42</w:t>
            </w:r>
          </w:p>
        </w:tc>
        <w:tc>
          <w:tcPr>
            <w:tcW w:w="1220" w:type="dxa"/>
            <w:vAlign w:val="bottom"/>
            <w:shd w:val="clear" w:color="auto" w:fill="CDDAE6"/>
          </w:tcPr>
          <w:p>
            <w:pPr>
              <w:jc w:val="right"/>
              <w:ind w:right="137"/>
              <w:spacing w:after="0"/>
              <w:rPr>
                <w:sz w:val="20"/>
                <w:szCs w:val="20"/>
                <w:color w:val="auto"/>
              </w:rPr>
            </w:pPr>
            <w:r>
              <w:rPr>
                <w:rFonts w:ascii="Arial" w:cs="Arial" w:eastAsia="Arial" w:hAnsi="Arial"/>
                <w:sz w:val="18"/>
                <w:szCs w:val="18"/>
                <w:color w:val="auto"/>
              </w:rPr>
              <w:t>559,258</w:t>
            </w:r>
          </w:p>
        </w:tc>
        <w:tc>
          <w:tcPr>
            <w:tcW w:w="1240" w:type="dxa"/>
            <w:vAlign w:val="bottom"/>
            <w:shd w:val="clear" w:color="auto" w:fill="CDDAE6"/>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2680" w:type="dxa"/>
            <w:vAlign w:val="bottom"/>
            <w:shd w:val="clear" w:color="auto" w:fill="CDDAE6"/>
          </w:tcPr>
          <w:p>
            <w:pPr>
              <w:spacing w:after="0"/>
              <w:rPr>
                <w:sz w:val="20"/>
                <w:szCs w:val="20"/>
                <w:color w:val="auto"/>
              </w:rPr>
            </w:pPr>
          </w:p>
        </w:tc>
        <w:tc>
          <w:tcPr>
            <w:tcW w:w="80" w:type="dxa"/>
            <w:vAlign w:val="bottom"/>
            <w:shd w:val="clear" w:color="auto" w:fill="CDDAE6"/>
          </w:tcPr>
          <w:p>
            <w:pPr>
              <w:spacing w:after="0"/>
              <w:rPr>
                <w:sz w:val="20"/>
                <w:szCs w:val="20"/>
                <w:color w:val="auto"/>
              </w:rPr>
            </w:pPr>
          </w:p>
        </w:tc>
        <w:tc>
          <w:tcPr>
            <w:tcW w:w="3080" w:type="dxa"/>
            <w:vAlign w:val="bottom"/>
            <w:gridSpan w:val="2"/>
            <w:shd w:val="clear" w:color="auto" w:fill="CDDAE6"/>
          </w:tcPr>
          <w:p>
            <w:pPr>
              <w:ind w:left="40"/>
              <w:spacing w:after="0"/>
              <w:rPr>
                <w:sz w:val="20"/>
                <w:szCs w:val="20"/>
                <w:color w:val="auto"/>
              </w:rPr>
            </w:pPr>
            <w:r>
              <w:rPr>
                <w:rFonts w:ascii="Arial" w:cs="Arial" w:eastAsia="Arial" w:hAnsi="Arial"/>
                <w:sz w:val="18"/>
                <w:szCs w:val="18"/>
                <w:color w:val="auto"/>
              </w:rPr>
              <w:t>Pension Plan</w:t>
            </w:r>
          </w:p>
        </w:tc>
        <w:tc>
          <w:tcPr>
            <w:tcW w:w="1260" w:type="dxa"/>
            <w:vAlign w:val="bottom"/>
            <w:shd w:val="clear" w:color="auto" w:fill="CDDAE6"/>
          </w:tcPr>
          <w:p>
            <w:pPr>
              <w:spacing w:after="0"/>
              <w:rPr>
                <w:sz w:val="20"/>
                <w:szCs w:val="20"/>
                <w:color w:val="auto"/>
              </w:rPr>
            </w:pPr>
          </w:p>
        </w:tc>
        <w:tc>
          <w:tcPr>
            <w:tcW w:w="1220" w:type="dxa"/>
            <w:vAlign w:val="bottom"/>
            <w:shd w:val="clear" w:color="auto" w:fill="CDDAE6"/>
          </w:tcPr>
          <w:p>
            <w:pPr>
              <w:spacing w:after="0"/>
              <w:rPr>
                <w:sz w:val="20"/>
                <w:szCs w:val="20"/>
                <w:color w:val="auto"/>
              </w:rPr>
            </w:pPr>
          </w:p>
        </w:tc>
        <w:tc>
          <w:tcPr>
            <w:tcW w:w="1240" w:type="dxa"/>
            <w:vAlign w:val="bottom"/>
            <w:shd w:val="clear" w:color="auto" w:fill="CDDAE6"/>
          </w:tcPr>
          <w:p>
            <w:pPr>
              <w:spacing w:after="0"/>
              <w:rPr>
                <w:sz w:val="20"/>
                <w:szCs w:val="20"/>
                <w:color w:val="auto"/>
              </w:rPr>
            </w:pPr>
          </w:p>
        </w:tc>
      </w:tr>
      <w:tr>
        <w:trPr>
          <w:trHeight w:val="269"/>
        </w:trPr>
        <w:tc>
          <w:tcPr>
            <w:tcW w:w="2680" w:type="dxa"/>
            <w:vAlign w:val="bottom"/>
            <w:shd w:val="clear" w:color="auto" w:fill="CDDAE6"/>
          </w:tcPr>
          <w:p>
            <w:pPr>
              <w:spacing w:after="0"/>
              <w:rPr>
                <w:sz w:val="23"/>
                <w:szCs w:val="23"/>
                <w:color w:val="auto"/>
              </w:rPr>
            </w:pPr>
          </w:p>
        </w:tc>
        <w:tc>
          <w:tcPr>
            <w:tcW w:w="80" w:type="dxa"/>
            <w:vAlign w:val="bottom"/>
            <w:shd w:val="clear" w:color="auto" w:fill="CDDAE6"/>
          </w:tcPr>
          <w:p>
            <w:pPr>
              <w:spacing w:after="0"/>
              <w:rPr>
                <w:sz w:val="23"/>
                <w:szCs w:val="23"/>
                <w:color w:val="auto"/>
              </w:rPr>
            </w:pPr>
          </w:p>
        </w:tc>
        <w:tc>
          <w:tcPr>
            <w:tcW w:w="260" w:type="dxa"/>
            <w:vAlign w:val="bottom"/>
            <w:shd w:val="clear" w:color="auto" w:fill="CDDAE6"/>
          </w:tcPr>
          <w:p>
            <w:pPr>
              <w:ind w:left="40"/>
              <w:spacing w:after="0"/>
              <w:rPr>
                <w:sz w:val="20"/>
                <w:szCs w:val="20"/>
                <w:color w:val="auto"/>
              </w:rPr>
            </w:pPr>
            <w:r>
              <w:rPr>
                <w:rFonts w:ascii="Arial" w:cs="Arial" w:eastAsia="Arial" w:hAnsi="Arial"/>
                <w:sz w:val="18"/>
                <w:szCs w:val="18"/>
                <w:color w:val="auto"/>
                <w:w w:val="99"/>
              </w:rPr>
              <w:t>L3</w:t>
            </w:r>
          </w:p>
        </w:tc>
        <w:tc>
          <w:tcPr>
            <w:tcW w:w="2820" w:type="dxa"/>
            <w:vAlign w:val="bottom"/>
            <w:shd w:val="clear" w:color="auto" w:fill="CDDAE6"/>
          </w:tcPr>
          <w:p>
            <w:pPr>
              <w:ind w:left="20"/>
              <w:spacing w:after="0"/>
              <w:rPr>
                <w:sz w:val="20"/>
                <w:szCs w:val="20"/>
                <w:color w:val="auto"/>
              </w:rPr>
            </w:pPr>
            <w:r>
              <w:rPr>
                <w:rFonts w:ascii="Arial" w:cs="Arial" w:eastAsia="Arial" w:hAnsi="Arial"/>
                <w:sz w:val="18"/>
                <w:szCs w:val="18"/>
                <w:color w:val="auto"/>
              </w:rPr>
              <w:t>Technologies, Inc.</w:t>
            </w:r>
          </w:p>
        </w:tc>
        <w:tc>
          <w:tcPr>
            <w:tcW w:w="1260" w:type="dxa"/>
            <w:vAlign w:val="bottom"/>
            <w:shd w:val="clear" w:color="auto" w:fill="CDDAE6"/>
          </w:tcPr>
          <w:p>
            <w:pPr>
              <w:jc w:val="right"/>
              <w:ind w:right="155"/>
              <w:spacing w:after="0"/>
              <w:rPr>
                <w:sz w:val="20"/>
                <w:szCs w:val="20"/>
                <w:color w:val="auto"/>
              </w:rPr>
            </w:pPr>
            <w:r>
              <w:rPr>
                <w:rFonts w:ascii="Arial" w:cs="Arial" w:eastAsia="Arial" w:hAnsi="Arial"/>
                <w:sz w:val="18"/>
                <w:szCs w:val="18"/>
                <w:color w:val="auto"/>
              </w:rPr>
              <w:t>19.42</w:t>
            </w:r>
          </w:p>
        </w:tc>
        <w:tc>
          <w:tcPr>
            <w:tcW w:w="1220" w:type="dxa"/>
            <w:vAlign w:val="bottom"/>
            <w:shd w:val="clear" w:color="auto" w:fill="CDDAE6"/>
          </w:tcPr>
          <w:p>
            <w:pPr>
              <w:jc w:val="right"/>
              <w:ind w:right="137"/>
              <w:spacing w:after="0"/>
              <w:rPr>
                <w:sz w:val="20"/>
                <w:szCs w:val="20"/>
                <w:color w:val="auto"/>
              </w:rPr>
            </w:pPr>
            <w:r>
              <w:rPr>
                <w:rFonts w:ascii="Arial" w:cs="Arial" w:eastAsia="Arial" w:hAnsi="Arial"/>
                <w:sz w:val="18"/>
                <w:szCs w:val="18"/>
                <w:color w:val="auto"/>
              </w:rPr>
              <w:t>2,584,544</w:t>
            </w:r>
          </w:p>
        </w:tc>
        <w:tc>
          <w:tcPr>
            <w:tcW w:w="1240" w:type="dxa"/>
            <w:vAlign w:val="bottom"/>
            <w:shd w:val="clear" w:color="auto" w:fill="CDDAE6"/>
          </w:tcPr>
          <w:p>
            <w:pPr>
              <w:jc w:val="center"/>
              <w:spacing w:after="0"/>
              <w:rPr>
                <w:sz w:val="20"/>
                <w:szCs w:val="20"/>
                <w:color w:val="auto"/>
              </w:rPr>
            </w:pPr>
            <w:r>
              <w:rPr>
                <w:rFonts w:ascii="Arial" w:cs="Arial" w:eastAsia="Arial" w:hAnsi="Arial"/>
                <w:sz w:val="18"/>
                <w:szCs w:val="18"/>
                <w:color w:val="auto"/>
                <w:w w:val="99"/>
              </w:rPr>
              <w:t>—</w:t>
            </w:r>
          </w:p>
        </w:tc>
      </w:tr>
      <w:tr>
        <w:trPr>
          <w:trHeight w:val="244"/>
        </w:trPr>
        <w:tc>
          <w:tcPr>
            <w:tcW w:w="2680" w:type="dxa"/>
            <w:vAlign w:val="bottom"/>
            <w:shd w:val="clear" w:color="auto" w:fill="CDDAE6"/>
          </w:tcPr>
          <w:p>
            <w:pPr>
              <w:spacing w:after="0"/>
              <w:rPr>
                <w:sz w:val="21"/>
                <w:szCs w:val="21"/>
                <w:color w:val="auto"/>
              </w:rPr>
            </w:pPr>
          </w:p>
        </w:tc>
        <w:tc>
          <w:tcPr>
            <w:tcW w:w="80" w:type="dxa"/>
            <w:vAlign w:val="bottom"/>
            <w:shd w:val="clear" w:color="auto" w:fill="CDDAE6"/>
          </w:tcPr>
          <w:p>
            <w:pPr>
              <w:spacing w:after="0"/>
              <w:rPr>
                <w:sz w:val="21"/>
                <w:szCs w:val="21"/>
                <w:color w:val="auto"/>
              </w:rPr>
            </w:pPr>
          </w:p>
        </w:tc>
        <w:tc>
          <w:tcPr>
            <w:tcW w:w="3080" w:type="dxa"/>
            <w:vAlign w:val="bottom"/>
            <w:gridSpan w:val="2"/>
            <w:shd w:val="clear" w:color="auto" w:fill="CDDAE6"/>
          </w:tcPr>
          <w:p>
            <w:pPr>
              <w:ind w:left="40"/>
              <w:spacing w:after="0"/>
              <w:rPr>
                <w:sz w:val="20"/>
                <w:szCs w:val="20"/>
                <w:color w:val="auto"/>
              </w:rPr>
            </w:pPr>
            <w:r>
              <w:rPr>
                <w:rFonts w:ascii="Arial" w:cs="Arial" w:eastAsia="Arial" w:hAnsi="Arial"/>
                <w:sz w:val="18"/>
                <w:szCs w:val="18"/>
                <w:color w:val="auto"/>
                <w:w w:val="92"/>
              </w:rPr>
              <w:t>Supplemental Executive Retirement Plan</w:t>
            </w:r>
          </w:p>
        </w:tc>
        <w:tc>
          <w:tcPr>
            <w:tcW w:w="1260" w:type="dxa"/>
            <w:vAlign w:val="bottom"/>
            <w:shd w:val="clear" w:color="auto" w:fill="CDDAE6"/>
          </w:tcPr>
          <w:p>
            <w:pPr>
              <w:spacing w:after="0"/>
              <w:rPr>
                <w:sz w:val="21"/>
                <w:szCs w:val="21"/>
                <w:color w:val="auto"/>
              </w:rPr>
            </w:pPr>
          </w:p>
        </w:tc>
        <w:tc>
          <w:tcPr>
            <w:tcW w:w="1220" w:type="dxa"/>
            <w:vAlign w:val="bottom"/>
            <w:shd w:val="clear" w:color="auto" w:fill="CDDAE6"/>
          </w:tcPr>
          <w:p>
            <w:pPr>
              <w:spacing w:after="0"/>
              <w:rPr>
                <w:sz w:val="21"/>
                <w:szCs w:val="21"/>
                <w:color w:val="auto"/>
              </w:rPr>
            </w:pPr>
          </w:p>
        </w:tc>
        <w:tc>
          <w:tcPr>
            <w:tcW w:w="1240" w:type="dxa"/>
            <w:vAlign w:val="bottom"/>
            <w:shd w:val="clear" w:color="auto" w:fill="CDDAE6"/>
          </w:tcPr>
          <w:p>
            <w:pPr>
              <w:spacing w:after="0"/>
              <w:rPr>
                <w:sz w:val="21"/>
                <w:szCs w:val="21"/>
                <w:color w:val="auto"/>
              </w:rPr>
            </w:pPr>
          </w:p>
        </w:tc>
      </w:tr>
      <w:tr>
        <w:trPr>
          <w:trHeight w:val="216"/>
        </w:trPr>
        <w:tc>
          <w:tcPr>
            <w:tcW w:w="27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Curtis Brunson</w:t>
            </w:r>
            <w:r>
              <w:rPr>
                <w:rFonts w:ascii="Arial" w:cs="Arial" w:eastAsia="Arial" w:hAnsi="Arial"/>
                <w:sz w:val="25"/>
                <w:szCs w:val="25"/>
                <w:color w:val="auto"/>
                <w:vertAlign w:val="superscript"/>
              </w:rPr>
              <w:t>(7)</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L3</w:t>
            </w:r>
          </w:p>
        </w:tc>
        <w:tc>
          <w:tcPr>
            <w:tcW w:w="2820" w:type="dxa"/>
            <w:vAlign w:val="bottom"/>
          </w:tcPr>
          <w:p>
            <w:pPr>
              <w:ind w:left="20"/>
              <w:spacing w:after="0"/>
              <w:rPr>
                <w:sz w:val="20"/>
                <w:szCs w:val="20"/>
                <w:color w:val="auto"/>
              </w:rPr>
            </w:pPr>
            <w:r>
              <w:rPr>
                <w:rFonts w:ascii="Arial" w:cs="Arial" w:eastAsia="Arial" w:hAnsi="Arial"/>
                <w:sz w:val="18"/>
                <w:szCs w:val="18"/>
                <w:color w:val="auto"/>
              </w:rPr>
              <w:t>Communication</w:t>
            </w:r>
          </w:p>
        </w:tc>
        <w:tc>
          <w:tcPr>
            <w:tcW w:w="1260" w:type="dxa"/>
            <w:vAlign w:val="bottom"/>
          </w:tcPr>
          <w:p>
            <w:pPr>
              <w:jc w:val="right"/>
              <w:spacing w:after="0" w:line="216" w:lineRule="exact"/>
              <w:rPr>
                <w:sz w:val="20"/>
                <w:szCs w:val="20"/>
                <w:color w:val="auto"/>
              </w:rPr>
            </w:pPr>
            <w:r>
              <w:rPr>
                <w:rFonts w:ascii="Arial" w:cs="Arial" w:eastAsia="Arial" w:hAnsi="Arial"/>
                <w:sz w:val="16"/>
                <w:szCs w:val="16"/>
                <w:color w:val="auto"/>
              </w:rPr>
              <w:t>31.58</w:t>
            </w:r>
            <w:r>
              <w:rPr>
                <w:rFonts w:ascii="Arial" w:cs="Arial" w:eastAsia="Arial" w:hAnsi="Arial"/>
                <w:sz w:val="25"/>
                <w:szCs w:val="25"/>
                <w:color w:val="auto"/>
                <w:vertAlign w:val="superscript"/>
              </w:rPr>
              <w:t>(3)</w:t>
            </w:r>
          </w:p>
        </w:tc>
        <w:tc>
          <w:tcPr>
            <w:tcW w:w="1220" w:type="dxa"/>
            <w:vAlign w:val="bottom"/>
          </w:tcPr>
          <w:p>
            <w:pPr>
              <w:jc w:val="right"/>
              <w:spacing w:after="0" w:line="216" w:lineRule="exact"/>
              <w:rPr>
                <w:sz w:val="20"/>
                <w:szCs w:val="20"/>
                <w:color w:val="auto"/>
              </w:rPr>
            </w:pPr>
            <w:r>
              <w:rPr>
                <w:rFonts w:ascii="Arial" w:cs="Arial" w:eastAsia="Arial" w:hAnsi="Arial"/>
                <w:sz w:val="16"/>
                <w:szCs w:val="16"/>
                <w:color w:val="auto"/>
              </w:rPr>
              <w:t>556,148</w:t>
            </w:r>
            <w:r>
              <w:rPr>
                <w:rFonts w:ascii="Arial" w:cs="Arial" w:eastAsia="Arial" w:hAnsi="Arial"/>
                <w:sz w:val="25"/>
                <w:szCs w:val="25"/>
                <w:color w:val="auto"/>
                <w:vertAlign w:val="superscript"/>
              </w:rPr>
              <w:t>(8)</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5"/>
        </w:trPr>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Systems – West</w:t>
            </w: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7"/>
        </w:trPr>
        <w:tc>
          <w:tcPr>
            <w:tcW w:w="2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Retirement Plan</w:t>
            </w: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3"/>
        </w:trPr>
        <w:tc>
          <w:tcPr>
            <w:tcW w:w="2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shd w:val="clear" w:color="auto" w:fill="CDDAE6"/>
          </w:tcPr>
          <w:p>
            <w:pPr>
              <w:ind w:left="40"/>
              <w:spacing w:after="0"/>
              <w:rPr>
                <w:sz w:val="20"/>
                <w:szCs w:val="20"/>
                <w:color w:val="auto"/>
              </w:rPr>
            </w:pPr>
            <w:r>
              <w:rPr>
                <w:rFonts w:ascii="Arial" w:cs="Arial" w:eastAsia="Arial" w:hAnsi="Arial"/>
                <w:sz w:val="18"/>
                <w:szCs w:val="18"/>
                <w:color w:val="auto"/>
                <w:w w:val="99"/>
              </w:rPr>
              <w:t>L3</w:t>
            </w:r>
          </w:p>
        </w:tc>
        <w:tc>
          <w:tcPr>
            <w:tcW w:w="2820" w:type="dxa"/>
            <w:vAlign w:val="bottom"/>
            <w:shd w:val="clear" w:color="auto" w:fill="CDDAE6"/>
          </w:tcPr>
          <w:p>
            <w:pPr>
              <w:ind w:left="20"/>
              <w:spacing w:after="0"/>
              <w:rPr>
                <w:sz w:val="20"/>
                <w:szCs w:val="20"/>
                <w:color w:val="auto"/>
              </w:rPr>
            </w:pPr>
            <w:r>
              <w:rPr>
                <w:rFonts w:ascii="Arial" w:cs="Arial" w:eastAsia="Arial" w:hAnsi="Arial"/>
                <w:sz w:val="18"/>
                <w:szCs w:val="18"/>
                <w:color w:val="auto"/>
              </w:rPr>
              <w:t>Technologies, Inc.</w:t>
            </w:r>
          </w:p>
        </w:tc>
        <w:tc>
          <w:tcPr>
            <w:tcW w:w="1260" w:type="dxa"/>
            <w:vAlign w:val="bottom"/>
            <w:shd w:val="clear" w:color="auto" w:fill="CDDAE6"/>
          </w:tcPr>
          <w:p>
            <w:pPr>
              <w:jc w:val="right"/>
              <w:ind w:right="155"/>
              <w:spacing w:after="0"/>
              <w:rPr>
                <w:sz w:val="20"/>
                <w:szCs w:val="20"/>
                <w:color w:val="auto"/>
              </w:rPr>
            </w:pPr>
            <w:r>
              <w:rPr>
                <w:rFonts w:ascii="Arial" w:cs="Arial" w:eastAsia="Arial" w:hAnsi="Arial"/>
                <w:sz w:val="18"/>
                <w:szCs w:val="18"/>
                <w:color w:val="auto"/>
              </w:rPr>
              <w:t>9.92</w:t>
            </w:r>
          </w:p>
        </w:tc>
        <w:tc>
          <w:tcPr>
            <w:tcW w:w="1220" w:type="dxa"/>
            <w:vAlign w:val="bottom"/>
            <w:shd w:val="clear" w:color="auto" w:fill="CDDAE6"/>
          </w:tcPr>
          <w:p>
            <w:pPr>
              <w:jc w:val="right"/>
              <w:ind w:right="137"/>
              <w:spacing w:after="0"/>
              <w:rPr>
                <w:sz w:val="20"/>
                <w:szCs w:val="20"/>
                <w:color w:val="auto"/>
              </w:rPr>
            </w:pPr>
            <w:r>
              <w:rPr>
                <w:rFonts w:ascii="Arial" w:cs="Arial" w:eastAsia="Arial" w:hAnsi="Arial"/>
                <w:sz w:val="18"/>
                <w:szCs w:val="18"/>
                <w:color w:val="auto"/>
              </w:rPr>
              <w:t>494,155</w:t>
            </w:r>
          </w:p>
        </w:tc>
        <w:tc>
          <w:tcPr>
            <w:tcW w:w="1240" w:type="dxa"/>
            <w:vAlign w:val="bottom"/>
            <w:shd w:val="clear" w:color="auto" w:fill="CDDAE6"/>
          </w:tcPr>
          <w:p>
            <w:pPr>
              <w:jc w:val="center"/>
              <w:spacing w:after="0"/>
              <w:rPr>
                <w:sz w:val="20"/>
                <w:szCs w:val="20"/>
                <w:color w:val="auto"/>
              </w:rPr>
            </w:pPr>
            <w:r>
              <w:rPr>
                <w:rFonts w:ascii="Arial" w:cs="Arial" w:eastAsia="Arial" w:hAnsi="Arial"/>
                <w:sz w:val="18"/>
                <w:szCs w:val="18"/>
                <w:color w:val="auto"/>
                <w:w w:val="99"/>
              </w:rPr>
              <w:t>—</w:t>
            </w:r>
          </w:p>
        </w:tc>
      </w:tr>
      <w:tr>
        <w:trPr>
          <w:trHeight w:val="244"/>
        </w:trPr>
        <w:tc>
          <w:tcPr>
            <w:tcW w:w="2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80" w:type="dxa"/>
            <w:vAlign w:val="bottom"/>
            <w:gridSpan w:val="2"/>
            <w:shd w:val="clear" w:color="auto" w:fill="CDDAE6"/>
          </w:tcPr>
          <w:p>
            <w:pPr>
              <w:ind w:left="40"/>
              <w:spacing w:after="0"/>
              <w:rPr>
                <w:sz w:val="20"/>
                <w:szCs w:val="20"/>
                <w:color w:val="auto"/>
              </w:rPr>
            </w:pPr>
            <w:r>
              <w:rPr>
                <w:rFonts w:ascii="Arial" w:cs="Arial" w:eastAsia="Arial" w:hAnsi="Arial"/>
                <w:sz w:val="18"/>
                <w:szCs w:val="18"/>
                <w:color w:val="auto"/>
              </w:rPr>
              <w:t>Pension Plan</w:t>
            </w:r>
          </w:p>
        </w:tc>
        <w:tc>
          <w:tcPr>
            <w:tcW w:w="1260" w:type="dxa"/>
            <w:vAlign w:val="bottom"/>
            <w:shd w:val="clear" w:color="auto" w:fill="CDDAE6"/>
          </w:tcPr>
          <w:p>
            <w:pPr>
              <w:spacing w:after="0"/>
              <w:rPr>
                <w:sz w:val="21"/>
                <w:szCs w:val="21"/>
                <w:color w:val="auto"/>
              </w:rPr>
            </w:pPr>
          </w:p>
        </w:tc>
        <w:tc>
          <w:tcPr>
            <w:tcW w:w="1220" w:type="dxa"/>
            <w:vAlign w:val="bottom"/>
            <w:shd w:val="clear" w:color="auto" w:fill="CDDAE6"/>
          </w:tcPr>
          <w:p>
            <w:pPr>
              <w:spacing w:after="0"/>
              <w:rPr>
                <w:sz w:val="21"/>
                <w:szCs w:val="21"/>
                <w:color w:val="auto"/>
              </w:rPr>
            </w:pPr>
          </w:p>
        </w:tc>
        <w:tc>
          <w:tcPr>
            <w:tcW w:w="1240" w:type="dxa"/>
            <w:vAlign w:val="bottom"/>
            <w:shd w:val="clear" w:color="auto" w:fill="CDDAE6"/>
          </w:tcPr>
          <w:p>
            <w:pPr>
              <w:spacing w:after="0"/>
              <w:rPr>
                <w:sz w:val="21"/>
                <w:szCs w:val="21"/>
                <w:color w:val="auto"/>
              </w:rPr>
            </w:pPr>
          </w:p>
        </w:tc>
      </w:tr>
      <w:tr>
        <w:trPr>
          <w:trHeight w:val="256"/>
        </w:trPr>
        <w:tc>
          <w:tcPr>
            <w:tcW w:w="2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99"/>
              </w:rPr>
              <w:t>L3</w:t>
            </w:r>
          </w:p>
        </w:tc>
        <w:tc>
          <w:tcPr>
            <w:tcW w:w="2820" w:type="dxa"/>
            <w:vAlign w:val="bottom"/>
          </w:tcPr>
          <w:p>
            <w:pPr>
              <w:ind w:left="20"/>
              <w:spacing w:after="0"/>
              <w:rPr>
                <w:sz w:val="20"/>
                <w:szCs w:val="20"/>
                <w:color w:val="auto"/>
              </w:rPr>
            </w:pPr>
            <w:r>
              <w:rPr>
                <w:rFonts w:ascii="Arial" w:cs="Arial" w:eastAsia="Arial" w:hAnsi="Arial"/>
                <w:sz w:val="18"/>
                <w:szCs w:val="18"/>
                <w:color w:val="auto"/>
              </w:rPr>
              <w:t>Technologies, Inc.</w:t>
            </w:r>
          </w:p>
        </w:tc>
        <w:tc>
          <w:tcPr>
            <w:tcW w:w="1260" w:type="dxa"/>
            <w:vAlign w:val="bottom"/>
          </w:tcPr>
          <w:p>
            <w:pPr>
              <w:jc w:val="right"/>
              <w:spacing w:after="0" w:line="256" w:lineRule="exact"/>
              <w:rPr>
                <w:sz w:val="20"/>
                <w:szCs w:val="20"/>
                <w:color w:val="auto"/>
              </w:rPr>
            </w:pPr>
            <w:r>
              <w:rPr>
                <w:rFonts w:ascii="Arial" w:cs="Arial" w:eastAsia="Arial" w:hAnsi="Arial"/>
                <w:sz w:val="18"/>
                <w:szCs w:val="18"/>
                <w:color w:val="auto"/>
              </w:rPr>
              <w:t>41.50</w:t>
            </w:r>
            <w:r>
              <w:rPr>
                <w:rFonts w:ascii="Arial" w:cs="Arial" w:eastAsia="Arial" w:hAnsi="Arial"/>
                <w:sz w:val="29"/>
                <w:szCs w:val="29"/>
                <w:color w:val="auto"/>
                <w:vertAlign w:val="superscript"/>
              </w:rPr>
              <w:t>(3)</w:t>
            </w:r>
          </w:p>
        </w:tc>
        <w:tc>
          <w:tcPr>
            <w:tcW w:w="1220" w:type="dxa"/>
            <w:vAlign w:val="bottom"/>
          </w:tcPr>
          <w:p>
            <w:pPr>
              <w:jc w:val="right"/>
              <w:spacing w:after="0" w:line="256" w:lineRule="exact"/>
              <w:rPr>
                <w:sz w:val="20"/>
                <w:szCs w:val="20"/>
                <w:color w:val="auto"/>
              </w:rPr>
            </w:pPr>
            <w:r>
              <w:rPr>
                <w:rFonts w:ascii="Arial" w:cs="Arial" w:eastAsia="Arial" w:hAnsi="Arial"/>
                <w:sz w:val="18"/>
                <w:szCs w:val="18"/>
                <w:color w:val="auto"/>
              </w:rPr>
              <w:t>2,449,154</w:t>
            </w:r>
            <w:r>
              <w:rPr>
                <w:rFonts w:ascii="Arial" w:cs="Arial" w:eastAsia="Arial" w:hAnsi="Arial"/>
                <w:sz w:val="29"/>
                <w:szCs w:val="29"/>
                <w:color w:val="auto"/>
                <w:vertAlign w:val="superscript"/>
              </w:rPr>
              <w:t>(8)</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2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w w:val="92"/>
              </w:rPr>
              <w:t>Supplemental Executive Retirement Plan</w:t>
            </w: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3"/>
        </w:trPr>
        <w:tc>
          <w:tcPr>
            <w:tcW w:w="2760" w:type="dxa"/>
            <w:vAlign w:val="bottom"/>
            <w:gridSpan w:val="2"/>
            <w:shd w:val="clear" w:color="auto" w:fill="CDDAE6"/>
          </w:tcPr>
          <w:p>
            <w:pPr>
              <w:ind w:left="20"/>
              <w:spacing w:after="0" w:line="262" w:lineRule="exact"/>
              <w:rPr>
                <w:sz w:val="20"/>
                <w:szCs w:val="20"/>
                <w:color w:val="auto"/>
              </w:rPr>
            </w:pPr>
            <w:r>
              <w:rPr>
                <w:rFonts w:ascii="Arial" w:cs="Arial" w:eastAsia="Arial" w:hAnsi="Arial"/>
                <w:sz w:val="18"/>
                <w:szCs w:val="18"/>
                <w:color w:val="auto"/>
              </w:rPr>
              <w:t>Steve Kantor</w:t>
            </w:r>
            <w:r>
              <w:rPr>
                <w:rFonts w:ascii="Arial" w:cs="Arial" w:eastAsia="Arial" w:hAnsi="Arial"/>
                <w:sz w:val="29"/>
                <w:szCs w:val="29"/>
                <w:color w:val="auto"/>
                <w:vertAlign w:val="superscript"/>
              </w:rPr>
              <w:t>(7)</w:t>
            </w:r>
          </w:p>
        </w:tc>
        <w:tc>
          <w:tcPr>
            <w:tcW w:w="260" w:type="dxa"/>
            <w:vAlign w:val="bottom"/>
            <w:shd w:val="clear" w:color="auto" w:fill="CDDAE6"/>
          </w:tcPr>
          <w:p>
            <w:pPr>
              <w:ind w:left="40"/>
              <w:spacing w:after="0"/>
              <w:rPr>
                <w:sz w:val="20"/>
                <w:szCs w:val="20"/>
                <w:color w:val="auto"/>
              </w:rPr>
            </w:pPr>
            <w:r>
              <w:rPr>
                <w:rFonts w:ascii="Arial" w:cs="Arial" w:eastAsia="Arial" w:hAnsi="Arial"/>
                <w:sz w:val="18"/>
                <w:szCs w:val="18"/>
                <w:color w:val="auto"/>
                <w:w w:val="99"/>
              </w:rPr>
              <w:t>L3</w:t>
            </w:r>
          </w:p>
        </w:tc>
        <w:tc>
          <w:tcPr>
            <w:tcW w:w="2820" w:type="dxa"/>
            <w:vAlign w:val="bottom"/>
            <w:shd w:val="clear" w:color="auto" w:fill="CDDAE6"/>
          </w:tcPr>
          <w:p>
            <w:pPr>
              <w:ind w:left="20"/>
              <w:spacing w:after="0"/>
              <w:rPr>
                <w:sz w:val="20"/>
                <w:szCs w:val="20"/>
                <w:color w:val="auto"/>
              </w:rPr>
            </w:pPr>
            <w:r>
              <w:rPr>
                <w:rFonts w:ascii="Arial" w:cs="Arial" w:eastAsia="Arial" w:hAnsi="Arial"/>
                <w:sz w:val="18"/>
                <w:szCs w:val="18"/>
                <w:color w:val="auto"/>
              </w:rPr>
              <w:t>Technologies, Inc.</w:t>
            </w:r>
          </w:p>
        </w:tc>
        <w:tc>
          <w:tcPr>
            <w:tcW w:w="1260" w:type="dxa"/>
            <w:vAlign w:val="bottom"/>
            <w:shd w:val="clear" w:color="auto" w:fill="CDDAE6"/>
          </w:tcPr>
          <w:p>
            <w:pPr>
              <w:jc w:val="right"/>
              <w:ind w:right="155"/>
              <w:spacing w:after="0"/>
              <w:rPr>
                <w:sz w:val="20"/>
                <w:szCs w:val="20"/>
                <w:color w:val="auto"/>
              </w:rPr>
            </w:pPr>
            <w:r>
              <w:rPr>
                <w:rFonts w:ascii="Arial" w:cs="Arial" w:eastAsia="Arial" w:hAnsi="Arial"/>
                <w:sz w:val="18"/>
                <w:szCs w:val="18"/>
                <w:color w:val="auto"/>
              </w:rPr>
              <w:t>14.00</w:t>
            </w:r>
          </w:p>
        </w:tc>
        <w:tc>
          <w:tcPr>
            <w:tcW w:w="1220" w:type="dxa"/>
            <w:vAlign w:val="bottom"/>
            <w:shd w:val="clear" w:color="auto" w:fill="CDDAE6"/>
          </w:tcPr>
          <w:p>
            <w:pPr>
              <w:jc w:val="right"/>
              <w:ind w:right="137"/>
              <w:spacing w:after="0"/>
              <w:rPr>
                <w:sz w:val="20"/>
                <w:szCs w:val="20"/>
                <w:color w:val="auto"/>
              </w:rPr>
            </w:pPr>
            <w:r>
              <w:rPr>
                <w:rFonts w:ascii="Arial" w:cs="Arial" w:eastAsia="Arial" w:hAnsi="Arial"/>
                <w:sz w:val="18"/>
                <w:szCs w:val="18"/>
                <w:color w:val="auto"/>
              </w:rPr>
              <w:t>672,571</w:t>
            </w:r>
          </w:p>
        </w:tc>
        <w:tc>
          <w:tcPr>
            <w:tcW w:w="1240" w:type="dxa"/>
            <w:vAlign w:val="bottom"/>
            <w:shd w:val="clear" w:color="auto" w:fill="CDDAE6"/>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2680" w:type="dxa"/>
            <w:vAlign w:val="bottom"/>
            <w:shd w:val="clear" w:color="auto" w:fill="CDDAE6"/>
          </w:tcPr>
          <w:p>
            <w:pPr>
              <w:spacing w:after="0"/>
              <w:rPr>
                <w:sz w:val="20"/>
                <w:szCs w:val="20"/>
                <w:color w:val="auto"/>
              </w:rPr>
            </w:pPr>
          </w:p>
        </w:tc>
        <w:tc>
          <w:tcPr>
            <w:tcW w:w="80" w:type="dxa"/>
            <w:vAlign w:val="bottom"/>
            <w:shd w:val="clear" w:color="auto" w:fill="CDDAE6"/>
          </w:tcPr>
          <w:p>
            <w:pPr>
              <w:spacing w:after="0"/>
              <w:rPr>
                <w:sz w:val="20"/>
                <w:szCs w:val="20"/>
                <w:color w:val="auto"/>
              </w:rPr>
            </w:pPr>
          </w:p>
        </w:tc>
        <w:tc>
          <w:tcPr>
            <w:tcW w:w="3080" w:type="dxa"/>
            <w:vAlign w:val="bottom"/>
            <w:gridSpan w:val="2"/>
            <w:shd w:val="clear" w:color="auto" w:fill="CDDAE6"/>
          </w:tcPr>
          <w:p>
            <w:pPr>
              <w:ind w:left="40"/>
              <w:spacing w:after="0"/>
              <w:rPr>
                <w:sz w:val="20"/>
                <w:szCs w:val="20"/>
                <w:color w:val="auto"/>
              </w:rPr>
            </w:pPr>
            <w:r>
              <w:rPr>
                <w:rFonts w:ascii="Arial" w:cs="Arial" w:eastAsia="Arial" w:hAnsi="Arial"/>
                <w:sz w:val="18"/>
                <w:szCs w:val="18"/>
                <w:color w:val="auto"/>
              </w:rPr>
              <w:t>Pension Plan</w:t>
            </w:r>
          </w:p>
        </w:tc>
        <w:tc>
          <w:tcPr>
            <w:tcW w:w="1260" w:type="dxa"/>
            <w:vAlign w:val="bottom"/>
            <w:shd w:val="clear" w:color="auto" w:fill="CDDAE6"/>
          </w:tcPr>
          <w:p>
            <w:pPr>
              <w:spacing w:after="0"/>
              <w:rPr>
                <w:sz w:val="20"/>
                <w:szCs w:val="20"/>
                <w:color w:val="auto"/>
              </w:rPr>
            </w:pPr>
          </w:p>
        </w:tc>
        <w:tc>
          <w:tcPr>
            <w:tcW w:w="1220" w:type="dxa"/>
            <w:vAlign w:val="bottom"/>
            <w:shd w:val="clear" w:color="auto" w:fill="CDDAE6"/>
          </w:tcPr>
          <w:p>
            <w:pPr>
              <w:spacing w:after="0"/>
              <w:rPr>
                <w:sz w:val="20"/>
                <w:szCs w:val="20"/>
                <w:color w:val="auto"/>
              </w:rPr>
            </w:pPr>
          </w:p>
        </w:tc>
        <w:tc>
          <w:tcPr>
            <w:tcW w:w="1240" w:type="dxa"/>
            <w:vAlign w:val="bottom"/>
            <w:shd w:val="clear" w:color="auto" w:fill="CDDAE6"/>
          </w:tcPr>
          <w:p>
            <w:pPr>
              <w:spacing w:after="0"/>
              <w:rPr>
                <w:sz w:val="20"/>
                <w:szCs w:val="20"/>
                <w:color w:val="auto"/>
              </w:rPr>
            </w:pPr>
          </w:p>
        </w:tc>
      </w:tr>
      <w:tr>
        <w:trPr>
          <w:trHeight w:val="269"/>
        </w:trPr>
        <w:tc>
          <w:tcPr>
            <w:tcW w:w="2680" w:type="dxa"/>
            <w:vAlign w:val="bottom"/>
            <w:shd w:val="clear" w:color="auto" w:fill="CDDAE6"/>
          </w:tcPr>
          <w:p>
            <w:pPr>
              <w:spacing w:after="0"/>
              <w:rPr>
                <w:sz w:val="23"/>
                <w:szCs w:val="23"/>
                <w:color w:val="auto"/>
              </w:rPr>
            </w:pPr>
          </w:p>
        </w:tc>
        <w:tc>
          <w:tcPr>
            <w:tcW w:w="80" w:type="dxa"/>
            <w:vAlign w:val="bottom"/>
            <w:shd w:val="clear" w:color="auto" w:fill="CDDAE6"/>
          </w:tcPr>
          <w:p>
            <w:pPr>
              <w:spacing w:after="0"/>
              <w:rPr>
                <w:sz w:val="23"/>
                <w:szCs w:val="23"/>
                <w:color w:val="auto"/>
              </w:rPr>
            </w:pPr>
          </w:p>
        </w:tc>
        <w:tc>
          <w:tcPr>
            <w:tcW w:w="260" w:type="dxa"/>
            <w:vAlign w:val="bottom"/>
            <w:shd w:val="clear" w:color="auto" w:fill="CDDAE6"/>
          </w:tcPr>
          <w:p>
            <w:pPr>
              <w:ind w:left="40"/>
              <w:spacing w:after="0"/>
              <w:rPr>
                <w:sz w:val="20"/>
                <w:szCs w:val="20"/>
                <w:color w:val="auto"/>
              </w:rPr>
            </w:pPr>
            <w:r>
              <w:rPr>
                <w:rFonts w:ascii="Arial" w:cs="Arial" w:eastAsia="Arial" w:hAnsi="Arial"/>
                <w:sz w:val="18"/>
                <w:szCs w:val="18"/>
                <w:color w:val="auto"/>
                <w:w w:val="99"/>
              </w:rPr>
              <w:t>L3</w:t>
            </w:r>
          </w:p>
        </w:tc>
        <w:tc>
          <w:tcPr>
            <w:tcW w:w="2820" w:type="dxa"/>
            <w:vAlign w:val="bottom"/>
            <w:shd w:val="clear" w:color="auto" w:fill="CDDAE6"/>
          </w:tcPr>
          <w:p>
            <w:pPr>
              <w:ind w:left="20"/>
              <w:spacing w:after="0"/>
              <w:rPr>
                <w:sz w:val="20"/>
                <w:szCs w:val="20"/>
                <w:color w:val="auto"/>
              </w:rPr>
            </w:pPr>
            <w:r>
              <w:rPr>
                <w:rFonts w:ascii="Arial" w:cs="Arial" w:eastAsia="Arial" w:hAnsi="Arial"/>
                <w:sz w:val="18"/>
                <w:szCs w:val="18"/>
                <w:color w:val="auto"/>
              </w:rPr>
              <w:t>Technologies, Inc.</w:t>
            </w:r>
          </w:p>
        </w:tc>
        <w:tc>
          <w:tcPr>
            <w:tcW w:w="1260" w:type="dxa"/>
            <w:vAlign w:val="bottom"/>
            <w:shd w:val="clear" w:color="auto" w:fill="CDDAE6"/>
          </w:tcPr>
          <w:p>
            <w:pPr>
              <w:jc w:val="right"/>
              <w:ind w:right="155"/>
              <w:spacing w:after="0"/>
              <w:rPr>
                <w:sz w:val="20"/>
                <w:szCs w:val="20"/>
                <w:color w:val="auto"/>
              </w:rPr>
            </w:pPr>
            <w:r>
              <w:rPr>
                <w:rFonts w:ascii="Arial" w:cs="Arial" w:eastAsia="Arial" w:hAnsi="Arial"/>
                <w:sz w:val="18"/>
                <w:szCs w:val="18"/>
                <w:color w:val="auto"/>
              </w:rPr>
              <w:t>14.00</w:t>
            </w:r>
          </w:p>
        </w:tc>
        <w:tc>
          <w:tcPr>
            <w:tcW w:w="1220" w:type="dxa"/>
            <w:vAlign w:val="bottom"/>
            <w:shd w:val="clear" w:color="auto" w:fill="CDDAE6"/>
          </w:tcPr>
          <w:p>
            <w:pPr>
              <w:jc w:val="right"/>
              <w:ind w:right="137"/>
              <w:spacing w:after="0"/>
              <w:rPr>
                <w:sz w:val="20"/>
                <w:szCs w:val="20"/>
                <w:color w:val="auto"/>
              </w:rPr>
            </w:pPr>
            <w:r>
              <w:rPr>
                <w:rFonts w:ascii="Arial" w:cs="Arial" w:eastAsia="Arial" w:hAnsi="Arial"/>
                <w:sz w:val="18"/>
                <w:szCs w:val="18"/>
                <w:color w:val="auto"/>
              </w:rPr>
              <w:t>3,220,557</w:t>
            </w:r>
          </w:p>
        </w:tc>
        <w:tc>
          <w:tcPr>
            <w:tcW w:w="1240" w:type="dxa"/>
            <w:vAlign w:val="bottom"/>
            <w:shd w:val="clear" w:color="auto" w:fill="CDDAE6"/>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2680" w:type="dxa"/>
            <w:vAlign w:val="bottom"/>
            <w:tcBorders>
              <w:bottom w:val="single" w:sz="8" w:color="005C7D"/>
            </w:tcBorders>
            <w:shd w:val="clear" w:color="auto" w:fill="CDDAE6"/>
          </w:tcPr>
          <w:p>
            <w:pPr>
              <w:spacing w:after="0"/>
              <w:rPr>
                <w:sz w:val="20"/>
                <w:szCs w:val="20"/>
                <w:color w:val="auto"/>
              </w:rPr>
            </w:pPr>
          </w:p>
        </w:tc>
        <w:tc>
          <w:tcPr>
            <w:tcW w:w="80" w:type="dxa"/>
            <w:vAlign w:val="bottom"/>
            <w:tcBorders>
              <w:bottom w:val="single" w:sz="8" w:color="005C7D"/>
            </w:tcBorders>
            <w:shd w:val="clear" w:color="auto" w:fill="CDDAE6"/>
          </w:tcPr>
          <w:p>
            <w:pPr>
              <w:spacing w:after="0"/>
              <w:rPr>
                <w:sz w:val="20"/>
                <w:szCs w:val="20"/>
                <w:color w:val="auto"/>
              </w:rPr>
            </w:pPr>
          </w:p>
        </w:tc>
        <w:tc>
          <w:tcPr>
            <w:tcW w:w="3080" w:type="dxa"/>
            <w:vAlign w:val="bottom"/>
            <w:tcBorders>
              <w:bottom w:val="single" w:sz="8" w:color="005C7D"/>
            </w:tcBorders>
            <w:gridSpan w:val="2"/>
            <w:shd w:val="clear" w:color="auto" w:fill="CDDAE6"/>
          </w:tcPr>
          <w:p>
            <w:pPr>
              <w:ind w:left="40"/>
              <w:spacing w:after="0"/>
              <w:rPr>
                <w:sz w:val="20"/>
                <w:szCs w:val="20"/>
                <w:color w:val="auto"/>
              </w:rPr>
            </w:pPr>
            <w:r>
              <w:rPr>
                <w:rFonts w:ascii="Arial" w:cs="Arial" w:eastAsia="Arial" w:hAnsi="Arial"/>
                <w:sz w:val="18"/>
                <w:szCs w:val="18"/>
                <w:color w:val="auto"/>
                <w:w w:val="92"/>
              </w:rPr>
              <w:t>Supplemental Executive Retirement Plan</w:t>
            </w:r>
          </w:p>
        </w:tc>
        <w:tc>
          <w:tcPr>
            <w:tcW w:w="1260" w:type="dxa"/>
            <w:vAlign w:val="bottom"/>
            <w:tcBorders>
              <w:bottom w:val="single" w:sz="8" w:color="005C7D"/>
            </w:tcBorders>
            <w:shd w:val="clear" w:color="auto" w:fill="CDDAE6"/>
          </w:tcPr>
          <w:p>
            <w:pPr>
              <w:spacing w:after="0"/>
              <w:rPr>
                <w:sz w:val="20"/>
                <w:szCs w:val="20"/>
                <w:color w:val="auto"/>
              </w:rPr>
            </w:pPr>
          </w:p>
        </w:tc>
        <w:tc>
          <w:tcPr>
            <w:tcW w:w="1220" w:type="dxa"/>
            <w:vAlign w:val="bottom"/>
            <w:tcBorders>
              <w:bottom w:val="single" w:sz="8" w:color="005C7D"/>
            </w:tcBorders>
            <w:shd w:val="clear" w:color="auto" w:fill="CDDAE6"/>
          </w:tcPr>
          <w:p>
            <w:pPr>
              <w:spacing w:after="0"/>
              <w:rPr>
                <w:sz w:val="20"/>
                <w:szCs w:val="20"/>
                <w:color w:val="auto"/>
              </w:rPr>
            </w:pPr>
          </w:p>
        </w:tc>
        <w:tc>
          <w:tcPr>
            <w:tcW w:w="1240" w:type="dxa"/>
            <w:vAlign w:val="bottom"/>
            <w:tcBorders>
              <w:bottom w:val="single" w:sz="8" w:color="005C7D"/>
            </w:tcBorders>
            <w:shd w:val="clear" w:color="auto" w:fill="CDDAE6"/>
          </w:tcPr>
          <w:p>
            <w:pPr>
              <w:spacing w:after="0"/>
              <w:rPr>
                <w:sz w:val="20"/>
                <w:szCs w:val="20"/>
                <w:color w:val="auto"/>
              </w:rPr>
            </w:pPr>
          </w:p>
        </w:tc>
      </w:tr>
      <w:tr>
        <w:trPr>
          <w:trHeight w:val="176"/>
        </w:trPr>
        <w:tc>
          <w:tcPr>
            <w:tcW w:w="2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-2640965</wp:posOffset>
            </wp:positionV>
            <wp:extent cx="6071870" cy="1803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71870" cy="18034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-1397000</wp:posOffset>
            </wp:positionV>
            <wp:extent cx="4313555" cy="3175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313555" cy="317500"/>
                    </a:xfrm>
                    <a:prstGeom prst="rect">
                      <a:avLst/>
                    </a:prstGeom>
                    <a:noFill/>
                  </pic:spPr>
                </pic:pic>
              </a:graphicData>
            </a:graphic>
          </wp:anchor>
        </w:drawing>
      </w:r>
    </w:p>
    <w:p>
      <w:pPr>
        <w:spacing w:after="0" w:line="78" w:lineRule="exact"/>
        <w:rPr>
          <w:sz w:val="20"/>
          <w:szCs w:val="20"/>
          <w:color w:val="auto"/>
        </w:rPr>
      </w:pPr>
    </w:p>
    <w:p>
      <w:pPr>
        <w:ind w:left="347" w:right="120" w:hanging="347"/>
        <w:spacing w:after="0" w:line="269" w:lineRule="auto"/>
        <w:tabs>
          <w:tab w:leader="none" w:pos="347"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present values of the accumulated benefits in the table were determined using the same assumptions that were used by L3 as of December 31, 2016 for financial reporting purposes, including an effective discount rate of 4.46% and post-retirement mortality in accordance with the RP-2014 table (adjusted back to 2006) projected generationally with the 2014 Social Security Administration Intermediate-Cost Projections Scale. We used age 65, the normal retirement age under the pension plans and the supplemental executive retirement plan (or current age, if greater), to determine the present value of the accumulated benefits in the table. For the other assumptions used in calculating the present value of the accumulated benefits, see Note 19 to the audited consolidated financial statements included in L3’s 2016 Annual Report on Form 10-K.</w:t>
      </w:r>
    </w:p>
    <w:p>
      <w:pPr>
        <w:spacing w:after="0" w:line="1" w:lineRule="exact"/>
        <w:rPr>
          <w:rFonts w:ascii="Arial" w:cs="Arial" w:eastAsia="Arial" w:hAnsi="Arial"/>
          <w:sz w:val="16"/>
          <w:szCs w:val="16"/>
          <w:color w:val="auto"/>
        </w:rPr>
      </w:pPr>
    </w:p>
    <w:p>
      <w:pPr>
        <w:ind w:left="347" w:hanging="347"/>
        <w:spacing w:after="0"/>
        <w:tabs>
          <w:tab w:leader="none" w:pos="347" w:val="left"/>
        </w:tabs>
        <w:numPr>
          <w:ilvl w:val="0"/>
          <w:numId w:val="79"/>
        </w:numPr>
        <w:rPr>
          <w:rFonts w:ascii="Arial" w:cs="Arial" w:eastAsia="Arial" w:hAnsi="Arial"/>
          <w:sz w:val="16"/>
          <w:szCs w:val="16"/>
          <w:color w:val="auto"/>
        </w:rPr>
      </w:pPr>
      <w:r>
        <w:rPr>
          <w:rFonts w:ascii="Arial" w:cs="Arial" w:eastAsia="Arial" w:hAnsi="Arial"/>
          <w:sz w:val="16"/>
          <w:szCs w:val="16"/>
          <w:color w:val="auto"/>
        </w:rPr>
        <w:t>Mr. Strianese is eligible for early retirement under the retirement plans in which he participates.</w:t>
      </w:r>
    </w:p>
    <w:p>
      <w:pPr>
        <w:spacing w:after="0" w:line="45" w:lineRule="exact"/>
        <w:rPr>
          <w:rFonts w:ascii="Arial" w:cs="Arial" w:eastAsia="Arial" w:hAnsi="Arial"/>
          <w:sz w:val="16"/>
          <w:szCs w:val="16"/>
          <w:color w:val="auto"/>
        </w:rPr>
      </w:pPr>
    </w:p>
    <w:p>
      <w:pPr>
        <w:ind w:left="347" w:right="80" w:hanging="347"/>
        <w:spacing w:after="0" w:line="310" w:lineRule="auto"/>
        <w:tabs>
          <w:tab w:leader="none" w:pos="347" w:val="left"/>
        </w:tabs>
        <w:numPr>
          <w:ilvl w:val="0"/>
          <w:numId w:val="79"/>
        </w:numPr>
        <w:rPr>
          <w:rFonts w:ascii="Arial" w:cs="Arial" w:eastAsia="Arial" w:hAnsi="Arial"/>
          <w:sz w:val="14"/>
          <w:szCs w:val="14"/>
          <w:color w:val="auto"/>
        </w:rPr>
      </w:pPr>
      <w:r>
        <w:rPr>
          <w:rFonts w:ascii="Arial" w:cs="Arial" w:eastAsia="Arial" w:hAnsi="Arial"/>
          <w:sz w:val="14"/>
          <w:szCs w:val="14"/>
          <w:color w:val="auto"/>
        </w:rPr>
        <w:t>L3 was formed in 1997 through the acquisition of ten pre-existing business units from Lockheed Martin Corporation. In connection with the acquisition, L3 hired the employees of these business units and acquired their associated pension plan assets, subject to the obligation to provide these employees with credit for the years of service that they had previously accrued under the pension plans. Accordingly, the years of credited service reflected for Messrs. Strianese and Brunson in the table above include 6.50 and 21.75 years of service, respectively, that had been accrued by them as employees of these business units or their predecessors at the time of L3’s formation.</w:t>
      </w:r>
    </w:p>
    <w:p>
      <w:pPr>
        <w:ind w:left="347" w:right="120" w:hanging="347"/>
        <w:spacing w:after="0" w:line="278" w:lineRule="auto"/>
        <w:tabs>
          <w:tab w:leader="none" w:pos="347"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present value of the benefits reported for Mr. Strianese that are attributable to his years of service to predecessors as described in Note 3 above is $306,716 with respect to the L3 Technologies, Inc. Pension Plan and $4,688,516 with respect to the L3 Technologies, Inc. Supplemental Executive Retirement Plan (the “Restoration SERP”).</w:t>
      </w:r>
    </w:p>
    <w:p>
      <w:pPr>
        <w:spacing w:after="0" w:line="250" w:lineRule="exact"/>
        <w:rPr>
          <w:sz w:val="20"/>
          <w:szCs w:val="20"/>
          <w:color w:val="auto"/>
        </w:rPr>
      </w:pPr>
    </w:p>
    <w:p>
      <w:pPr>
        <w:ind w:left="47"/>
        <w:spacing w:after="0"/>
        <w:tabs>
          <w:tab w:leader="none" w:pos="666" w:val="left"/>
        </w:tabs>
        <w:rPr>
          <w:sz w:val="20"/>
          <w:szCs w:val="20"/>
          <w:color w:val="auto"/>
        </w:rPr>
      </w:pPr>
      <w:r>
        <w:rPr>
          <w:rFonts w:ascii="Arial" w:cs="Arial" w:eastAsia="Arial" w:hAnsi="Arial"/>
          <w:sz w:val="18"/>
          <w:szCs w:val="18"/>
          <w:color w:val="005C7D"/>
        </w:rPr>
        <w:t>70</w:t>
      </w:r>
      <w:r>
        <w:rPr>
          <w:sz w:val="20"/>
          <w:szCs w:val="20"/>
          <w:color w:val="auto"/>
        </w:rPr>
        <w:tab/>
      </w: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382270</wp:posOffset>
            </wp:positionV>
            <wp:extent cx="6071870" cy="4318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-106045</wp:posOffset>
            </wp:positionV>
            <wp:extent cx="154305" cy="1543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76" w:name="page77"/>
    <w:bookmarkEnd w:id="76"/>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5987"/>
        <w:spacing w:after="0"/>
        <w:rPr>
          <w:sz w:val="20"/>
          <w:szCs w:val="20"/>
          <w:color w:val="auto"/>
        </w:rPr>
      </w:pPr>
      <w:r>
        <w:rPr>
          <w:rFonts w:ascii="Arial" w:cs="Arial" w:eastAsia="Arial" w:hAnsi="Arial"/>
          <w:sz w:val="13"/>
          <w:szCs w:val="13"/>
          <w:color w:val="005C7D"/>
        </w:rPr>
        <w:t>TABULAR EXECUTIVE COMPENSATION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607187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18" w:lineRule="exact"/>
        <w:rPr>
          <w:sz w:val="20"/>
          <w:szCs w:val="20"/>
          <w:color w:val="auto"/>
        </w:rPr>
      </w:pPr>
    </w:p>
    <w:p>
      <w:pPr>
        <w:ind w:left="347" w:right="140" w:hanging="347"/>
        <w:spacing w:after="0" w:line="293" w:lineRule="auto"/>
        <w:tabs>
          <w:tab w:leader="none" w:pos="347" w:val="left"/>
        </w:tabs>
        <w:numPr>
          <w:ilvl w:val="0"/>
          <w:numId w:val="80"/>
        </w:numPr>
        <w:rPr>
          <w:rFonts w:ascii="Arial" w:cs="Arial" w:eastAsia="Arial" w:hAnsi="Arial"/>
          <w:sz w:val="16"/>
          <w:szCs w:val="16"/>
          <w:color w:val="auto"/>
        </w:rPr>
      </w:pPr>
      <w:r>
        <w:rPr>
          <w:rFonts w:ascii="Arial" w:cs="Arial" w:eastAsia="Arial" w:hAnsi="Arial"/>
          <w:sz w:val="16"/>
          <w:szCs w:val="16"/>
          <w:color w:val="auto"/>
        </w:rPr>
        <w:t>Mr. Kubasik does not participate in the L3 Technologies, Inc. Pension Plan or the Restoration SERP because these plans were closed to new participants hired on or after January 1, 2007.</w:t>
      </w:r>
    </w:p>
    <w:p>
      <w:pPr>
        <w:spacing w:after="0" w:line="9" w:lineRule="exact"/>
        <w:rPr>
          <w:rFonts w:ascii="Arial" w:cs="Arial" w:eastAsia="Arial" w:hAnsi="Arial"/>
          <w:sz w:val="16"/>
          <w:szCs w:val="16"/>
          <w:color w:val="auto"/>
        </w:rPr>
      </w:pPr>
    </w:p>
    <w:p>
      <w:pPr>
        <w:ind w:left="347" w:right="120" w:hanging="347"/>
        <w:spacing w:after="0" w:line="281" w:lineRule="auto"/>
        <w:tabs>
          <w:tab w:leader="none" w:pos="347" w:val="left"/>
        </w:tabs>
        <w:numPr>
          <w:ilvl w:val="0"/>
          <w:numId w:val="80"/>
        </w:numPr>
        <w:rPr>
          <w:rFonts w:ascii="Arial" w:cs="Arial" w:eastAsia="Arial" w:hAnsi="Arial"/>
          <w:sz w:val="16"/>
          <w:szCs w:val="16"/>
          <w:color w:val="auto"/>
        </w:rPr>
      </w:pPr>
      <w:r>
        <w:rPr>
          <w:rFonts w:ascii="Arial" w:cs="Arial" w:eastAsia="Arial" w:hAnsi="Arial"/>
          <w:sz w:val="16"/>
          <w:szCs w:val="16"/>
          <w:color w:val="auto"/>
        </w:rPr>
        <w:t>Mr. D’Ambrosio has not yet met the eligibility requirements for early retirement under the retirement plans in which he participates because he has not attained age 55.</w:t>
      </w:r>
    </w:p>
    <w:p>
      <w:pPr>
        <w:spacing w:after="0" w:line="1" w:lineRule="exact"/>
        <w:rPr>
          <w:rFonts w:ascii="Arial" w:cs="Arial" w:eastAsia="Arial" w:hAnsi="Arial"/>
          <w:sz w:val="16"/>
          <w:szCs w:val="16"/>
          <w:color w:val="auto"/>
        </w:rPr>
      </w:pPr>
    </w:p>
    <w:p>
      <w:pPr>
        <w:ind w:left="347" w:hanging="347"/>
        <w:spacing w:after="0"/>
        <w:tabs>
          <w:tab w:leader="none" w:pos="347" w:val="left"/>
        </w:tabs>
        <w:numPr>
          <w:ilvl w:val="0"/>
          <w:numId w:val="80"/>
        </w:numPr>
        <w:rPr>
          <w:rFonts w:ascii="Arial" w:cs="Arial" w:eastAsia="Arial" w:hAnsi="Arial"/>
          <w:sz w:val="16"/>
          <w:szCs w:val="16"/>
          <w:color w:val="auto"/>
        </w:rPr>
      </w:pPr>
      <w:r>
        <w:rPr>
          <w:rFonts w:ascii="Arial" w:cs="Arial" w:eastAsia="Arial" w:hAnsi="Arial"/>
          <w:sz w:val="16"/>
          <w:szCs w:val="16"/>
          <w:color w:val="auto"/>
        </w:rPr>
        <w:t>Messrs. Brunson and Kantor are eligible for retirement under the retirement plans in which they participate.</w:t>
      </w:r>
    </w:p>
    <w:p>
      <w:pPr>
        <w:spacing w:after="0" w:line="45" w:lineRule="exact"/>
        <w:rPr>
          <w:rFonts w:ascii="Arial" w:cs="Arial" w:eastAsia="Arial" w:hAnsi="Arial"/>
          <w:sz w:val="16"/>
          <w:szCs w:val="16"/>
          <w:color w:val="auto"/>
        </w:rPr>
      </w:pPr>
    </w:p>
    <w:p>
      <w:pPr>
        <w:ind w:left="347" w:right="160" w:hanging="347"/>
        <w:spacing w:after="0" w:line="278" w:lineRule="auto"/>
        <w:tabs>
          <w:tab w:leader="none" w:pos="347"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present value of the benefits reported for Mr. Brunson that are attributable to his years of service to predecessors as described in Note 3 above is $383,034 with respect to the L3 Communication Systems – West Retirement Plan and $271,692 with respect to the Restoration SERP.</w:t>
      </w:r>
    </w:p>
    <w:p>
      <w:pPr>
        <w:spacing w:after="0" w:line="126" w:lineRule="exact"/>
        <w:rPr>
          <w:sz w:val="20"/>
          <w:szCs w:val="20"/>
          <w:color w:val="auto"/>
        </w:rPr>
      </w:pPr>
    </w:p>
    <w:p>
      <w:pPr>
        <w:ind w:left="7" w:right="100"/>
        <w:spacing w:after="0" w:line="259" w:lineRule="auto"/>
        <w:rPr>
          <w:sz w:val="20"/>
          <w:szCs w:val="20"/>
          <w:color w:val="auto"/>
        </w:rPr>
      </w:pPr>
      <w:r>
        <w:rPr>
          <w:rFonts w:ascii="Arial" w:cs="Arial" w:eastAsia="Arial" w:hAnsi="Arial"/>
          <w:sz w:val="18"/>
          <w:szCs w:val="18"/>
          <w:color w:val="auto"/>
        </w:rPr>
        <w:t>The present value of the accumulated benefits for each of the named executives shown in the table above reflects the present value of the benefits earned under each of the pension plans as of December 31, 2016. The pension benefits that are the basis for the present values of the accumulated benefits shown are calculated based on all years of creditable service with L3 and its predecessor companies under each of the plans as of December 31, 2016.</w:t>
      </w:r>
    </w:p>
    <w:p>
      <w:pPr>
        <w:spacing w:after="0" w:line="133" w:lineRule="exact"/>
        <w:rPr>
          <w:sz w:val="20"/>
          <w:szCs w:val="20"/>
          <w:color w:val="auto"/>
        </w:rPr>
      </w:pPr>
    </w:p>
    <w:p>
      <w:pPr>
        <w:ind w:left="7"/>
        <w:spacing w:after="0"/>
        <w:rPr>
          <w:sz w:val="20"/>
          <w:szCs w:val="20"/>
          <w:color w:val="auto"/>
        </w:rPr>
      </w:pPr>
      <w:r>
        <w:rPr>
          <w:rFonts w:ascii="Arial" w:cs="Arial" w:eastAsia="Arial" w:hAnsi="Arial"/>
          <w:sz w:val="18"/>
          <w:szCs w:val="18"/>
          <w:color w:val="auto"/>
        </w:rPr>
        <w:t>A more complete discussion of the material factors useful to an understanding of each plan is presented below.</w:t>
      </w:r>
    </w:p>
    <w:p>
      <w:pPr>
        <w:spacing w:after="0" w:line="225"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Tax-Qualified Pension Plans</w:t>
      </w:r>
    </w:p>
    <w:p>
      <w:pPr>
        <w:spacing w:after="0" w:line="225" w:lineRule="exact"/>
        <w:rPr>
          <w:sz w:val="20"/>
          <w:szCs w:val="20"/>
          <w:color w:val="auto"/>
        </w:rPr>
      </w:pPr>
    </w:p>
    <w:p>
      <w:pPr>
        <w:ind w:left="7"/>
        <w:spacing w:after="0"/>
        <w:rPr>
          <w:sz w:val="20"/>
          <w:szCs w:val="20"/>
          <w:color w:val="auto"/>
        </w:rPr>
      </w:pPr>
      <w:r>
        <w:rPr>
          <w:rFonts w:ascii="Arial" w:cs="Arial" w:eastAsia="Arial" w:hAnsi="Arial"/>
          <w:sz w:val="18"/>
          <w:szCs w:val="18"/>
          <w:u w:val="single" w:color="auto"/>
          <w:color w:val="auto"/>
        </w:rPr>
        <w:t>L3 Technologies, Inc. Pension Plan</w:t>
      </w:r>
    </w:p>
    <w:p>
      <w:pPr>
        <w:spacing w:after="0" w:line="57" w:lineRule="exact"/>
        <w:rPr>
          <w:sz w:val="20"/>
          <w:szCs w:val="20"/>
          <w:color w:val="auto"/>
        </w:rPr>
      </w:pPr>
    </w:p>
    <w:tbl>
      <w:tblPr>
        <w:tblLayout w:type="fixed"/>
        <w:tblInd w:w="7" w:type="dxa"/>
        <w:tblCellMar>
          <w:top w:w="0" w:type="dxa"/>
          <w:left w:w="0" w:type="dxa"/>
          <w:bottom w:w="0" w:type="dxa"/>
          <w:right w:w="0" w:type="dxa"/>
        </w:tblCellMar>
      </w:tblPr>
      <w:tr>
        <w:trPr>
          <w:trHeight w:val="229"/>
        </w:trPr>
        <w:tc>
          <w:tcPr>
            <w:tcW w:w="2200" w:type="dxa"/>
            <w:vAlign w:val="bottom"/>
            <w:tcBorders>
              <w:top w:val="single" w:sz="8" w:color="005C7D"/>
            </w:tcBorders>
            <w:shd w:val="clear" w:color="auto" w:fill="CDDAE6"/>
          </w:tcPr>
          <w:p>
            <w:pPr>
              <w:ind w:left="40"/>
              <w:spacing w:after="0"/>
              <w:rPr>
                <w:sz w:val="20"/>
                <w:szCs w:val="20"/>
                <w:color w:val="auto"/>
              </w:rPr>
            </w:pPr>
            <w:r>
              <w:rPr>
                <w:rFonts w:ascii="Arial" w:cs="Arial" w:eastAsia="Arial" w:hAnsi="Arial"/>
                <w:sz w:val="18"/>
                <w:szCs w:val="18"/>
                <w:color w:val="auto"/>
              </w:rPr>
              <w:t>Eligibility</w:t>
            </w:r>
          </w:p>
        </w:tc>
        <w:tc>
          <w:tcPr>
            <w:tcW w:w="7360" w:type="dxa"/>
            <w:vAlign w:val="bottom"/>
            <w:tcBorders>
              <w:top w:val="single" w:sz="8" w:color="005C7D"/>
            </w:tcBorders>
            <w:shd w:val="clear" w:color="auto" w:fill="CDDAE6"/>
          </w:tcPr>
          <w:p>
            <w:pPr>
              <w:ind w:left="140"/>
              <w:spacing w:after="0"/>
              <w:rPr>
                <w:sz w:val="20"/>
                <w:szCs w:val="20"/>
                <w:color w:val="auto"/>
              </w:rPr>
            </w:pPr>
            <w:r>
              <w:rPr>
                <w:rFonts w:ascii="Arial" w:cs="Arial" w:eastAsia="Arial" w:hAnsi="Arial"/>
                <w:sz w:val="18"/>
                <w:szCs w:val="18"/>
                <w:color w:val="auto"/>
                <w:w w:val="93"/>
              </w:rPr>
              <w:t>Employees were eligible to participate in the plan after one year of service and upon attaining 21</w:t>
            </w:r>
          </w:p>
        </w:tc>
      </w:tr>
      <w:tr>
        <w:trPr>
          <w:trHeight w:val="244"/>
        </w:trPr>
        <w:tc>
          <w:tcPr>
            <w:tcW w:w="2200" w:type="dxa"/>
            <w:vAlign w:val="bottom"/>
            <w:shd w:val="clear" w:color="auto" w:fill="CDDAE6"/>
          </w:tcPr>
          <w:p>
            <w:pPr>
              <w:spacing w:after="0"/>
              <w:rPr>
                <w:sz w:val="21"/>
                <w:szCs w:val="21"/>
                <w:color w:val="auto"/>
              </w:rPr>
            </w:pPr>
          </w:p>
        </w:tc>
        <w:tc>
          <w:tcPr>
            <w:tcW w:w="7360" w:type="dxa"/>
            <w:vAlign w:val="bottom"/>
            <w:shd w:val="clear" w:color="auto" w:fill="CDDAE6"/>
          </w:tcPr>
          <w:p>
            <w:pPr>
              <w:ind w:left="140"/>
              <w:spacing w:after="0"/>
              <w:rPr>
                <w:sz w:val="20"/>
                <w:szCs w:val="20"/>
                <w:color w:val="auto"/>
              </w:rPr>
            </w:pPr>
            <w:r>
              <w:rPr>
                <w:rFonts w:ascii="Arial" w:cs="Arial" w:eastAsia="Arial" w:hAnsi="Arial"/>
                <w:sz w:val="18"/>
                <w:szCs w:val="18"/>
                <w:color w:val="auto"/>
                <w:w w:val="91"/>
              </w:rPr>
              <w:t>years of age. Employees hired on or after January 1, 2007 are not eligible to participate in the plan.</w:t>
            </w:r>
          </w:p>
        </w:tc>
      </w:tr>
      <w:tr>
        <w:trPr>
          <w:trHeight w:val="237"/>
        </w:trPr>
        <w:tc>
          <w:tcPr>
            <w:tcW w:w="2200" w:type="dxa"/>
            <w:vAlign w:val="bottom"/>
          </w:tcPr>
          <w:p>
            <w:pPr>
              <w:ind w:left="40"/>
              <w:spacing w:after="0"/>
              <w:rPr>
                <w:sz w:val="20"/>
                <w:szCs w:val="20"/>
                <w:color w:val="auto"/>
              </w:rPr>
            </w:pPr>
            <w:r>
              <w:rPr>
                <w:rFonts w:ascii="Arial" w:cs="Arial" w:eastAsia="Arial" w:hAnsi="Arial"/>
                <w:sz w:val="18"/>
                <w:szCs w:val="18"/>
                <w:color w:val="auto"/>
              </w:rPr>
              <w:t>Vesting</w:t>
            </w:r>
          </w:p>
        </w:tc>
        <w:tc>
          <w:tcPr>
            <w:tcW w:w="7360" w:type="dxa"/>
            <w:vAlign w:val="bottom"/>
          </w:tcPr>
          <w:p>
            <w:pPr>
              <w:ind w:left="140"/>
              <w:spacing w:after="0"/>
              <w:rPr>
                <w:sz w:val="20"/>
                <w:szCs w:val="20"/>
                <w:color w:val="auto"/>
              </w:rPr>
            </w:pPr>
            <w:r>
              <w:rPr>
                <w:rFonts w:ascii="Arial" w:cs="Arial" w:eastAsia="Arial" w:hAnsi="Arial"/>
                <w:sz w:val="18"/>
                <w:szCs w:val="18"/>
                <w:color w:val="auto"/>
              </w:rPr>
              <w:t>Participants are fully vested after five years of service, and there is no partial vesting.</w:t>
            </w:r>
          </w:p>
        </w:tc>
      </w:tr>
      <w:tr>
        <w:trPr>
          <w:trHeight w:val="222"/>
        </w:trPr>
        <w:tc>
          <w:tcPr>
            <w:tcW w:w="2200" w:type="dxa"/>
            <w:vAlign w:val="bottom"/>
            <w:shd w:val="clear" w:color="auto" w:fill="CDDAE6"/>
          </w:tcPr>
          <w:p>
            <w:pPr>
              <w:ind w:left="40"/>
              <w:spacing w:after="0"/>
              <w:rPr>
                <w:sz w:val="20"/>
                <w:szCs w:val="20"/>
                <w:color w:val="auto"/>
              </w:rPr>
            </w:pPr>
            <w:r>
              <w:rPr>
                <w:rFonts w:ascii="Arial" w:cs="Arial" w:eastAsia="Arial" w:hAnsi="Arial"/>
                <w:sz w:val="18"/>
                <w:szCs w:val="18"/>
                <w:color w:val="auto"/>
              </w:rPr>
              <w:t>Availability of Early</w:t>
            </w:r>
          </w:p>
        </w:tc>
        <w:tc>
          <w:tcPr>
            <w:tcW w:w="7360" w:type="dxa"/>
            <w:vAlign w:val="bottom"/>
            <w:shd w:val="clear" w:color="auto" w:fill="CDDAE6"/>
          </w:tcPr>
          <w:p>
            <w:pPr>
              <w:ind w:left="140"/>
              <w:spacing w:after="0"/>
              <w:rPr>
                <w:sz w:val="20"/>
                <w:szCs w:val="20"/>
                <w:color w:val="auto"/>
              </w:rPr>
            </w:pPr>
            <w:r>
              <w:rPr>
                <w:rFonts w:ascii="Arial" w:cs="Arial" w:eastAsia="Arial" w:hAnsi="Arial"/>
                <w:sz w:val="18"/>
                <w:szCs w:val="18"/>
                <w:color w:val="auto"/>
              </w:rPr>
              <w:t>Participants are eligible for early retirement benefits after age 55, if they have ten years of</w:t>
            </w:r>
          </w:p>
        </w:tc>
      </w:tr>
      <w:tr>
        <w:trPr>
          <w:trHeight w:val="244"/>
        </w:trPr>
        <w:tc>
          <w:tcPr>
            <w:tcW w:w="2200" w:type="dxa"/>
            <w:vAlign w:val="bottom"/>
            <w:shd w:val="clear" w:color="auto" w:fill="CDDAE6"/>
          </w:tcPr>
          <w:p>
            <w:pPr>
              <w:ind w:left="320"/>
              <w:spacing w:after="0"/>
              <w:rPr>
                <w:sz w:val="20"/>
                <w:szCs w:val="20"/>
                <w:color w:val="auto"/>
              </w:rPr>
            </w:pPr>
            <w:r>
              <w:rPr>
                <w:rFonts w:ascii="Arial" w:cs="Arial" w:eastAsia="Arial" w:hAnsi="Arial"/>
                <w:sz w:val="18"/>
                <w:szCs w:val="18"/>
                <w:color w:val="auto"/>
              </w:rPr>
              <w:t>Retirement Benefits</w:t>
            </w:r>
          </w:p>
        </w:tc>
        <w:tc>
          <w:tcPr>
            <w:tcW w:w="7360" w:type="dxa"/>
            <w:vAlign w:val="bottom"/>
            <w:shd w:val="clear" w:color="auto" w:fill="CDDAE6"/>
          </w:tcPr>
          <w:p>
            <w:pPr>
              <w:ind w:left="140"/>
              <w:spacing w:after="0"/>
              <w:rPr>
                <w:sz w:val="20"/>
                <w:szCs w:val="20"/>
                <w:color w:val="auto"/>
              </w:rPr>
            </w:pPr>
            <w:r>
              <w:rPr>
                <w:rFonts w:ascii="Arial" w:cs="Arial" w:eastAsia="Arial" w:hAnsi="Arial"/>
                <w:sz w:val="18"/>
                <w:szCs w:val="18"/>
                <w:color w:val="auto"/>
              </w:rPr>
              <w:t>eligibility service.</w:t>
            </w:r>
          </w:p>
        </w:tc>
      </w:tr>
      <w:tr>
        <w:trPr>
          <w:trHeight w:val="215"/>
        </w:trPr>
        <w:tc>
          <w:tcPr>
            <w:tcW w:w="2200" w:type="dxa"/>
            <w:vAlign w:val="bottom"/>
          </w:tcPr>
          <w:p>
            <w:pPr>
              <w:ind w:left="40"/>
              <w:spacing w:after="0"/>
              <w:rPr>
                <w:sz w:val="20"/>
                <w:szCs w:val="20"/>
                <w:color w:val="auto"/>
              </w:rPr>
            </w:pPr>
            <w:r>
              <w:rPr>
                <w:rFonts w:ascii="Arial" w:cs="Arial" w:eastAsia="Arial" w:hAnsi="Arial"/>
                <w:sz w:val="18"/>
                <w:szCs w:val="18"/>
                <w:color w:val="auto"/>
              </w:rPr>
              <w:t>Earnings</w:t>
            </w:r>
          </w:p>
        </w:tc>
        <w:tc>
          <w:tcPr>
            <w:tcW w:w="7360" w:type="dxa"/>
            <w:vAlign w:val="bottom"/>
          </w:tcPr>
          <w:p>
            <w:pPr>
              <w:ind w:left="140"/>
              <w:spacing w:after="0"/>
              <w:rPr>
                <w:sz w:val="20"/>
                <w:szCs w:val="20"/>
                <w:color w:val="auto"/>
              </w:rPr>
            </w:pPr>
            <w:r>
              <w:rPr>
                <w:rFonts w:ascii="Arial" w:cs="Arial" w:eastAsia="Arial" w:hAnsi="Arial"/>
                <w:sz w:val="18"/>
                <w:szCs w:val="18"/>
                <w:color w:val="auto"/>
                <w:w w:val="93"/>
              </w:rPr>
              <w:t>Earnings are defined as base pay, overtime, commissions and performance-based cash bonuses</w:t>
            </w:r>
          </w:p>
        </w:tc>
      </w:tr>
      <w:tr>
        <w:trPr>
          <w:trHeight w:val="216"/>
        </w:trPr>
        <w:tc>
          <w:tcPr>
            <w:tcW w:w="220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8"/>
                <w:szCs w:val="18"/>
                <w:color w:val="auto"/>
                <w:w w:val="92"/>
              </w:rPr>
              <w:t>(excluding long-term incentive awards payable in cash) and are limited to the IRS earnings limit of</w:t>
            </w:r>
          </w:p>
        </w:tc>
      </w:tr>
      <w:tr>
        <w:trPr>
          <w:trHeight w:val="237"/>
        </w:trPr>
        <w:tc>
          <w:tcPr>
            <w:tcW w:w="2200" w:type="dxa"/>
            <w:vAlign w:val="bottom"/>
          </w:tcPr>
          <w:p>
            <w:pPr>
              <w:spacing w:after="0"/>
              <w:rPr>
                <w:sz w:val="20"/>
                <w:szCs w:val="20"/>
                <w:color w:val="auto"/>
              </w:rPr>
            </w:pPr>
          </w:p>
        </w:tc>
        <w:tc>
          <w:tcPr>
            <w:tcW w:w="7360" w:type="dxa"/>
            <w:vAlign w:val="bottom"/>
          </w:tcPr>
          <w:p>
            <w:pPr>
              <w:ind w:left="140"/>
              <w:spacing w:after="0"/>
              <w:rPr>
                <w:sz w:val="20"/>
                <w:szCs w:val="20"/>
                <w:color w:val="auto"/>
              </w:rPr>
            </w:pPr>
            <w:r>
              <w:rPr>
                <w:rFonts w:ascii="Arial" w:cs="Arial" w:eastAsia="Arial" w:hAnsi="Arial"/>
                <w:sz w:val="18"/>
                <w:szCs w:val="18"/>
                <w:color w:val="auto"/>
              </w:rPr>
              <w:t>$265,000 in 2016 and $270,000 in 2017.</w:t>
            </w:r>
          </w:p>
        </w:tc>
      </w:tr>
      <w:tr>
        <w:trPr>
          <w:trHeight w:val="222"/>
        </w:trPr>
        <w:tc>
          <w:tcPr>
            <w:tcW w:w="2200" w:type="dxa"/>
            <w:vAlign w:val="bottom"/>
            <w:shd w:val="clear" w:color="auto" w:fill="CDDAE6"/>
          </w:tcPr>
          <w:p>
            <w:pPr>
              <w:ind w:left="40"/>
              <w:spacing w:after="0"/>
              <w:rPr>
                <w:sz w:val="20"/>
                <w:szCs w:val="20"/>
                <w:color w:val="auto"/>
              </w:rPr>
            </w:pPr>
            <w:r>
              <w:rPr>
                <w:rFonts w:ascii="Arial" w:cs="Arial" w:eastAsia="Arial" w:hAnsi="Arial"/>
                <w:sz w:val="18"/>
                <w:szCs w:val="18"/>
                <w:color w:val="auto"/>
              </w:rPr>
              <w:t>Final Average Earnings</w:t>
            </w:r>
          </w:p>
        </w:tc>
        <w:tc>
          <w:tcPr>
            <w:tcW w:w="7360" w:type="dxa"/>
            <w:vAlign w:val="bottom"/>
            <w:shd w:val="clear" w:color="auto" w:fill="CDDAE6"/>
          </w:tcPr>
          <w:p>
            <w:pPr>
              <w:ind w:left="140"/>
              <w:spacing w:after="0"/>
              <w:rPr>
                <w:sz w:val="20"/>
                <w:szCs w:val="20"/>
                <w:color w:val="auto"/>
              </w:rPr>
            </w:pPr>
            <w:r>
              <w:rPr>
                <w:rFonts w:ascii="Arial" w:cs="Arial" w:eastAsia="Arial" w:hAnsi="Arial"/>
                <w:sz w:val="18"/>
                <w:szCs w:val="18"/>
                <w:color w:val="auto"/>
                <w:w w:val="92"/>
              </w:rPr>
              <w:t>FAE is equal to the average of the participant’s earnings for the five calendar years during the ten</w:t>
            </w:r>
          </w:p>
        </w:tc>
      </w:tr>
      <w:tr>
        <w:trPr>
          <w:trHeight w:val="244"/>
        </w:trPr>
        <w:tc>
          <w:tcPr>
            <w:tcW w:w="2200" w:type="dxa"/>
            <w:vAlign w:val="bottom"/>
            <w:shd w:val="clear" w:color="auto" w:fill="CDDAE6"/>
          </w:tcPr>
          <w:p>
            <w:pPr>
              <w:ind w:left="320"/>
              <w:spacing w:after="0"/>
              <w:rPr>
                <w:sz w:val="20"/>
                <w:szCs w:val="20"/>
                <w:color w:val="auto"/>
              </w:rPr>
            </w:pPr>
            <w:r>
              <w:rPr>
                <w:rFonts w:ascii="Arial" w:cs="Arial" w:eastAsia="Arial" w:hAnsi="Arial"/>
                <w:sz w:val="18"/>
                <w:szCs w:val="18"/>
                <w:color w:val="auto"/>
              </w:rPr>
              <w:t>(“FAE”)</w:t>
            </w:r>
          </w:p>
        </w:tc>
        <w:tc>
          <w:tcPr>
            <w:tcW w:w="7360" w:type="dxa"/>
            <w:vAlign w:val="bottom"/>
            <w:shd w:val="clear" w:color="auto" w:fill="CDDAE6"/>
          </w:tcPr>
          <w:p>
            <w:pPr>
              <w:ind w:left="140"/>
              <w:spacing w:after="0"/>
              <w:rPr>
                <w:sz w:val="20"/>
                <w:szCs w:val="20"/>
                <w:color w:val="auto"/>
              </w:rPr>
            </w:pPr>
            <w:r>
              <w:rPr>
                <w:rFonts w:ascii="Arial" w:cs="Arial" w:eastAsia="Arial" w:hAnsi="Arial"/>
                <w:sz w:val="18"/>
                <w:szCs w:val="18"/>
                <w:color w:val="auto"/>
                <w:w w:val="96"/>
              </w:rPr>
              <w:t>calendar years prior to date of termination that result in the highest average earnings amount.</w:t>
            </w:r>
          </w:p>
        </w:tc>
      </w:tr>
      <w:tr>
        <w:trPr>
          <w:trHeight w:val="237"/>
        </w:trPr>
        <w:tc>
          <w:tcPr>
            <w:tcW w:w="2200" w:type="dxa"/>
            <w:vAlign w:val="bottom"/>
          </w:tcPr>
          <w:p>
            <w:pPr>
              <w:ind w:left="40"/>
              <w:spacing w:after="0"/>
              <w:rPr>
                <w:sz w:val="20"/>
                <w:szCs w:val="20"/>
                <w:color w:val="auto"/>
              </w:rPr>
            </w:pPr>
            <w:r>
              <w:rPr>
                <w:rFonts w:ascii="Arial" w:cs="Arial" w:eastAsia="Arial" w:hAnsi="Arial"/>
                <w:sz w:val="18"/>
                <w:szCs w:val="18"/>
                <w:color w:val="auto"/>
                <w:w w:val="98"/>
              </w:rPr>
              <w:t>Social Security Wage Base</w:t>
            </w:r>
          </w:p>
        </w:tc>
        <w:tc>
          <w:tcPr>
            <w:tcW w:w="7360" w:type="dxa"/>
            <w:vAlign w:val="bottom"/>
          </w:tcPr>
          <w:p>
            <w:pPr>
              <w:ind w:left="140"/>
              <w:spacing w:after="0"/>
              <w:rPr>
                <w:sz w:val="20"/>
                <w:szCs w:val="20"/>
                <w:color w:val="auto"/>
              </w:rPr>
            </w:pPr>
            <w:r>
              <w:rPr>
                <w:rFonts w:ascii="Arial" w:cs="Arial" w:eastAsia="Arial" w:hAnsi="Arial"/>
                <w:sz w:val="18"/>
                <w:szCs w:val="18"/>
                <w:color w:val="auto"/>
              </w:rPr>
              <w:t>The wage level at which social security tax is applied for a given year.</w:t>
            </w:r>
          </w:p>
        </w:tc>
      </w:tr>
      <w:tr>
        <w:trPr>
          <w:trHeight w:val="222"/>
        </w:trPr>
        <w:tc>
          <w:tcPr>
            <w:tcW w:w="2200" w:type="dxa"/>
            <w:vAlign w:val="bottom"/>
            <w:shd w:val="clear" w:color="auto" w:fill="CDDAE6"/>
          </w:tcPr>
          <w:p>
            <w:pPr>
              <w:ind w:left="40"/>
              <w:spacing w:after="0"/>
              <w:rPr>
                <w:sz w:val="20"/>
                <w:szCs w:val="20"/>
                <w:color w:val="auto"/>
              </w:rPr>
            </w:pPr>
            <w:r>
              <w:rPr>
                <w:rFonts w:ascii="Arial" w:cs="Arial" w:eastAsia="Arial" w:hAnsi="Arial"/>
                <w:sz w:val="18"/>
                <w:szCs w:val="18"/>
                <w:color w:val="auto"/>
              </w:rPr>
              <w:t>Covered Compensation</w:t>
            </w:r>
          </w:p>
        </w:tc>
        <w:tc>
          <w:tcPr>
            <w:tcW w:w="7360" w:type="dxa"/>
            <w:vAlign w:val="bottom"/>
            <w:shd w:val="clear" w:color="auto" w:fill="CDDAE6"/>
          </w:tcPr>
          <w:p>
            <w:pPr>
              <w:ind w:left="140"/>
              <w:spacing w:after="0"/>
              <w:rPr>
                <w:sz w:val="20"/>
                <w:szCs w:val="20"/>
                <w:color w:val="auto"/>
              </w:rPr>
            </w:pPr>
            <w:r>
              <w:rPr>
                <w:rFonts w:ascii="Arial" w:cs="Arial" w:eastAsia="Arial" w:hAnsi="Arial"/>
                <w:sz w:val="18"/>
                <w:szCs w:val="18"/>
                <w:color w:val="auto"/>
                <w:w w:val="92"/>
              </w:rPr>
              <w:t>Covered Compensation is equal to the average of the Social Security Wage Bases for 35 calendar</w:t>
            </w:r>
          </w:p>
        </w:tc>
      </w:tr>
      <w:tr>
        <w:trPr>
          <w:trHeight w:val="216"/>
        </w:trPr>
        <w:tc>
          <w:tcPr>
            <w:tcW w:w="2200" w:type="dxa"/>
            <w:vAlign w:val="bottom"/>
            <w:shd w:val="clear" w:color="auto" w:fill="CDDAE6"/>
          </w:tcPr>
          <w:p>
            <w:pPr>
              <w:spacing w:after="0"/>
              <w:rPr>
                <w:sz w:val="18"/>
                <w:szCs w:val="18"/>
                <w:color w:val="auto"/>
              </w:rPr>
            </w:pPr>
          </w:p>
        </w:tc>
        <w:tc>
          <w:tcPr>
            <w:tcW w:w="7360" w:type="dxa"/>
            <w:vAlign w:val="bottom"/>
            <w:shd w:val="clear" w:color="auto" w:fill="CDDAE6"/>
          </w:tcPr>
          <w:p>
            <w:pPr>
              <w:ind w:left="140"/>
              <w:spacing w:after="0"/>
              <w:rPr>
                <w:sz w:val="20"/>
                <w:szCs w:val="20"/>
                <w:color w:val="auto"/>
              </w:rPr>
            </w:pPr>
            <w:r>
              <w:rPr>
                <w:rFonts w:ascii="Arial" w:cs="Arial" w:eastAsia="Arial" w:hAnsi="Arial"/>
                <w:sz w:val="18"/>
                <w:szCs w:val="18"/>
                <w:color w:val="auto"/>
                <w:w w:val="94"/>
              </w:rPr>
              <w:t>years ending with the year the participant attains Social Security retirement age; however, upon</w:t>
            </w:r>
          </w:p>
        </w:tc>
      </w:tr>
      <w:tr>
        <w:trPr>
          <w:trHeight w:val="244"/>
        </w:trPr>
        <w:tc>
          <w:tcPr>
            <w:tcW w:w="2200" w:type="dxa"/>
            <w:vAlign w:val="bottom"/>
            <w:shd w:val="clear" w:color="auto" w:fill="CDDAE6"/>
          </w:tcPr>
          <w:p>
            <w:pPr>
              <w:spacing w:after="0"/>
              <w:rPr>
                <w:sz w:val="21"/>
                <w:szCs w:val="21"/>
                <w:color w:val="auto"/>
              </w:rPr>
            </w:pPr>
          </w:p>
        </w:tc>
        <w:tc>
          <w:tcPr>
            <w:tcW w:w="7360" w:type="dxa"/>
            <w:vAlign w:val="bottom"/>
            <w:shd w:val="clear" w:color="auto" w:fill="CDDAE6"/>
          </w:tcPr>
          <w:p>
            <w:pPr>
              <w:ind w:left="140"/>
              <w:spacing w:after="0"/>
              <w:rPr>
                <w:sz w:val="20"/>
                <w:szCs w:val="20"/>
                <w:color w:val="auto"/>
              </w:rPr>
            </w:pPr>
            <w:r>
              <w:rPr>
                <w:rFonts w:ascii="Arial" w:cs="Arial" w:eastAsia="Arial" w:hAnsi="Arial"/>
                <w:sz w:val="18"/>
                <w:szCs w:val="18"/>
                <w:color w:val="auto"/>
                <w:w w:val="98"/>
              </w:rPr>
              <w:t>separation from service, Covered Compensation is determined as of the date of separation.</w:t>
            </w:r>
          </w:p>
        </w:tc>
      </w:tr>
      <w:tr>
        <w:trPr>
          <w:trHeight w:val="215"/>
        </w:trPr>
        <w:tc>
          <w:tcPr>
            <w:tcW w:w="2200" w:type="dxa"/>
            <w:vAlign w:val="bottom"/>
          </w:tcPr>
          <w:p>
            <w:pPr>
              <w:ind w:left="40"/>
              <w:spacing w:after="0"/>
              <w:rPr>
                <w:sz w:val="20"/>
                <w:szCs w:val="20"/>
                <w:color w:val="auto"/>
              </w:rPr>
            </w:pPr>
            <w:r>
              <w:rPr>
                <w:rFonts w:ascii="Arial" w:cs="Arial" w:eastAsia="Arial" w:hAnsi="Arial"/>
                <w:sz w:val="18"/>
                <w:szCs w:val="18"/>
                <w:color w:val="auto"/>
              </w:rPr>
              <w:t>Benefit Plan Formula</w:t>
            </w:r>
          </w:p>
        </w:tc>
        <w:tc>
          <w:tcPr>
            <w:tcW w:w="7360" w:type="dxa"/>
            <w:vAlign w:val="bottom"/>
          </w:tcPr>
          <w:p>
            <w:pPr>
              <w:ind w:left="140"/>
              <w:spacing w:after="0"/>
              <w:rPr>
                <w:sz w:val="20"/>
                <w:szCs w:val="20"/>
                <w:color w:val="auto"/>
              </w:rPr>
            </w:pPr>
            <w:r>
              <w:rPr>
                <w:rFonts w:ascii="Arial" w:cs="Arial" w:eastAsia="Arial" w:hAnsi="Arial"/>
                <w:sz w:val="18"/>
                <w:szCs w:val="18"/>
                <w:color w:val="auto"/>
                <w:w w:val="93"/>
              </w:rPr>
              <w:t>The annual pension benefit is equal to 1.5% of FAE up to Covered Compensation, plus 1.75% of</w:t>
            </w:r>
          </w:p>
        </w:tc>
      </w:tr>
      <w:tr>
        <w:trPr>
          <w:trHeight w:val="216"/>
        </w:trPr>
        <w:tc>
          <w:tcPr>
            <w:tcW w:w="220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8"/>
                <w:szCs w:val="18"/>
                <w:color w:val="auto"/>
                <w:w w:val="95"/>
              </w:rPr>
              <w:t>FAE in excess of Covered Compensation, for each plan year (partial and completed months) of</w:t>
            </w:r>
          </w:p>
        </w:tc>
      </w:tr>
      <w:tr>
        <w:trPr>
          <w:trHeight w:val="237"/>
        </w:trPr>
        <w:tc>
          <w:tcPr>
            <w:tcW w:w="2200" w:type="dxa"/>
            <w:vAlign w:val="bottom"/>
          </w:tcPr>
          <w:p>
            <w:pPr>
              <w:spacing w:after="0"/>
              <w:rPr>
                <w:sz w:val="20"/>
                <w:szCs w:val="20"/>
                <w:color w:val="auto"/>
              </w:rPr>
            </w:pPr>
          </w:p>
        </w:tc>
        <w:tc>
          <w:tcPr>
            <w:tcW w:w="7360" w:type="dxa"/>
            <w:vAlign w:val="bottom"/>
          </w:tcPr>
          <w:p>
            <w:pPr>
              <w:ind w:left="140"/>
              <w:spacing w:after="0"/>
              <w:rPr>
                <w:sz w:val="20"/>
                <w:szCs w:val="20"/>
                <w:color w:val="auto"/>
              </w:rPr>
            </w:pPr>
            <w:r>
              <w:rPr>
                <w:rFonts w:ascii="Arial" w:cs="Arial" w:eastAsia="Arial" w:hAnsi="Arial"/>
                <w:sz w:val="18"/>
                <w:szCs w:val="18"/>
                <w:color w:val="auto"/>
              </w:rPr>
              <w:t>accrual service.</w:t>
            </w:r>
          </w:p>
        </w:tc>
      </w:tr>
      <w:tr>
        <w:trPr>
          <w:trHeight w:val="222"/>
        </w:trPr>
        <w:tc>
          <w:tcPr>
            <w:tcW w:w="2200" w:type="dxa"/>
            <w:vAlign w:val="bottom"/>
            <w:shd w:val="clear" w:color="auto" w:fill="CDDAE6"/>
          </w:tcPr>
          <w:p>
            <w:pPr>
              <w:ind w:left="40"/>
              <w:spacing w:after="0"/>
              <w:rPr>
                <w:sz w:val="20"/>
                <w:szCs w:val="20"/>
                <w:color w:val="auto"/>
              </w:rPr>
            </w:pPr>
            <w:r>
              <w:rPr>
                <w:rFonts w:ascii="Arial" w:cs="Arial" w:eastAsia="Arial" w:hAnsi="Arial"/>
                <w:sz w:val="18"/>
                <w:szCs w:val="18"/>
                <w:color w:val="auto"/>
                <w:w w:val="97"/>
              </w:rPr>
              <w:t>Early Retirement Reduction</w:t>
            </w:r>
          </w:p>
        </w:tc>
        <w:tc>
          <w:tcPr>
            <w:tcW w:w="7360" w:type="dxa"/>
            <w:vAlign w:val="bottom"/>
            <w:shd w:val="clear" w:color="auto" w:fill="CDDAE6"/>
          </w:tcPr>
          <w:p>
            <w:pPr>
              <w:ind w:left="140"/>
              <w:spacing w:after="0"/>
              <w:rPr>
                <w:sz w:val="20"/>
                <w:szCs w:val="20"/>
                <w:color w:val="auto"/>
              </w:rPr>
            </w:pPr>
            <w:r>
              <w:rPr>
                <w:rFonts w:ascii="Arial" w:cs="Arial" w:eastAsia="Arial" w:hAnsi="Arial"/>
                <w:sz w:val="18"/>
                <w:szCs w:val="18"/>
                <w:color w:val="auto"/>
                <w:w w:val="94"/>
              </w:rPr>
              <w:t>For those participants who are eligible to retire early, the reduction factor is 1/180 for each of the</w:t>
            </w:r>
          </w:p>
        </w:tc>
      </w:tr>
      <w:tr>
        <w:trPr>
          <w:trHeight w:val="244"/>
        </w:trPr>
        <w:tc>
          <w:tcPr>
            <w:tcW w:w="2200" w:type="dxa"/>
            <w:vAlign w:val="bottom"/>
            <w:shd w:val="clear" w:color="auto" w:fill="CDDAE6"/>
          </w:tcPr>
          <w:p>
            <w:pPr>
              <w:ind w:left="320"/>
              <w:spacing w:after="0"/>
              <w:rPr>
                <w:sz w:val="20"/>
                <w:szCs w:val="20"/>
                <w:color w:val="auto"/>
              </w:rPr>
            </w:pPr>
            <w:r>
              <w:rPr>
                <w:rFonts w:ascii="Arial" w:cs="Arial" w:eastAsia="Arial" w:hAnsi="Arial"/>
                <w:sz w:val="18"/>
                <w:szCs w:val="18"/>
                <w:color w:val="auto"/>
              </w:rPr>
              <w:t>Factors</w:t>
            </w:r>
          </w:p>
        </w:tc>
        <w:tc>
          <w:tcPr>
            <w:tcW w:w="7360" w:type="dxa"/>
            <w:vAlign w:val="bottom"/>
            <w:shd w:val="clear" w:color="auto" w:fill="CDDAE6"/>
          </w:tcPr>
          <w:p>
            <w:pPr>
              <w:ind w:left="140"/>
              <w:spacing w:after="0"/>
              <w:rPr>
                <w:sz w:val="20"/>
                <w:szCs w:val="20"/>
                <w:color w:val="auto"/>
              </w:rPr>
            </w:pPr>
            <w:r>
              <w:rPr>
                <w:rFonts w:ascii="Arial" w:cs="Arial" w:eastAsia="Arial" w:hAnsi="Arial"/>
                <w:sz w:val="18"/>
                <w:szCs w:val="18"/>
                <w:color w:val="auto"/>
              </w:rPr>
              <w:t>first 60 months prior to age 65 and 1/360 for each of the next 60 months.</w:t>
            </w:r>
          </w:p>
        </w:tc>
      </w:tr>
      <w:tr>
        <w:trPr>
          <w:trHeight w:val="215"/>
        </w:trPr>
        <w:tc>
          <w:tcPr>
            <w:tcW w:w="2200" w:type="dxa"/>
            <w:vAlign w:val="bottom"/>
          </w:tcPr>
          <w:p>
            <w:pPr>
              <w:ind w:left="40"/>
              <w:spacing w:after="0"/>
              <w:rPr>
                <w:sz w:val="20"/>
                <w:szCs w:val="20"/>
                <w:color w:val="auto"/>
              </w:rPr>
            </w:pPr>
            <w:r>
              <w:rPr>
                <w:rFonts w:ascii="Arial" w:cs="Arial" w:eastAsia="Arial" w:hAnsi="Arial"/>
                <w:sz w:val="18"/>
                <w:szCs w:val="18"/>
                <w:color w:val="auto"/>
              </w:rPr>
              <w:t>Payment Options</w:t>
            </w:r>
          </w:p>
        </w:tc>
        <w:tc>
          <w:tcPr>
            <w:tcW w:w="7360" w:type="dxa"/>
            <w:vAlign w:val="bottom"/>
          </w:tcPr>
          <w:p>
            <w:pPr>
              <w:ind w:left="140"/>
              <w:spacing w:after="0"/>
              <w:rPr>
                <w:sz w:val="20"/>
                <w:szCs w:val="20"/>
                <w:color w:val="auto"/>
              </w:rPr>
            </w:pPr>
            <w:r>
              <w:rPr>
                <w:rFonts w:ascii="Arial" w:cs="Arial" w:eastAsia="Arial" w:hAnsi="Arial"/>
                <w:sz w:val="18"/>
                <w:szCs w:val="18"/>
                <w:color w:val="auto"/>
                <w:w w:val="96"/>
              </w:rPr>
              <w:t>The plan provides for a number of payment options including a single life annuity (normal form</w:t>
            </w:r>
          </w:p>
        </w:tc>
      </w:tr>
      <w:tr>
        <w:trPr>
          <w:trHeight w:val="216"/>
        </w:trPr>
        <w:tc>
          <w:tcPr>
            <w:tcW w:w="220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8"/>
                <w:szCs w:val="18"/>
                <w:color w:val="auto"/>
              </w:rPr>
              <w:t>for single participants), a qualified 50% joint and survivor annuity (normal form for married</w:t>
            </w:r>
          </w:p>
        </w:tc>
      </w:tr>
      <w:tr>
        <w:trPr>
          <w:trHeight w:val="230"/>
        </w:trPr>
        <w:tc>
          <w:tcPr>
            <w:tcW w:w="2200" w:type="dxa"/>
            <w:vAlign w:val="bottom"/>
          </w:tcPr>
          <w:p>
            <w:pPr>
              <w:spacing w:after="0"/>
              <w:rPr>
                <w:sz w:val="20"/>
                <w:szCs w:val="20"/>
                <w:color w:val="auto"/>
              </w:rPr>
            </w:pPr>
          </w:p>
        </w:tc>
        <w:tc>
          <w:tcPr>
            <w:tcW w:w="7360" w:type="dxa"/>
            <w:vAlign w:val="bottom"/>
          </w:tcPr>
          <w:p>
            <w:pPr>
              <w:ind w:left="140"/>
              <w:spacing w:after="0"/>
              <w:rPr>
                <w:sz w:val="20"/>
                <w:szCs w:val="20"/>
                <w:color w:val="auto"/>
              </w:rPr>
            </w:pPr>
            <w:r>
              <w:rPr>
                <w:rFonts w:ascii="Arial" w:cs="Arial" w:eastAsia="Arial" w:hAnsi="Arial"/>
                <w:sz w:val="18"/>
                <w:szCs w:val="18"/>
                <w:color w:val="auto"/>
                <w:w w:val="95"/>
              </w:rPr>
              <w:t>participants), other joint and survivor options, period-certain options and a level income option.</w:t>
            </w:r>
          </w:p>
        </w:tc>
      </w:tr>
      <w:tr>
        <w:trPr>
          <w:trHeight w:val="486"/>
        </w:trPr>
        <w:tc>
          <w:tcPr>
            <w:tcW w:w="2200" w:type="dxa"/>
            <w:vAlign w:val="bottom"/>
          </w:tcPr>
          <w:p>
            <w:pPr>
              <w:spacing w:after="0"/>
              <w:rPr>
                <w:sz w:val="24"/>
                <w:szCs w:val="24"/>
                <w:color w:val="auto"/>
              </w:rPr>
            </w:pPr>
          </w:p>
        </w:tc>
        <w:tc>
          <w:tcPr>
            <w:tcW w:w="7360" w:type="dxa"/>
            <w:vAlign w:val="bottom"/>
          </w:tcPr>
          <w:p>
            <w:pPr>
              <w:ind w:left="5620"/>
              <w:spacing w:after="0"/>
              <w:rPr>
                <w:sz w:val="20"/>
                <w:szCs w:val="20"/>
                <w:color w:val="auto"/>
              </w:rPr>
            </w:pPr>
            <w:r>
              <w:rPr>
                <w:rFonts w:ascii="Arial" w:cs="Arial" w:eastAsia="Arial" w:hAnsi="Arial"/>
                <w:sz w:val="14"/>
                <w:szCs w:val="14"/>
                <w:color w:val="005C7D"/>
                <w:w w:val="96"/>
              </w:rPr>
              <w:t xml:space="preserve">– </w:t>
            </w:r>
            <w:r>
              <w:rPr>
                <w:rFonts w:ascii="Arial" w:cs="Arial" w:eastAsia="Arial" w:hAnsi="Arial"/>
                <w:sz w:val="14"/>
                <w:szCs w:val="14"/>
                <w:i w:val="1"/>
                <w:iCs w:val="1"/>
                <w:color w:val="005C7D"/>
                <w:w w:val="96"/>
              </w:rPr>
              <w:t>2017 Proxy Statement</w:t>
            </w:r>
            <w:r>
              <w:rPr>
                <w:rFonts w:ascii="Arial" w:cs="Arial" w:eastAsia="Arial" w:hAnsi="Arial"/>
                <w:sz w:val="14"/>
                <w:szCs w:val="14"/>
                <w:color w:val="005C7D"/>
                <w:w w:val="96"/>
              </w:rPr>
              <w:t xml:space="preserve">  </w:t>
            </w:r>
            <w:r>
              <w:rPr>
                <w:rFonts w:ascii="Arial" w:cs="Arial" w:eastAsia="Arial" w:hAnsi="Arial"/>
                <w:sz w:val="18"/>
                <w:szCs w:val="18"/>
                <w:color w:val="005C7D"/>
                <w:w w:val="96"/>
              </w:rPr>
              <w:t>71</w:t>
            </w:r>
          </w:p>
        </w:tc>
      </w:tr>
      <w:tr>
        <w:trPr>
          <w:trHeight w:val="554"/>
        </w:trPr>
        <w:tc>
          <w:tcPr>
            <w:tcW w:w="220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68"/>
        </w:trPr>
        <w:tc>
          <w:tcPr>
            <w:tcW w:w="2200" w:type="dxa"/>
            <w:vAlign w:val="bottom"/>
            <w:shd w:val="clear" w:color="auto" w:fill="000000"/>
          </w:tcPr>
          <w:p>
            <w:pPr>
              <w:spacing w:after="0"/>
              <w:rPr>
                <w:sz w:val="5"/>
                <w:szCs w:val="5"/>
                <w:color w:val="auto"/>
              </w:rPr>
            </w:pPr>
          </w:p>
        </w:tc>
        <w:tc>
          <w:tcPr>
            <w:tcW w:w="736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4746625</wp:posOffset>
            </wp:positionH>
            <wp:positionV relativeFrom="paragraph">
              <wp:posOffset>-530860</wp:posOffset>
            </wp:positionV>
            <wp:extent cx="163195" cy="1543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005C7D"/>
        </w:rPr>
        <w:t>TABULAR EXECUTIVE COMPENSATION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L3 Communication Systems – West Retirement Plan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80" w:type="dxa"/>
            <w:vAlign w:val="bottom"/>
            <w:shd w:val="clear" w:color="auto" w:fill="CDDAE6"/>
          </w:tcPr>
          <w:p>
            <w:pPr>
              <w:ind w:left="40"/>
              <w:spacing w:after="0"/>
              <w:rPr>
                <w:sz w:val="20"/>
                <w:szCs w:val="20"/>
                <w:color w:val="auto"/>
              </w:rPr>
            </w:pPr>
            <w:r>
              <w:rPr>
                <w:rFonts w:ascii="Arial" w:cs="Arial" w:eastAsia="Arial" w:hAnsi="Arial"/>
                <w:sz w:val="18"/>
                <w:szCs w:val="18"/>
                <w:color w:val="auto"/>
              </w:rPr>
              <w:t>Eligibility</w:t>
            </w:r>
          </w:p>
        </w:tc>
        <w:tc>
          <w:tcPr>
            <w:tcW w:w="7280" w:type="dxa"/>
            <w:vAlign w:val="bottom"/>
            <w:shd w:val="clear" w:color="auto" w:fill="CDDAE6"/>
          </w:tcPr>
          <w:p>
            <w:pPr>
              <w:ind w:left="60"/>
              <w:spacing w:after="0"/>
              <w:rPr>
                <w:sz w:val="20"/>
                <w:szCs w:val="20"/>
                <w:color w:val="auto"/>
              </w:rPr>
            </w:pPr>
            <w:r>
              <w:rPr>
                <w:rFonts w:ascii="Arial" w:cs="Arial" w:eastAsia="Arial" w:hAnsi="Arial"/>
                <w:sz w:val="18"/>
                <w:szCs w:val="18"/>
                <w:color w:val="auto"/>
                <w:w w:val="93"/>
              </w:rPr>
              <w:t>Employees were eligible to participate in the plan if they were participants in the Lockheed Martin</w:t>
            </w:r>
          </w:p>
        </w:tc>
      </w:tr>
      <w:tr>
        <w:trPr>
          <w:trHeight w:val="216"/>
        </w:trPr>
        <w:tc>
          <w:tcPr>
            <w:tcW w:w="2280" w:type="dxa"/>
            <w:vAlign w:val="bottom"/>
            <w:shd w:val="clear" w:color="auto" w:fill="CDDAE6"/>
          </w:tcPr>
          <w:p>
            <w:pPr>
              <w:spacing w:after="0"/>
              <w:rPr>
                <w:sz w:val="18"/>
                <w:szCs w:val="18"/>
                <w:color w:val="auto"/>
              </w:rPr>
            </w:pPr>
          </w:p>
        </w:tc>
        <w:tc>
          <w:tcPr>
            <w:tcW w:w="7280" w:type="dxa"/>
            <w:vAlign w:val="bottom"/>
            <w:shd w:val="clear" w:color="auto" w:fill="CDDAE6"/>
          </w:tcPr>
          <w:p>
            <w:pPr>
              <w:ind w:left="60"/>
              <w:spacing w:after="0"/>
              <w:rPr>
                <w:sz w:val="20"/>
                <w:szCs w:val="20"/>
                <w:color w:val="auto"/>
              </w:rPr>
            </w:pPr>
            <w:r>
              <w:rPr>
                <w:rFonts w:ascii="Arial" w:cs="Arial" w:eastAsia="Arial" w:hAnsi="Arial"/>
                <w:sz w:val="18"/>
                <w:szCs w:val="18"/>
                <w:color w:val="auto"/>
                <w:w w:val="99"/>
              </w:rPr>
              <w:t>Tactical Defense Systems Retirement Plan on April 30, 1997 and became employees of L3</w:t>
            </w:r>
          </w:p>
        </w:tc>
      </w:tr>
      <w:tr>
        <w:trPr>
          <w:trHeight w:val="244"/>
        </w:trPr>
        <w:tc>
          <w:tcPr>
            <w:tcW w:w="2280" w:type="dxa"/>
            <w:vAlign w:val="bottom"/>
            <w:shd w:val="clear" w:color="auto" w:fill="CDDAE6"/>
          </w:tcPr>
          <w:p>
            <w:pPr>
              <w:spacing w:after="0"/>
              <w:rPr>
                <w:sz w:val="21"/>
                <w:szCs w:val="21"/>
                <w:color w:val="auto"/>
              </w:rPr>
            </w:pPr>
          </w:p>
        </w:tc>
        <w:tc>
          <w:tcPr>
            <w:tcW w:w="7280" w:type="dxa"/>
            <w:vAlign w:val="bottom"/>
            <w:shd w:val="clear" w:color="auto" w:fill="CDDAE6"/>
          </w:tcPr>
          <w:p>
            <w:pPr>
              <w:ind w:left="60"/>
              <w:spacing w:after="0"/>
              <w:rPr>
                <w:sz w:val="20"/>
                <w:szCs w:val="20"/>
                <w:color w:val="auto"/>
              </w:rPr>
            </w:pPr>
            <w:r>
              <w:rPr>
                <w:rFonts w:ascii="Arial" w:cs="Arial" w:eastAsia="Arial" w:hAnsi="Arial"/>
                <w:sz w:val="18"/>
                <w:szCs w:val="18"/>
                <w:color w:val="auto"/>
              </w:rPr>
              <w:t>Communication Systems-West on May 1, 1997.</w:t>
            </w:r>
          </w:p>
        </w:tc>
      </w:tr>
      <w:tr>
        <w:trPr>
          <w:trHeight w:val="237"/>
        </w:trPr>
        <w:tc>
          <w:tcPr>
            <w:tcW w:w="2280" w:type="dxa"/>
            <w:vAlign w:val="bottom"/>
          </w:tcPr>
          <w:p>
            <w:pPr>
              <w:ind w:left="40"/>
              <w:spacing w:after="0"/>
              <w:rPr>
                <w:sz w:val="20"/>
                <w:szCs w:val="20"/>
                <w:color w:val="auto"/>
              </w:rPr>
            </w:pPr>
            <w:r>
              <w:rPr>
                <w:rFonts w:ascii="Arial" w:cs="Arial" w:eastAsia="Arial" w:hAnsi="Arial"/>
                <w:sz w:val="18"/>
                <w:szCs w:val="18"/>
                <w:color w:val="auto"/>
              </w:rPr>
              <w:t>Vesting</w:t>
            </w:r>
          </w:p>
        </w:tc>
        <w:tc>
          <w:tcPr>
            <w:tcW w:w="7280" w:type="dxa"/>
            <w:vAlign w:val="bottom"/>
          </w:tcPr>
          <w:p>
            <w:pPr>
              <w:ind w:left="60"/>
              <w:spacing w:after="0"/>
              <w:rPr>
                <w:sz w:val="20"/>
                <w:szCs w:val="20"/>
                <w:color w:val="auto"/>
              </w:rPr>
            </w:pPr>
            <w:r>
              <w:rPr>
                <w:rFonts w:ascii="Arial" w:cs="Arial" w:eastAsia="Arial" w:hAnsi="Arial"/>
                <w:sz w:val="18"/>
                <w:szCs w:val="18"/>
                <w:color w:val="auto"/>
              </w:rPr>
              <w:t>Participants are fully vested after five years of service, and there is no partial vesting.</w:t>
            </w:r>
          </w:p>
        </w:tc>
      </w:tr>
      <w:tr>
        <w:trPr>
          <w:trHeight w:val="222"/>
        </w:trPr>
        <w:tc>
          <w:tcPr>
            <w:tcW w:w="2280" w:type="dxa"/>
            <w:vAlign w:val="bottom"/>
            <w:shd w:val="clear" w:color="auto" w:fill="CDDAE6"/>
          </w:tcPr>
          <w:p>
            <w:pPr>
              <w:ind w:left="40"/>
              <w:spacing w:after="0"/>
              <w:rPr>
                <w:sz w:val="20"/>
                <w:szCs w:val="20"/>
                <w:color w:val="auto"/>
              </w:rPr>
            </w:pPr>
            <w:r>
              <w:rPr>
                <w:rFonts w:ascii="Arial" w:cs="Arial" w:eastAsia="Arial" w:hAnsi="Arial"/>
                <w:sz w:val="18"/>
                <w:szCs w:val="18"/>
                <w:color w:val="auto"/>
              </w:rPr>
              <w:t>Availability of Early</w:t>
            </w:r>
          </w:p>
        </w:tc>
        <w:tc>
          <w:tcPr>
            <w:tcW w:w="7280" w:type="dxa"/>
            <w:vAlign w:val="bottom"/>
            <w:shd w:val="clear" w:color="auto" w:fill="CDDAE6"/>
          </w:tcPr>
          <w:p>
            <w:pPr>
              <w:ind w:left="60"/>
              <w:spacing w:after="0"/>
              <w:rPr>
                <w:sz w:val="20"/>
                <w:szCs w:val="20"/>
                <w:color w:val="auto"/>
              </w:rPr>
            </w:pPr>
            <w:r>
              <w:rPr>
                <w:rFonts w:ascii="Arial" w:cs="Arial" w:eastAsia="Arial" w:hAnsi="Arial"/>
                <w:sz w:val="18"/>
                <w:szCs w:val="18"/>
                <w:color w:val="auto"/>
              </w:rPr>
              <w:t>Participants are eligible for early retirement benefits after age 55, if they have five years of</w:t>
            </w:r>
          </w:p>
        </w:tc>
      </w:tr>
      <w:tr>
        <w:trPr>
          <w:trHeight w:val="244"/>
        </w:trPr>
        <w:tc>
          <w:tcPr>
            <w:tcW w:w="2280" w:type="dxa"/>
            <w:vAlign w:val="bottom"/>
            <w:shd w:val="clear" w:color="auto" w:fill="CDDAE6"/>
          </w:tcPr>
          <w:p>
            <w:pPr>
              <w:ind w:left="40"/>
              <w:spacing w:after="0"/>
              <w:rPr>
                <w:sz w:val="20"/>
                <w:szCs w:val="20"/>
                <w:color w:val="auto"/>
              </w:rPr>
            </w:pPr>
            <w:r>
              <w:rPr>
                <w:rFonts w:ascii="Arial" w:cs="Arial" w:eastAsia="Arial" w:hAnsi="Arial"/>
                <w:sz w:val="18"/>
                <w:szCs w:val="18"/>
                <w:color w:val="auto"/>
              </w:rPr>
              <w:t>Retirement Benefits</w:t>
            </w:r>
          </w:p>
        </w:tc>
        <w:tc>
          <w:tcPr>
            <w:tcW w:w="7280" w:type="dxa"/>
            <w:vAlign w:val="bottom"/>
            <w:shd w:val="clear" w:color="auto" w:fill="CDDAE6"/>
          </w:tcPr>
          <w:p>
            <w:pPr>
              <w:ind w:left="60"/>
              <w:spacing w:after="0"/>
              <w:rPr>
                <w:sz w:val="20"/>
                <w:szCs w:val="20"/>
                <w:color w:val="auto"/>
              </w:rPr>
            </w:pPr>
            <w:r>
              <w:rPr>
                <w:rFonts w:ascii="Arial" w:cs="Arial" w:eastAsia="Arial" w:hAnsi="Arial"/>
                <w:sz w:val="18"/>
                <w:szCs w:val="18"/>
                <w:color w:val="auto"/>
              </w:rPr>
              <w:t>eligibility service.</w:t>
            </w:r>
          </w:p>
        </w:tc>
      </w:tr>
      <w:tr>
        <w:trPr>
          <w:trHeight w:val="215"/>
        </w:trPr>
        <w:tc>
          <w:tcPr>
            <w:tcW w:w="2280" w:type="dxa"/>
            <w:vAlign w:val="bottom"/>
          </w:tcPr>
          <w:p>
            <w:pPr>
              <w:ind w:left="40"/>
              <w:spacing w:after="0"/>
              <w:rPr>
                <w:sz w:val="20"/>
                <w:szCs w:val="20"/>
                <w:color w:val="auto"/>
              </w:rPr>
            </w:pPr>
            <w:r>
              <w:rPr>
                <w:rFonts w:ascii="Arial" w:cs="Arial" w:eastAsia="Arial" w:hAnsi="Arial"/>
                <w:sz w:val="18"/>
                <w:szCs w:val="18"/>
                <w:color w:val="auto"/>
              </w:rPr>
              <w:t>Earnings</w:t>
            </w:r>
          </w:p>
        </w:tc>
        <w:tc>
          <w:tcPr>
            <w:tcW w:w="7280" w:type="dxa"/>
            <w:vAlign w:val="bottom"/>
          </w:tcPr>
          <w:p>
            <w:pPr>
              <w:ind w:left="60"/>
              <w:spacing w:after="0"/>
              <w:rPr>
                <w:sz w:val="20"/>
                <w:szCs w:val="20"/>
                <w:color w:val="auto"/>
              </w:rPr>
            </w:pPr>
            <w:r>
              <w:rPr>
                <w:rFonts w:ascii="Arial" w:cs="Arial" w:eastAsia="Arial" w:hAnsi="Arial"/>
                <w:sz w:val="18"/>
                <w:szCs w:val="18"/>
                <w:color w:val="auto"/>
                <w:w w:val="90"/>
              </w:rPr>
              <w:t>Earnings are defined as regular pay plus overtime, commissions, performance-based cash bonuses</w:t>
            </w:r>
          </w:p>
        </w:tc>
      </w:tr>
      <w:tr>
        <w:trPr>
          <w:trHeight w:val="216"/>
        </w:trPr>
        <w:tc>
          <w:tcPr>
            <w:tcW w:w="2280" w:type="dxa"/>
            <w:vAlign w:val="bottom"/>
          </w:tcPr>
          <w:p>
            <w:pPr>
              <w:spacing w:after="0"/>
              <w:rPr>
                <w:sz w:val="18"/>
                <w:szCs w:val="18"/>
                <w:color w:val="auto"/>
              </w:rPr>
            </w:pPr>
          </w:p>
        </w:tc>
        <w:tc>
          <w:tcPr>
            <w:tcW w:w="7280" w:type="dxa"/>
            <w:vAlign w:val="bottom"/>
          </w:tcPr>
          <w:p>
            <w:pPr>
              <w:ind w:left="60"/>
              <w:spacing w:after="0"/>
              <w:rPr>
                <w:sz w:val="20"/>
                <w:szCs w:val="20"/>
                <w:color w:val="auto"/>
              </w:rPr>
            </w:pPr>
            <w:r>
              <w:rPr>
                <w:rFonts w:ascii="Arial" w:cs="Arial" w:eastAsia="Arial" w:hAnsi="Arial"/>
                <w:sz w:val="18"/>
                <w:szCs w:val="18"/>
                <w:color w:val="auto"/>
                <w:w w:val="94"/>
              </w:rPr>
              <w:t>(excluding long-term incentive awards payable in cash) and fringe benefits and are limited to the</w:t>
            </w:r>
          </w:p>
        </w:tc>
      </w:tr>
      <w:tr>
        <w:trPr>
          <w:trHeight w:val="237"/>
        </w:trPr>
        <w:tc>
          <w:tcPr>
            <w:tcW w:w="2280" w:type="dxa"/>
            <w:vAlign w:val="bottom"/>
          </w:tcPr>
          <w:p>
            <w:pPr>
              <w:spacing w:after="0"/>
              <w:rPr>
                <w:sz w:val="20"/>
                <w:szCs w:val="20"/>
                <w:color w:val="auto"/>
              </w:rPr>
            </w:pPr>
          </w:p>
        </w:tc>
        <w:tc>
          <w:tcPr>
            <w:tcW w:w="7280" w:type="dxa"/>
            <w:vAlign w:val="bottom"/>
          </w:tcPr>
          <w:p>
            <w:pPr>
              <w:ind w:left="60"/>
              <w:spacing w:after="0"/>
              <w:rPr>
                <w:sz w:val="20"/>
                <w:szCs w:val="20"/>
                <w:color w:val="auto"/>
              </w:rPr>
            </w:pPr>
            <w:r>
              <w:rPr>
                <w:rFonts w:ascii="Arial" w:cs="Arial" w:eastAsia="Arial" w:hAnsi="Arial"/>
                <w:sz w:val="18"/>
                <w:szCs w:val="18"/>
                <w:color w:val="auto"/>
              </w:rPr>
              <w:t>IRS earnings limit of $240,000 in 2016 and 2017.</w:t>
            </w:r>
          </w:p>
        </w:tc>
      </w:tr>
      <w:tr>
        <w:trPr>
          <w:trHeight w:val="222"/>
        </w:trPr>
        <w:tc>
          <w:tcPr>
            <w:tcW w:w="2280" w:type="dxa"/>
            <w:vAlign w:val="bottom"/>
            <w:shd w:val="clear" w:color="auto" w:fill="CDDAE6"/>
          </w:tcPr>
          <w:p>
            <w:pPr>
              <w:ind w:left="40"/>
              <w:spacing w:after="0"/>
              <w:rPr>
                <w:sz w:val="20"/>
                <w:szCs w:val="20"/>
                <w:color w:val="auto"/>
              </w:rPr>
            </w:pPr>
            <w:r>
              <w:rPr>
                <w:rFonts w:ascii="Arial" w:cs="Arial" w:eastAsia="Arial" w:hAnsi="Arial"/>
                <w:sz w:val="18"/>
                <w:szCs w:val="18"/>
                <w:color w:val="auto"/>
              </w:rPr>
              <w:t>Final Average Earnings</w:t>
            </w:r>
          </w:p>
        </w:tc>
        <w:tc>
          <w:tcPr>
            <w:tcW w:w="7280" w:type="dxa"/>
            <w:vAlign w:val="bottom"/>
            <w:shd w:val="clear" w:color="auto" w:fill="CDDAE6"/>
          </w:tcPr>
          <w:p>
            <w:pPr>
              <w:ind w:left="60"/>
              <w:spacing w:after="0"/>
              <w:rPr>
                <w:sz w:val="20"/>
                <w:szCs w:val="20"/>
                <w:color w:val="auto"/>
              </w:rPr>
            </w:pPr>
            <w:r>
              <w:rPr>
                <w:rFonts w:ascii="Arial" w:cs="Arial" w:eastAsia="Arial" w:hAnsi="Arial"/>
                <w:sz w:val="18"/>
                <w:szCs w:val="18"/>
                <w:color w:val="auto"/>
                <w:w w:val="92"/>
              </w:rPr>
              <w:t>FAE is used in calculating the benefit accrued prior to January 1, 1991 and is equal to the average</w:t>
            </w:r>
          </w:p>
        </w:tc>
      </w:tr>
      <w:tr>
        <w:trPr>
          <w:trHeight w:val="216"/>
        </w:trPr>
        <w:tc>
          <w:tcPr>
            <w:tcW w:w="2280" w:type="dxa"/>
            <w:vAlign w:val="bottom"/>
            <w:shd w:val="clear" w:color="auto" w:fill="CDDAE6"/>
          </w:tcPr>
          <w:p>
            <w:pPr>
              <w:ind w:left="40"/>
              <w:spacing w:after="0"/>
              <w:rPr>
                <w:sz w:val="20"/>
                <w:szCs w:val="20"/>
                <w:color w:val="auto"/>
              </w:rPr>
            </w:pPr>
            <w:r>
              <w:rPr>
                <w:rFonts w:ascii="Arial" w:cs="Arial" w:eastAsia="Arial" w:hAnsi="Arial"/>
                <w:sz w:val="18"/>
                <w:szCs w:val="18"/>
                <w:color w:val="auto"/>
              </w:rPr>
              <w:t>(“FAE”)</w:t>
            </w:r>
          </w:p>
        </w:tc>
        <w:tc>
          <w:tcPr>
            <w:tcW w:w="7280" w:type="dxa"/>
            <w:vAlign w:val="bottom"/>
            <w:shd w:val="clear" w:color="auto" w:fill="CDDAE6"/>
          </w:tcPr>
          <w:p>
            <w:pPr>
              <w:ind w:left="60"/>
              <w:spacing w:after="0"/>
              <w:rPr>
                <w:sz w:val="20"/>
                <w:szCs w:val="20"/>
                <w:color w:val="auto"/>
              </w:rPr>
            </w:pPr>
            <w:r>
              <w:rPr>
                <w:rFonts w:ascii="Arial" w:cs="Arial" w:eastAsia="Arial" w:hAnsi="Arial"/>
                <w:sz w:val="18"/>
                <w:szCs w:val="18"/>
                <w:color w:val="auto"/>
                <w:w w:val="96"/>
              </w:rPr>
              <w:t>of the participant’s earnings for the 60 consecutive months during the 120 consecutive months</w:t>
            </w:r>
          </w:p>
        </w:tc>
      </w:tr>
      <w:tr>
        <w:trPr>
          <w:trHeight w:val="244"/>
        </w:trPr>
        <w:tc>
          <w:tcPr>
            <w:tcW w:w="2280" w:type="dxa"/>
            <w:vAlign w:val="bottom"/>
            <w:shd w:val="clear" w:color="auto" w:fill="CDDAE6"/>
          </w:tcPr>
          <w:p>
            <w:pPr>
              <w:spacing w:after="0"/>
              <w:rPr>
                <w:sz w:val="21"/>
                <w:szCs w:val="21"/>
                <w:color w:val="auto"/>
              </w:rPr>
            </w:pPr>
          </w:p>
        </w:tc>
        <w:tc>
          <w:tcPr>
            <w:tcW w:w="7280" w:type="dxa"/>
            <w:vAlign w:val="bottom"/>
            <w:shd w:val="clear" w:color="auto" w:fill="CDDAE6"/>
          </w:tcPr>
          <w:p>
            <w:pPr>
              <w:ind w:left="60"/>
              <w:spacing w:after="0"/>
              <w:rPr>
                <w:sz w:val="20"/>
                <w:szCs w:val="20"/>
                <w:color w:val="auto"/>
              </w:rPr>
            </w:pPr>
            <w:r>
              <w:rPr>
                <w:rFonts w:ascii="Arial" w:cs="Arial" w:eastAsia="Arial" w:hAnsi="Arial"/>
                <w:sz w:val="18"/>
                <w:szCs w:val="18"/>
                <w:color w:val="auto"/>
              </w:rPr>
              <w:t>prior to January 1, 1991 that result in the highest average earnings amount.</w:t>
            </w:r>
          </w:p>
        </w:tc>
      </w:tr>
      <w:tr>
        <w:trPr>
          <w:trHeight w:val="237"/>
        </w:trPr>
        <w:tc>
          <w:tcPr>
            <w:tcW w:w="2280" w:type="dxa"/>
            <w:vAlign w:val="bottom"/>
          </w:tcPr>
          <w:p>
            <w:pPr>
              <w:ind w:left="40"/>
              <w:spacing w:after="0"/>
              <w:rPr>
                <w:sz w:val="20"/>
                <w:szCs w:val="20"/>
                <w:color w:val="auto"/>
              </w:rPr>
            </w:pPr>
            <w:r>
              <w:rPr>
                <w:rFonts w:ascii="Arial" w:cs="Arial" w:eastAsia="Arial" w:hAnsi="Arial"/>
                <w:sz w:val="18"/>
                <w:szCs w:val="18"/>
                <w:color w:val="auto"/>
              </w:rPr>
              <w:t>Social Security Wage Base</w:t>
            </w:r>
          </w:p>
        </w:tc>
        <w:tc>
          <w:tcPr>
            <w:tcW w:w="7280" w:type="dxa"/>
            <w:vAlign w:val="bottom"/>
          </w:tcPr>
          <w:p>
            <w:pPr>
              <w:ind w:left="60"/>
              <w:spacing w:after="0"/>
              <w:rPr>
                <w:sz w:val="20"/>
                <w:szCs w:val="20"/>
                <w:color w:val="auto"/>
              </w:rPr>
            </w:pPr>
            <w:r>
              <w:rPr>
                <w:rFonts w:ascii="Arial" w:cs="Arial" w:eastAsia="Arial" w:hAnsi="Arial"/>
                <w:sz w:val="18"/>
                <w:szCs w:val="18"/>
                <w:color w:val="auto"/>
              </w:rPr>
              <w:t>The wage level at which social security tax is applied for a given year.</w:t>
            </w:r>
          </w:p>
        </w:tc>
      </w:tr>
      <w:tr>
        <w:trPr>
          <w:trHeight w:val="222"/>
        </w:trPr>
        <w:tc>
          <w:tcPr>
            <w:tcW w:w="2280" w:type="dxa"/>
            <w:vAlign w:val="bottom"/>
            <w:shd w:val="clear" w:color="auto" w:fill="CDDAE6"/>
          </w:tcPr>
          <w:p>
            <w:pPr>
              <w:ind w:left="40"/>
              <w:spacing w:after="0"/>
              <w:rPr>
                <w:sz w:val="20"/>
                <w:szCs w:val="20"/>
                <w:color w:val="auto"/>
              </w:rPr>
            </w:pPr>
            <w:r>
              <w:rPr>
                <w:rFonts w:ascii="Arial" w:cs="Arial" w:eastAsia="Arial" w:hAnsi="Arial"/>
                <w:sz w:val="18"/>
                <w:szCs w:val="18"/>
                <w:color w:val="auto"/>
                <w:w w:val="94"/>
              </w:rPr>
              <w:t>Final Average Social Security</w:t>
            </w:r>
          </w:p>
        </w:tc>
        <w:tc>
          <w:tcPr>
            <w:tcW w:w="7280" w:type="dxa"/>
            <w:vAlign w:val="bottom"/>
            <w:shd w:val="clear" w:color="auto" w:fill="CDDAE6"/>
          </w:tcPr>
          <w:p>
            <w:pPr>
              <w:ind w:left="60"/>
              <w:spacing w:after="0"/>
              <w:rPr>
                <w:sz w:val="20"/>
                <w:szCs w:val="20"/>
                <w:color w:val="auto"/>
              </w:rPr>
            </w:pPr>
            <w:r>
              <w:rPr>
                <w:rFonts w:ascii="Arial" w:cs="Arial" w:eastAsia="Arial" w:hAnsi="Arial"/>
                <w:sz w:val="18"/>
                <w:szCs w:val="18"/>
                <w:color w:val="auto"/>
                <w:w w:val="93"/>
              </w:rPr>
              <w:t>FASS is equal to the average of the Social Security Wage Bases (determined at the start of each</w:t>
            </w:r>
          </w:p>
        </w:tc>
      </w:tr>
      <w:tr>
        <w:trPr>
          <w:trHeight w:val="216"/>
        </w:trPr>
        <w:tc>
          <w:tcPr>
            <w:tcW w:w="2280" w:type="dxa"/>
            <w:vAlign w:val="bottom"/>
            <w:shd w:val="clear" w:color="auto" w:fill="CDDAE6"/>
          </w:tcPr>
          <w:p>
            <w:pPr>
              <w:ind w:left="40"/>
              <w:spacing w:after="0"/>
              <w:rPr>
                <w:sz w:val="20"/>
                <w:szCs w:val="20"/>
                <w:color w:val="auto"/>
              </w:rPr>
            </w:pPr>
            <w:r>
              <w:rPr>
                <w:rFonts w:ascii="Arial" w:cs="Arial" w:eastAsia="Arial" w:hAnsi="Arial"/>
                <w:sz w:val="18"/>
                <w:szCs w:val="18"/>
                <w:color w:val="auto"/>
              </w:rPr>
              <w:t>Wage Base (“FASS”)</w:t>
            </w:r>
          </w:p>
        </w:tc>
        <w:tc>
          <w:tcPr>
            <w:tcW w:w="7280" w:type="dxa"/>
            <w:vAlign w:val="bottom"/>
            <w:shd w:val="clear" w:color="auto" w:fill="CDDAE6"/>
          </w:tcPr>
          <w:p>
            <w:pPr>
              <w:ind w:left="60"/>
              <w:spacing w:after="0"/>
              <w:rPr>
                <w:sz w:val="20"/>
                <w:szCs w:val="20"/>
                <w:color w:val="auto"/>
              </w:rPr>
            </w:pPr>
            <w:r>
              <w:rPr>
                <w:rFonts w:ascii="Arial" w:cs="Arial" w:eastAsia="Arial" w:hAnsi="Arial"/>
                <w:sz w:val="18"/>
                <w:szCs w:val="18"/>
                <w:color w:val="auto"/>
                <w:w w:val="94"/>
              </w:rPr>
              <w:t>plan year) for the last five consecutive years prior to termination; however, the FASS for the five</w:t>
            </w:r>
          </w:p>
        </w:tc>
      </w:tr>
      <w:tr>
        <w:trPr>
          <w:trHeight w:val="244"/>
        </w:trPr>
        <w:tc>
          <w:tcPr>
            <w:tcW w:w="2280" w:type="dxa"/>
            <w:vAlign w:val="bottom"/>
            <w:shd w:val="clear" w:color="auto" w:fill="CDDAE6"/>
          </w:tcPr>
          <w:p>
            <w:pPr>
              <w:spacing w:after="0"/>
              <w:rPr>
                <w:sz w:val="21"/>
                <w:szCs w:val="21"/>
                <w:color w:val="auto"/>
              </w:rPr>
            </w:pPr>
          </w:p>
        </w:tc>
        <w:tc>
          <w:tcPr>
            <w:tcW w:w="7280" w:type="dxa"/>
            <w:vAlign w:val="bottom"/>
            <w:shd w:val="clear" w:color="auto" w:fill="CDDAE6"/>
          </w:tcPr>
          <w:p>
            <w:pPr>
              <w:ind w:left="60"/>
              <w:spacing w:after="0"/>
              <w:rPr>
                <w:sz w:val="20"/>
                <w:szCs w:val="20"/>
                <w:color w:val="auto"/>
              </w:rPr>
            </w:pPr>
            <w:r>
              <w:rPr>
                <w:rFonts w:ascii="Arial" w:cs="Arial" w:eastAsia="Arial" w:hAnsi="Arial"/>
                <w:sz w:val="18"/>
                <w:szCs w:val="18"/>
                <w:color w:val="auto"/>
              </w:rPr>
              <w:t>years prior to January 1, 1991 is $46,020.</w:t>
            </w:r>
          </w:p>
        </w:tc>
      </w:tr>
      <w:tr>
        <w:trPr>
          <w:trHeight w:val="215"/>
        </w:trPr>
        <w:tc>
          <w:tcPr>
            <w:tcW w:w="2280" w:type="dxa"/>
            <w:vAlign w:val="bottom"/>
          </w:tcPr>
          <w:p>
            <w:pPr>
              <w:ind w:left="40"/>
              <w:spacing w:after="0"/>
              <w:rPr>
                <w:sz w:val="20"/>
                <w:szCs w:val="20"/>
                <w:color w:val="auto"/>
              </w:rPr>
            </w:pPr>
            <w:r>
              <w:rPr>
                <w:rFonts w:ascii="Arial" w:cs="Arial" w:eastAsia="Arial" w:hAnsi="Arial"/>
                <w:sz w:val="18"/>
                <w:szCs w:val="18"/>
                <w:color w:val="auto"/>
              </w:rPr>
              <w:t>Benefit Plan Formula</w:t>
            </w:r>
          </w:p>
        </w:tc>
        <w:tc>
          <w:tcPr>
            <w:tcW w:w="7280" w:type="dxa"/>
            <w:vAlign w:val="bottom"/>
          </w:tcPr>
          <w:p>
            <w:pPr>
              <w:ind w:left="60"/>
              <w:spacing w:after="0"/>
              <w:rPr>
                <w:sz w:val="20"/>
                <w:szCs w:val="20"/>
                <w:color w:val="auto"/>
              </w:rPr>
            </w:pPr>
            <w:r>
              <w:rPr>
                <w:rFonts w:ascii="Arial" w:cs="Arial" w:eastAsia="Arial" w:hAnsi="Arial"/>
                <w:sz w:val="18"/>
                <w:szCs w:val="18"/>
                <w:color w:val="auto"/>
                <w:w w:val="91"/>
              </w:rPr>
              <w:t>The annual pension benefit is equal to the sum of (a)(1) 1% of pre-1991 FAE up to 50% of the pre-</w:t>
            </w:r>
          </w:p>
        </w:tc>
      </w:tr>
      <w:tr>
        <w:trPr>
          <w:trHeight w:val="216"/>
        </w:trPr>
        <w:tc>
          <w:tcPr>
            <w:tcW w:w="2280" w:type="dxa"/>
            <w:vAlign w:val="bottom"/>
          </w:tcPr>
          <w:p>
            <w:pPr>
              <w:spacing w:after="0"/>
              <w:rPr>
                <w:sz w:val="18"/>
                <w:szCs w:val="18"/>
                <w:color w:val="auto"/>
              </w:rPr>
            </w:pPr>
          </w:p>
        </w:tc>
        <w:tc>
          <w:tcPr>
            <w:tcW w:w="7280" w:type="dxa"/>
            <w:vAlign w:val="bottom"/>
          </w:tcPr>
          <w:p>
            <w:pPr>
              <w:ind w:left="60"/>
              <w:spacing w:after="0"/>
              <w:rPr>
                <w:sz w:val="20"/>
                <w:szCs w:val="20"/>
                <w:color w:val="auto"/>
              </w:rPr>
            </w:pPr>
            <w:r>
              <w:rPr>
                <w:rFonts w:ascii="Arial" w:cs="Arial" w:eastAsia="Arial" w:hAnsi="Arial"/>
                <w:sz w:val="18"/>
                <w:szCs w:val="18"/>
                <w:color w:val="auto"/>
                <w:w w:val="93"/>
              </w:rPr>
              <w:t>1991 FASS plus 1.35% of pre-1991 FAE in excess of the pre-1991 FASS, multiplied by (2) years</w:t>
            </w:r>
          </w:p>
        </w:tc>
      </w:tr>
      <w:tr>
        <w:trPr>
          <w:trHeight w:val="216"/>
        </w:trPr>
        <w:tc>
          <w:tcPr>
            <w:tcW w:w="2280" w:type="dxa"/>
            <w:vAlign w:val="bottom"/>
          </w:tcPr>
          <w:p>
            <w:pPr>
              <w:spacing w:after="0"/>
              <w:rPr>
                <w:sz w:val="18"/>
                <w:szCs w:val="18"/>
                <w:color w:val="auto"/>
              </w:rPr>
            </w:pPr>
          </w:p>
        </w:tc>
        <w:tc>
          <w:tcPr>
            <w:tcW w:w="7280" w:type="dxa"/>
            <w:vAlign w:val="bottom"/>
          </w:tcPr>
          <w:p>
            <w:pPr>
              <w:ind w:left="60"/>
              <w:spacing w:after="0"/>
              <w:rPr>
                <w:sz w:val="20"/>
                <w:szCs w:val="20"/>
                <w:color w:val="auto"/>
              </w:rPr>
            </w:pPr>
            <w:r>
              <w:rPr>
                <w:rFonts w:ascii="Arial" w:cs="Arial" w:eastAsia="Arial" w:hAnsi="Arial"/>
                <w:sz w:val="18"/>
                <w:szCs w:val="18"/>
                <w:color w:val="auto"/>
                <w:w w:val="92"/>
              </w:rPr>
              <w:t>of accrual service as of December 31, 1990, and (b) for each year of accrual service after January</w:t>
            </w:r>
          </w:p>
        </w:tc>
      </w:tr>
      <w:tr>
        <w:trPr>
          <w:trHeight w:val="216"/>
        </w:trPr>
        <w:tc>
          <w:tcPr>
            <w:tcW w:w="2280" w:type="dxa"/>
            <w:vAlign w:val="bottom"/>
          </w:tcPr>
          <w:p>
            <w:pPr>
              <w:spacing w:after="0"/>
              <w:rPr>
                <w:sz w:val="18"/>
                <w:szCs w:val="18"/>
                <w:color w:val="auto"/>
              </w:rPr>
            </w:pPr>
          </w:p>
        </w:tc>
        <w:tc>
          <w:tcPr>
            <w:tcW w:w="7280" w:type="dxa"/>
            <w:vAlign w:val="bottom"/>
          </w:tcPr>
          <w:p>
            <w:pPr>
              <w:ind w:left="60"/>
              <w:spacing w:after="0"/>
              <w:rPr>
                <w:sz w:val="20"/>
                <w:szCs w:val="20"/>
                <w:color w:val="auto"/>
              </w:rPr>
            </w:pPr>
            <w:r>
              <w:rPr>
                <w:rFonts w:ascii="Arial" w:cs="Arial" w:eastAsia="Arial" w:hAnsi="Arial"/>
                <w:sz w:val="18"/>
                <w:szCs w:val="18"/>
                <w:color w:val="auto"/>
                <w:w w:val="91"/>
              </w:rPr>
              <w:t>1, 1991, 1% of earnings for the year up to 50% of the FASS for the year plus 1.35% of earnings for</w:t>
            </w:r>
          </w:p>
        </w:tc>
      </w:tr>
      <w:tr>
        <w:trPr>
          <w:trHeight w:val="237"/>
        </w:trPr>
        <w:tc>
          <w:tcPr>
            <w:tcW w:w="2280" w:type="dxa"/>
            <w:vAlign w:val="bottom"/>
          </w:tcPr>
          <w:p>
            <w:pPr>
              <w:spacing w:after="0"/>
              <w:rPr>
                <w:sz w:val="20"/>
                <w:szCs w:val="20"/>
                <w:color w:val="auto"/>
              </w:rPr>
            </w:pPr>
          </w:p>
        </w:tc>
        <w:tc>
          <w:tcPr>
            <w:tcW w:w="7280" w:type="dxa"/>
            <w:vAlign w:val="bottom"/>
          </w:tcPr>
          <w:p>
            <w:pPr>
              <w:ind w:left="60"/>
              <w:spacing w:after="0"/>
              <w:rPr>
                <w:sz w:val="20"/>
                <w:szCs w:val="20"/>
                <w:color w:val="auto"/>
              </w:rPr>
            </w:pPr>
            <w:r>
              <w:rPr>
                <w:rFonts w:ascii="Arial" w:cs="Arial" w:eastAsia="Arial" w:hAnsi="Arial"/>
                <w:sz w:val="18"/>
                <w:szCs w:val="18"/>
                <w:color w:val="auto"/>
              </w:rPr>
              <w:t>the year in excess of 50% of the FASS for the year.</w:t>
            </w:r>
          </w:p>
        </w:tc>
      </w:tr>
      <w:tr>
        <w:trPr>
          <w:trHeight w:val="222"/>
        </w:trPr>
        <w:tc>
          <w:tcPr>
            <w:tcW w:w="2280" w:type="dxa"/>
            <w:vAlign w:val="bottom"/>
            <w:shd w:val="clear" w:color="auto" w:fill="CDDAE6"/>
          </w:tcPr>
          <w:p>
            <w:pPr>
              <w:ind w:left="40"/>
              <w:spacing w:after="0"/>
              <w:rPr>
                <w:sz w:val="20"/>
                <w:szCs w:val="20"/>
                <w:color w:val="auto"/>
              </w:rPr>
            </w:pPr>
            <w:r>
              <w:rPr>
                <w:rFonts w:ascii="Arial" w:cs="Arial" w:eastAsia="Arial" w:hAnsi="Arial"/>
                <w:sz w:val="18"/>
                <w:szCs w:val="18"/>
                <w:color w:val="auto"/>
              </w:rPr>
              <w:t>Early Retirement Reduction</w:t>
            </w:r>
          </w:p>
        </w:tc>
        <w:tc>
          <w:tcPr>
            <w:tcW w:w="7280" w:type="dxa"/>
            <w:vAlign w:val="bottom"/>
            <w:shd w:val="clear" w:color="auto" w:fill="CDDAE6"/>
          </w:tcPr>
          <w:p>
            <w:pPr>
              <w:ind w:left="60"/>
              <w:spacing w:after="0"/>
              <w:rPr>
                <w:sz w:val="20"/>
                <w:szCs w:val="20"/>
                <w:color w:val="auto"/>
              </w:rPr>
            </w:pPr>
            <w:r>
              <w:rPr>
                <w:rFonts w:ascii="Arial" w:cs="Arial" w:eastAsia="Arial" w:hAnsi="Arial"/>
                <w:sz w:val="18"/>
                <w:szCs w:val="18"/>
                <w:color w:val="auto"/>
                <w:w w:val="92"/>
              </w:rPr>
              <w:t>For those participants who are eligible to retire early, the reduction factor is 6% for each year prior</w:t>
            </w:r>
          </w:p>
        </w:tc>
      </w:tr>
      <w:tr>
        <w:trPr>
          <w:trHeight w:val="244"/>
        </w:trPr>
        <w:tc>
          <w:tcPr>
            <w:tcW w:w="2280" w:type="dxa"/>
            <w:vAlign w:val="bottom"/>
            <w:shd w:val="clear" w:color="auto" w:fill="CDDAE6"/>
          </w:tcPr>
          <w:p>
            <w:pPr>
              <w:ind w:left="40"/>
              <w:spacing w:after="0"/>
              <w:rPr>
                <w:sz w:val="20"/>
                <w:szCs w:val="20"/>
                <w:color w:val="auto"/>
              </w:rPr>
            </w:pPr>
            <w:r>
              <w:rPr>
                <w:rFonts w:ascii="Arial" w:cs="Arial" w:eastAsia="Arial" w:hAnsi="Arial"/>
                <w:sz w:val="18"/>
                <w:szCs w:val="18"/>
                <w:color w:val="auto"/>
              </w:rPr>
              <w:t>Factors</w:t>
            </w:r>
          </w:p>
        </w:tc>
        <w:tc>
          <w:tcPr>
            <w:tcW w:w="7280" w:type="dxa"/>
            <w:vAlign w:val="bottom"/>
            <w:shd w:val="clear" w:color="auto" w:fill="CDDAE6"/>
          </w:tcPr>
          <w:p>
            <w:pPr>
              <w:ind w:left="60"/>
              <w:spacing w:after="0"/>
              <w:rPr>
                <w:sz w:val="20"/>
                <w:szCs w:val="20"/>
                <w:color w:val="auto"/>
              </w:rPr>
            </w:pPr>
            <w:r>
              <w:rPr>
                <w:rFonts w:ascii="Arial" w:cs="Arial" w:eastAsia="Arial" w:hAnsi="Arial"/>
                <w:sz w:val="18"/>
                <w:szCs w:val="18"/>
                <w:color w:val="auto"/>
              </w:rPr>
              <w:t>to age 65, or age 62 for a participant with 20 years or more of vesting service.</w:t>
            </w:r>
          </w:p>
        </w:tc>
      </w:tr>
      <w:tr>
        <w:trPr>
          <w:trHeight w:val="215"/>
        </w:trPr>
        <w:tc>
          <w:tcPr>
            <w:tcW w:w="2280" w:type="dxa"/>
            <w:vAlign w:val="bottom"/>
          </w:tcPr>
          <w:p>
            <w:pPr>
              <w:ind w:left="40"/>
              <w:spacing w:after="0"/>
              <w:rPr>
                <w:sz w:val="20"/>
                <w:szCs w:val="20"/>
                <w:color w:val="auto"/>
              </w:rPr>
            </w:pPr>
            <w:r>
              <w:rPr>
                <w:rFonts w:ascii="Arial" w:cs="Arial" w:eastAsia="Arial" w:hAnsi="Arial"/>
                <w:sz w:val="18"/>
                <w:szCs w:val="18"/>
                <w:color w:val="auto"/>
              </w:rPr>
              <w:t>Payment Options</w:t>
            </w:r>
          </w:p>
        </w:tc>
        <w:tc>
          <w:tcPr>
            <w:tcW w:w="7280" w:type="dxa"/>
            <w:vAlign w:val="bottom"/>
          </w:tcPr>
          <w:p>
            <w:pPr>
              <w:ind w:left="60"/>
              <w:spacing w:after="0"/>
              <w:rPr>
                <w:sz w:val="20"/>
                <w:szCs w:val="20"/>
                <w:color w:val="auto"/>
              </w:rPr>
            </w:pPr>
            <w:r>
              <w:rPr>
                <w:rFonts w:ascii="Arial" w:cs="Arial" w:eastAsia="Arial" w:hAnsi="Arial"/>
                <w:sz w:val="18"/>
                <w:szCs w:val="18"/>
                <w:color w:val="auto"/>
                <w:w w:val="96"/>
              </w:rPr>
              <w:t>The plan provides for a number of payment options including a single life annuity (normal form</w:t>
            </w:r>
          </w:p>
        </w:tc>
      </w:tr>
      <w:tr>
        <w:trPr>
          <w:trHeight w:val="216"/>
        </w:trPr>
        <w:tc>
          <w:tcPr>
            <w:tcW w:w="2280" w:type="dxa"/>
            <w:vAlign w:val="bottom"/>
          </w:tcPr>
          <w:p>
            <w:pPr>
              <w:spacing w:after="0"/>
              <w:rPr>
                <w:sz w:val="18"/>
                <w:szCs w:val="18"/>
                <w:color w:val="auto"/>
              </w:rPr>
            </w:pPr>
          </w:p>
        </w:tc>
        <w:tc>
          <w:tcPr>
            <w:tcW w:w="7280" w:type="dxa"/>
            <w:vAlign w:val="bottom"/>
          </w:tcPr>
          <w:p>
            <w:pPr>
              <w:ind w:left="60"/>
              <w:spacing w:after="0"/>
              <w:rPr>
                <w:sz w:val="20"/>
                <w:szCs w:val="20"/>
                <w:color w:val="auto"/>
              </w:rPr>
            </w:pPr>
            <w:r>
              <w:rPr>
                <w:rFonts w:ascii="Arial" w:cs="Arial" w:eastAsia="Arial" w:hAnsi="Arial"/>
                <w:sz w:val="18"/>
                <w:szCs w:val="18"/>
                <w:color w:val="auto"/>
              </w:rPr>
              <w:t>for single participants), a qualified 50% joint and survivor annuity (normal form for married</w:t>
            </w:r>
          </w:p>
        </w:tc>
      </w:tr>
      <w:tr>
        <w:trPr>
          <w:trHeight w:val="237"/>
        </w:trPr>
        <w:tc>
          <w:tcPr>
            <w:tcW w:w="2280" w:type="dxa"/>
            <w:vAlign w:val="bottom"/>
            <w:tcBorders>
              <w:bottom w:val="single" w:sz="8" w:color="005C7D"/>
            </w:tcBorders>
          </w:tcPr>
          <w:p>
            <w:pPr>
              <w:spacing w:after="0"/>
              <w:rPr>
                <w:sz w:val="20"/>
                <w:szCs w:val="20"/>
                <w:color w:val="auto"/>
              </w:rPr>
            </w:pPr>
          </w:p>
        </w:tc>
        <w:tc>
          <w:tcPr>
            <w:tcW w:w="7280" w:type="dxa"/>
            <w:vAlign w:val="bottom"/>
            <w:tcBorders>
              <w:bottom w:val="single" w:sz="8" w:color="005C7D"/>
            </w:tcBorders>
          </w:tcPr>
          <w:p>
            <w:pPr>
              <w:ind w:left="60"/>
              <w:spacing w:after="0"/>
              <w:rPr>
                <w:sz w:val="20"/>
                <w:szCs w:val="20"/>
                <w:color w:val="auto"/>
              </w:rPr>
            </w:pPr>
            <w:r>
              <w:rPr>
                <w:rFonts w:ascii="Arial" w:cs="Arial" w:eastAsia="Arial" w:hAnsi="Arial"/>
                <w:sz w:val="18"/>
                <w:szCs w:val="18"/>
                <w:color w:val="auto"/>
                <w:w w:val="95"/>
              </w:rPr>
              <w:t>participants), other joint and survivor options, period-certain options and a level income option.</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Plan</w:t>
      </w:r>
    </w:p>
    <w:p>
      <w:pPr>
        <w:spacing w:after="0" w:line="171"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provisions of the L3 Technologies, Inc. Supplemental Executive Retirement Plan (the “Restoration SERP”) are substantially identical to the provisions of the tax-qualified pension plans described above (the “Qualified Pension Plans”). However, the Restoration SERP takes into consideration earnings above the annual IRS earnings limit and provides a non-qualified benefit to participants based on earnings in excess of the IRS limit or the benefit limits under Section 415 of the Internal Revenue Code.</w:t>
      </w:r>
    </w:p>
    <w:p>
      <w:pPr>
        <w:spacing w:after="0" w:line="224"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005C7D"/>
        </w:rPr>
        <w:t>72</w:t>
      </w:r>
      <w:r>
        <w:rPr>
          <w:sz w:val="20"/>
          <w:szCs w:val="20"/>
          <w:color w:val="auto"/>
        </w:rPr>
        <w:tab/>
      </w: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6071870" cy="4318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-106045</wp:posOffset>
            </wp:positionV>
            <wp:extent cx="154305" cy="1543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8" w:name="page79"/>
    <w:bookmarkEnd w:id="78"/>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TABULAR EXECUTIVE COMPENSATION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07187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11"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2016 Nonqualified Deferred Compensation</w:t>
      </w:r>
    </w:p>
    <w:p>
      <w:pPr>
        <w:spacing w:after="0" w:line="175" w:lineRule="exact"/>
        <w:rPr>
          <w:sz w:val="20"/>
          <w:szCs w:val="20"/>
          <w:color w:val="auto"/>
        </w:rPr>
      </w:pPr>
    </w:p>
    <w:p>
      <w:pPr>
        <w:ind w:left="7" w:right="40"/>
        <w:spacing w:after="0" w:line="286" w:lineRule="auto"/>
        <w:rPr>
          <w:sz w:val="20"/>
          <w:szCs w:val="20"/>
          <w:color w:val="auto"/>
        </w:rPr>
      </w:pPr>
      <w:r>
        <w:rPr>
          <w:rFonts w:ascii="Arial" w:cs="Arial" w:eastAsia="Arial" w:hAnsi="Arial"/>
          <w:sz w:val="17"/>
          <w:szCs w:val="17"/>
          <w:color w:val="auto"/>
        </w:rPr>
        <w:t>The following table provides information regarding: (1) contributions, earnings and balances for our named executive officers under the L3 Deferred Compensation Plans and (2) shares and cash dividend equivalents underlying RSU awards deemed to have vested based on the retirement eligibility of our named executive officers (“Retirement Eligible RSU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607187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5"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Registrant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1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jc w:val="right"/>
              <w:ind w:right="5"/>
              <w:spacing w:after="0"/>
              <w:rPr>
                <w:sz w:val="20"/>
                <w:szCs w:val="20"/>
                <w:color w:val="auto"/>
              </w:rPr>
            </w:pPr>
            <w:r>
              <w:rPr>
                <w:rFonts w:ascii="Arial" w:cs="Arial" w:eastAsia="Arial" w:hAnsi="Arial"/>
                <w:sz w:val="14"/>
                <w:szCs w:val="14"/>
                <w:b w:val="1"/>
                <w:bCs w:val="1"/>
                <w:color w:val="auto"/>
              </w:rPr>
              <w:t>Contributions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Contributions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Earnings in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Balance at Last</w:t>
            </w:r>
          </w:p>
        </w:tc>
      </w:tr>
      <w:tr>
        <w:trPr>
          <w:trHeight w:val="162"/>
        </w:trPr>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in Last Fiscal</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in Last Fiscal</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Last Fiscal</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Withdrawals/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Fiscal Year</w:t>
            </w:r>
          </w:p>
        </w:tc>
      </w:tr>
      <w:tr>
        <w:trPr>
          <w:trHeight w:val="180"/>
        </w:trPr>
        <w:tc>
          <w:tcPr>
            <w:tcW w:w="1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1100" w:type="dxa"/>
            <w:vAlign w:val="bottom"/>
          </w:tcPr>
          <w:p>
            <w:pPr>
              <w:jc w:val="center"/>
              <w:spacing w:after="0" w:line="180" w:lineRule="exact"/>
              <w:rPr>
                <w:sz w:val="20"/>
                <w:szCs w:val="20"/>
                <w:color w:val="auto"/>
              </w:rPr>
            </w:pPr>
            <w:r>
              <w:rPr>
                <w:rFonts w:ascii="Arial" w:cs="Arial" w:eastAsia="Arial" w:hAnsi="Arial"/>
                <w:sz w:val="12"/>
                <w:szCs w:val="12"/>
                <w:b w:val="1"/>
                <w:bCs w:val="1"/>
                <w:color w:val="auto"/>
                <w:w w:val="99"/>
              </w:rPr>
              <w:t>Year</w:t>
            </w:r>
            <w:r>
              <w:rPr>
                <w:rFonts w:ascii="Arial" w:cs="Arial" w:eastAsia="Arial" w:hAnsi="Arial"/>
                <w:sz w:val="20"/>
                <w:szCs w:val="20"/>
                <w:b w:val="1"/>
                <w:bCs w:val="1"/>
                <w:color w:val="auto"/>
                <w:w w:val="99"/>
                <w:vertAlign w:val="superscript"/>
              </w:rPr>
              <w:t>(1)</w:t>
            </w:r>
          </w:p>
        </w:tc>
        <w:tc>
          <w:tcPr>
            <w:tcW w:w="1080" w:type="dxa"/>
            <w:vAlign w:val="bottom"/>
          </w:tcPr>
          <w:p>
            <w:pPr>
              <w:jc w:val="center"/>
              <w:spacing w:after="0" w:line="180" w:lineRule="exact"/>
              <w:rPr>
                <w:sz w:val="20"/>
                <w:szCs w:val="20"/>
                <w:color w:val="auto"/>
              </w:rPr>
            </w:pPr>
            <w:r>
              <w:rPr>
                <w:rFonts w:ascii="Arial" w:cs="Arial" w:eastAsia="Arial" w:hAnsi="Arial"/>
                <w:sz w:val="20"/>
                <w:szCs w:val="20"/>
                <w:b w:val="1"/>
                <w:bCs w:val="1"/>
                <w:color w:val="auto"/>
                <w:vertAlign w:val="subscript"/>
              </w:rPr>
              <w:t>Year</w:t>
            </w:r>
            <w:r>
              <w:rPr>
                <w:rFonts w:ascii="Arial" w:cs="Arial" w:eastAsia="Arial" w:hAnsi="Arial"/>
                <w:sz w:val="10"/>
                <w:szCs w:val="10"/>
                <w:b w:val="1"/>
                <w:bCs w:val="1"/>
                <w:color w:val="auto"/>
              </w:rPr>
              <w:t>(2)(3)</w:t>
            </w:r>
          </w:p>
        </w:tc>
        <w:tc>
          <w:tcPr>
            <w:tcW w:w="1160" w:type="dxa"/>
            <w:vAlign w:val="bottom"/>
          </w:tcPr>
          <w:p>
            <w:pPr>
              <w:jc w:val="center"/>
              <w:spacing w:after="0" w:line="180" w:lineRule="exact"/>
              <w:rPr>
                <w:sz w:val="20"/>
                <w:szCs w:val="20"/>
                <w:color w:val="auto"/>
              </w:rPr>
            </w:pPr>
            <w:r>
              <w:rPr>
                <w:rFonts w:ascii="Arial" w:cs="Arial" w:eastAsia="Arial" w:hAnsi="Arial"/>
                <w:sz w:val="12"/>
                <w:szCs w:val="12"/>
                <w:b w:val="1"/>
                <w:bCs w:val="1"/>
                <w:color w:val="auto"/>
              </w:rPr>
              <w:t>Distributions</w:t>
            </w:r>
            <w:r>
              <w:rPr>
                <w:rFonts w:ascii="Arial" w:cs="Arial" w:eastAsia="Arial" w:hAnsi="Arial"/>
                <w:sz w:val="20"/>
                <w:szCs w:val="20"/>
                <w:b w:val="1"/>
                <w:bCs w:val="1"/>
                <w:color w:val="auto"/>
                <w:vertAlign w:val="superscript"/>
              </w:rPr>
              <w:t>(4)</w:t>
            </w:r>
          </w:p>
        </w:tc>
        <w:tc>
          <w:tcPr>
            <w:tcW w:w="1100" w:type="dxa"/>
            <w:vAlign w:val="bottom"/>
          </w:tcPr>
          <w:p>
            <w:pPr>
              <w:jc w:val="center"/>
              <w:spacing w:after="0" w:line="180" w:lineRule="exact"/>
              <w:rPr>
                <w:sz w:val="20"/>
                <w:szCs w:val="20"/>
                <w:color w:val="auto"/>
              </w:rPr>
            </w:pPr>
            <w:r>
              <w:rPr>
                <w:rFonts w:ascii="Arial" w:cs="Arial" w:eastAsia="Arial" w:hAnsi="Arial"/>
                <w:sz w:val="20"/>
                <w:szCs w:val="20"/>
                <w:b w:val="1"/>
                <w:bCs w:val="1"/>
                <w:color w:val="auto"/>
                <w:vertAlign w:val="subscript"/>
              </w:rPr>
              <w:t>End</w:t>
            </w:r>
            <w:r>
              <w:rPr>
                <w:rFonts w:ascii="Arial" w:cs="Arial" w:eastAsia="Arial" w:hAnsi="Arial"/>
                <w:sz w:val="10"/>
                <w:szCs w:val="10"/>
                <w:b w:val="1"/>
                <w:bCs w:val="1"/>
                <w:color w:val="auto"/>
              </w:rPr>
              <w:t>(5)(6)</w:t>
            </w:r>
          </w:p>
        </w:tc>
      </w:tr>
      <w:tr>
        <w:trPr>
          <w:trHeight w:val="185"/>
        </w:trPr>
        <w:tc>
          <w:tcPr>
            <w:tcW w:w="1520" w:type="dxa"/>
            <w:vAlign w:val="bottom"/>
            <w:tcBorders>
              <w:bottom w:val="single" w:sz="8" w:color="005C7D"/>
            </w:tcBorders>
          </w:tcPr>
          <w:p>
            <w:pPr>
              <w:ind w:left="20"/>
              <w:spacing w:after="0"/>
              <w:rPr>
                <w:sz w:val="20"/>
                <w:szCs w:val="20"/>
                <w:color w:val="auto"/>
              </w:rPr>
            </w:pPr>
            <w:r>
              <w:rPr>
                <w:rFonts w:ascii="Arial" w:cs="Arial" w:eastAsia="Arial" w:hAnsi="Arial"/>
                <w:sz w:val="14"/>
                <w:szCs w:val="14"/>
                <w:b w:val="1"/>
                <w:bCs w:val="1"/>
                <w:color w:val="auto"/>
              </w:rPr>
              <w:t>Name</w:t>
            </w:r>
          </w:p>
        </w:tc>
        <w:tc>
          <w:tcPr>
            <w:tcW w:w="2580" w:type="dxa"/>
            <w:vAlign w:val="bottom"/>
            <w:tcBorders>
              <w:bottom w:val="single" w:sz="8" w:color="005C7D"/>
            </w:tcBorders>
            <w:gridSpan w:val="2"/>
          </w:tcPr>
          <w:p>
            <w:pPr>
              <w:jc w:val="center"/>
              <w:spacing w:after="0"/>
              <w:rPr>
                <w:sz w:val="20"/>
                <w:szCs w:val="20"/>
                <w:color w:val="auto"/>
              </w:rPr>
            </w:pPr>
            <w:r>
              <w:rPr>
                <w:rFonts w:ascii="Arial" w:cs="Arial" w:eastAsia="Arial" w:hAnsi="Arial"/>
                <w:sz w:val="14"/>
                <w:szCs w:val="14"/>
                <w:b w:val="1"/>
                <w:bCs w:val="1"/>
                <w:color w:val="auto"/>
                <w:w w:val="95"/>
              </w:rPr>
              <w:t>Plan or Award</w:t>
            </w:r>
          </w:p>
        </w:tc>
        <w:tc>
          <w:tcPr>
            <w:tcW w:w="1020" w:type="dxa"/>
            <w:vAlign w:val="bottom"/>
            <w:tcBorders>
              <w:bottom w:val="single" w:sz="8" w:color="005C7D"/>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100" w:type="dxa"/>
            <w:vAlign w:val="bottom"/>
            <w:tcBorders>
              <w:bottom w:val="single" w:sz="8" w:color="005C7D"/>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80" w:type="dxa"/>
            <w:vAlign w:val="bottom"/>
            <w:tcBorders>
              <w:bottom w:val="single" w:sz="8" w:color="005C7D"/>
            </w:tcBorders>
          </w:tcPr>
          <w:p>
            <w:pPr>
              <w:jc w:val="center"/>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005C7D"/>
            </w:tcBorders>
          </w:tcPr>
          <w:p>
            <w:pPr>
              <w:jc w:val="center"/>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005C7D"/>
            </w:tcBorders>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183"/>
        </w:trPr>
        <w:tc>
          <w:tcPr>
            <w:tcW w:w="1520" w:type="dxa"/>
            <w:vAlign w:val="bottom"/>
            <w:shd w:val="clear" w:color="auto" w:fill="CDDAE6"/>
          </w:tcPr>
          <w:p>
            <w:pPr>
              <w:ind w:left="20"/>
              <w:spacing w:after="0"/>
              <w:rPr>
                <w:sz w:val="20"/>
                <w:szCs w:val="20"/>
                <w:color w:val="auto"/>
              </w:rPr>
            </w:pPr>
            <w:r>
              <w:rPr>
                <w:rFonts w:ascii="Arial" w:cs="Arial" w:eastAsia="Arial" w:hAnsi="Arial"/>
                <w:sz w:val="15"/>
                <w:szCs w:val="15"/>
                <w:color w:val="auto"/>
              </w:rPr>
              <w:t>Michael T. Strianese</w:t>
            </w:r>
          </w:p>
        </w:tc>
        <w:tc>
          <w:tcPr>
            <w:tcW w:w="1160" w:type="dxa"/>
            <w:vAlign w:val="bottom"/>
            <w:shd w:val="clear" w:color="auto" w:fill="CDDAE6"/>
          </w:tcPr>
          <w:p>
            <w:pPr>
              <w:spacing w:after="0"/>
              <w:rPr>
                <w:sz w:val="15"/>
                <w:szCs w:val="15"/>
                <w:color w:val="auto"/>
              </w:rPr>
            </w:pPr>
          </w:p>
        </w:tc>
        <w:tc>
          <w:tcPr>
            <w:tcW w:w="1420" w:type="dxa"/>
            <w:vAlign w:val="bottom"/>
            <w:shd w:val="clear" w:color="auto" w:fill="CDDAE6"/>
          </w:tcPr>
          <w:p>
            <w:pPr>
              <w:jc w:val="center"/>
              <w:ind w:right="1103"/>
              <w:spacing w:after="0"/>
              <w:rPr>
                <w:sz w:val="20"/>
                <w:szCs w:val="20"/>
                <w:color w:val="auto"/>
              </w:rPr>
            </w:pPr>
            <w:r>
              <w:rPr>
                <w:rFonts w:ascii="Arial" w:cs="Arial" w:eastAsia="Arial" w:hAnsi="Arial"/>
                <w:sz w:val="15"/>
                <w:szCs w:val="15"/>
                <w:color w:val="auto"/>
              </w:rPr>
              <w:t>—</w:t>
            </w:r>
          </w:p>
        </w:tc>
        <w:tc>
          <w:tcPr>
            <w:tcW w:w="1020" w:type="dxa"/>
            <w:vAlign w:val="bottom"/>
            <w:shd w:val="clear" w:color="auto" w:fill="CDDAE6"/>
          </w:tcPr>
          <w:p>
            <w:pPr>
              <w:jc w:val="right"/>
              <w:ind w:right="5"/>
              <w:spacing w:after="0"/>
              <w:rPr>
                <w:sz w:val="20"/>
                <w:szCs w:val="20"/>
                <w:color w:val="auto"/>
              </w:rPr>
            </w:pPr>
            <w:r>
              <w:rPr>
                <w:rFonts w:ascii="Arial" w:cs="Arial" w:eastAsia="Arial" w:hAnsi="Arial"/>
                <w:sz w:val="15"/>
                <w:szCs w:val="15"/>
                <w:color w:val="auto"/>
              </w:rPr>
              <w:t>—</w:t>
            </w:r>
          </w:p>
        </w:tc>
        <w:tc>
          <w:tcPr>
            <w:tcW w:w="1100" w:type="dxa"/>
            <w:vAlign w:val="bottom"/>
            <w:shd w:val="clear" w:color="auto" w:fill="CDDAE6"/>
          </w:tcPr>
          <w:p>
            <w:pPr>
              <w:jc w:val="right"/>
              <w:ind w:right="66"/>
              <w:spacing w:after="0"/>
              <w:rPr>
                <w:sz w:val="20"/>
                <w:szCs w:val="20"/>
                <w:color w:val="auto"/>
              </w:rPr>
            </w:pPr>
            <w:r>
              <w:rPr>
                <w:rFonts w:ascii="Arial" w:cs="Arial" w:eastAsia="Arial" w:hAnsi="Arial"/>
                <w:sz w:val="15"/>
                <w:szCs w:val="15"/>
                <w:color w:val="auto"/>
              </w:rPr>
              <w:t>—</w:t>
            </w:r>
          </w:p>
        </w:tc>
        <w:tc>
          <w:tcPr>
            <w:tcW w:w="1080" w:type="dxa"/>
            <w:vAlign w:val="bottom"/>
            <w:shd w:val="clear" w:color="auto" w:fill="CDDAE6"/>
          </w:tcPr>
          <w:p>
            <w:pPr>
              <w:jc w:val="right"/>
              <w:ind w:right="27"/>
              <w:spacing w:after="0"/>
              <w:rPr>
                <w:sz w:val="20"/>
                <w:szCs w:val="20"/>
                <w:color w:val="auto"/>
              </w:rPr>
            </w:pPr>
            <w:r>
              <w:rPr>
                <w:rFonts w:ascii="Arial" w:cs="Arial" w:eastAsia="Arial" w:hAnsi="Arial"/>
                <w:sz w:val="15"/>
                <w:szCs w:val="15"/>
                <w:color w:val="auto"/>
              </w:rPr>
              <w:t>—</w:t>
            </w:r>
          </w:p>
        </w:tc>
        <w:tc>
          <w:tcPr>
            <w:tcW w:w="1160" w:type="dxa"/>
            <w:vAlign w:val="bottom"/>
            <w:shd w:val="clear" w:color="auto" w:fill="CDDAE6"/>
          </w:tcPr>
          <w:p>
            <w:pPr>
              <w:jc w:val="right"/>
              <w:ind w:right="46"/>
              <w:spacing w:after="0"/>
              <w:rPr>
                <w:sz w:val="20"/>
                <w:szCs w:val="20"/>
                <w:color w:val="auto"/>
              </w:rPr>
            </w:pPr>
            <w:r>
              <w:rPr>
                <w:rFonts w:ascii="Arial" w:cs="Arial" w:eastAsia="Arial" w:hAnsi="Arial"/>
                <w:sz w:val="15"/>
                <w:szCs w:val="15"/>
                <w:color w:val="auto"/>
              </w:rPr>
              <w:t>—</w:t>
            </w:r>
          </w:p>
        </w:tc>
        <w:tc>
          <w:tcPr>
            <w:tcW w:w="1100" w:type="dxa"/>
            <w:vAlign w:val="bottom"/>
            <w:shd w:val="clear" w:color="auto" w:fill="CDDAE6"/>
          </w:tcPr>
          <w:p>
            <w:pPr>
              <w:jc w:val="right"/>
              <w:ind w:right="7"/>
              <w:spacing w:after="0"/>
              <w:rPr>
                <w:sz w:val="20"/>
                <w:szCs w:val="20"/>
                <w:color w:val="auto"/>
              </w:rPr>
            </w:pPr>
            <w:r>
              <w:rPr>
                <w:rFonts w:ascii="Arial" w:cs="Arial" w:eastAsia="Arial" w:hAnsi="Arial"/>
                <w:sz w:val="15"/>
                <w:szCs w:val="15"/>
                <w:color w:val="auto"/>
              </w:rPr>
              <w:t>—</w:t>
            </w:r>
          </w:p>
        </w:tc>
      </w:tr>
      <w:tr>
        <w:trPr>
          <w:trHeight w:val="189"/>
        </w:trPr>
        <w:tc>
          <w:tcPr>
            <w:tcW w:w="1520" w:type="dxa"/>
            <w:vAlign w:val="bottom"/>
          </w:tcPr>
          <w:p>
            <w:pPr>
              <w:ind w:left="20"/>
              <w:spacing w:after="0"/>
              <w:rPr>
                <w:sz w:val="20"/>
                <w:szCs w:val="20"/>
                <w:color w:val="auto"/>
              </w:rPr>
            </w:pPr>
            <w:r>
              <w:rPr>
                <w:rFonts w:ascii="Arial" w:cs="Arial" w:eastAsia="Arial" w:hAnsi="Arial"/>
                <w:sz w:val="15"/>
                <w:szCs w:val="15"/>
                <w:color w:val="auto"/>
                <w:w w:val="96"/>
              </w:rPr>
              <w:t>Christopher E. Kubasik</w:t>
            </w:r>
          </w:p>
        </w:tc>
        <w:tc>
          <w:tcPr>
            <w:tcW w:w="1160" w:type="dxa"/>
            <w:vAlign w:val="bottom"/>
          </w:tcPr>
          <w:p>
            <w:pPr>
              <w:spacing w:after="0"/>
              <w:rPr>
                <w:sz w:val="16"/>
                <w:szCs w:val="16"/>
                <w:color w:val="auto"/>
              </w:rPr>
            </w:pPr>
          </w:p>
        </w:tc>
        <w:tc>
          <w:tcPr>
            <w:tcW w:w="1420" w:type="dxa"/>
            <w:vAlign w:val="bottom"/>
          </w:tcPr>
          <w:p>
            <w:pPr>
              <w:jc w:val="center"/>
              <w:ind w:right="110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7"/>
              <w:spacing w:after="0"/>
              <w:rPr>
                <w:sz w:val="20"/>
                <w:szCs w:val="20"/>
                <w:color w:val="auto"/>
              </w:rPr>
            </w:pPr>
            <w:r>
              <w:rPr>
                <w:rFonts w:ascii="Arial" w:cs="Arial" w:eastAsia="Arial" w:hAnsi="Arial"/>
                <w:sz w:val="15"/>
                <w:szCs w:val="15"/>
                <w:color w:val="auto"/>
              </w:rPr>
              <w:t>—</w:t>
            </w:r>
          </w:p>
        </w:tc>
      </w:tr>
      <w:tr>
        <w:trPr>
          <w:trHeight w:val="189"/>
        </w:trPr>
        <w:tc>
          <w:tcPr>
            <w:tcW w:w="1520" w:type="dxa"/>
            <w:vAlign w:val="bottom"/>
            <w:shd w:val="clear" w:color="auto" w:fill="CDDAE6"/>
          </w:tcPr>
          <w:p>
            <w:pPr>
              <w:ind w:left="20"/>
              <w:spacing w:after="0"/>
              <w:rPr>
                <w:sz w:val="20"/>
                <w:szCs w:val="20"/>
                <w:color w:val="auto"/>
              </w:rPr>
            </w:pPr>
            <w:r>
              <w:rPr>
                <w:rFonts w:ascii="Arial" w:cs="Arial" w:eastAsia="Arial" w:hAnsi="Arial"/>
                <w:sz w:val="15"/>
                <w:szCs w:val="15"/>
                <w:color w:val="auto"/>
              </w:rPr>
              <w:t>Ralph G. D’Ambrosio</w:t>
            </w:r>
          </w:p>
        </w:tc>
        <w:tc>
          <w:tcPr>
            <w:tcW w:w="1160" w:type="dxa"/>
            <w:vAlign w:val="bottom"/>
            <w:shd w:val="clear" w:color="auto" w:fill="CDDAE6"/>
          </w:tcPr>
          <w:p>
            <w:pPr>
              <w:spacing w:after="0"/>
              <w:rPr>
                <w:sz w:val="16"/>
                <w:szCs w:val="16"/>
                <w:color w:val="auto"/>
              </w:rPr>
            </w:pPr>
          </w:p>
        </w:tc>
        <w:tc>
          <w:tcPr>
            <w:tcW w:w="1420" w:type="dxa"/>
            <w:vAlign w:val="bottom"/>
            <w:shd w:val="clear" w:color="auto" w:fill="CDDAE6"/>
          </w:tcPr>
          <w:p>
            <w:pPr>
              <w:jc w:val="center"/>
              <w:ind w:right="1103"/>
              <w:spacing w:after="0"/>
              <w:rPr>
                <w:sz w:val="20"/>
                <w:szCs w:val="20"/>
                <w:color w:val="auto"/>
              </w:rPr>
            </w:pPr>
            <w:r>
              <w:rPr>
                <w:rFonts w:ascii="Arial" w:cs="Arial" w:eastAsia="Arial" w:hAnsi="Arial"/>
                <w:sz w:val="15"/>
                <w:szCs w:val="15"/>
                <w:color w:val="auto"/>
              </w:rPr>
              <w:t>—</w:t>
            </w:r>
          </w:p>
        </w:tc>
        <w:tc>
          <w:tcPr>
            <w:tcW w:w="1020" w:type="dxa"/>
            <w:vAlign w:val="bottom"/>
            <w:shd w:val="clear" w:color="auto" w:fill="CDDAE6"/>
          </w:tcPr>
          <w:p>
            <w:pPr>
              <w:jc w:val="right"/>
              <w:ind w:right="5"/>
              <w:spacing w:after="0"/>
              <w:rPr>
                <w:sz w:val="20"/>
                <w:szCs w:val="20"/>
                <w:color w:val="auto"/>
              </w:rPr>
            </w:pPr>
            <w:r>
              <w:rPr>
                <w:rFonts w:ascii="Arial" w:cs="Arial" w:eastAsia="Arial" w:hAnsi="Arial"/>
                <w:sz w:val="15"/>
                <w:szCs w:val="15"/>
                <w:color w:val="auto"/>
              </w:rPr>
              <w:t>—</w:t>
            </w:r>
          </w:p>
        </w:tc>
        <w:tc>
          <w:tcPr>
            <w:tcW w:w="1100" w:type="dxa"/>
            <w:vAlign w:val="bottom"/>
            <w:shd w:val="clear" w:color="auto" w:fill="CDDAE6"/>
          </w:tcPr>
          <w:p>
            <w:pPr>
              <w:jc w:val="right"/>
              <w:ind w:right="66"/>
              <w:spacing w:after="0"/>
              <w:rPr>
                <w:sz w:val="20"/>
                <w:szCs w:val="20"/>
                <w:color w:val="auto"/>
              </w:rPr>
            </w:pPr>
            <w:r>
              <w:rPr>
                <w:rFonts w:ascii="Arial" w:cs="Arial" w:eastAsia="Arial" w:hAnsi="Arial"/>
                <w:sz w:val="15"/>
                <w:szCs w:val="15"/>
                <w:color w:val="auto"/>
              </w:rPr>
              <w:t>—</w:t>
            </w:r>
          </w:p>
        </w:tc>
        <w:tc>
          <w:tcPr>
            <w:tcW w:w="1080" w:type="dxa"/>
            <w:vAlign w:val="bottom"/>
            <w:shd w:val="clear" w:color="auto" w:fill="CDDAE6"/>
          </w:tcPr>
          <w:p>
            <w:pPr>
              <w:jc w:val="right"/>
              <w:ind w:right="27"/>
              <w:spacing w:after="0"/>
              <w:rPr>
                <w:sz w:val="20"/>
                <w:szCs w:val="20"/>
                <w:color w:val="auto"/>
              </w:rPr>
            </w:pPr>
            <w:r>
              <w:rPr>
                <w:rFonts w:ascii="Arial" w:cs="Arial" w:eastAsia="Arial" w:hAnsi="Arial"/>
                <w:sz w:val="15"/>
                <w:szCs w:val="15"/>
                <w:color w:val="auto"/>
              </w:rPr>
              <w:t>—</w:t>
            </w:r>
          </w:p>
        </w:tc>
        <w:tc>
          <w:tcPr>
            <w:tcW w:w="1160" w:type="dxa"/>
            <w:vAlign w:val="bottom"/>
            <w:shd w:val="clear" w:color="auto" w:fill="CDDAE6"/>
          </w:tcPr>
          <w:p>
            <w:pPr>
              <w:jc w:val="right"/>
              <w:ind w:right="46"/>
              <w:spacing w:after="0"/>
              <w:rPr>
                <w:sz w:val="20"/>
                <w:szCs w:val="20"/>
                <w:color w:val="auto"/>
              </w:rPr>
            </w:pPr>
            <w:r>
              <w:rPr>
                <w:rFonts w:ascii="Arial" w:cs="Arial" w:eastAsia="Arial" w:hAnsi="Arial"/>
                <w:sz w:val="15"/>
                <w:szCs w:val="15"/>
                <w:color w:val="auto"/>
              </w:rPr>
              <w:t>—</w:t>
            </w:r>
          </w:p>
        </w:tc>
        <w:tc>
          <w:tcPr>
            <w:tcW w:w="1100" w:type="dxa"/>
            <w:vAlign w:val="bottom"/>
            <w:shd w:val="clear" w:color="auto" w:fill="CDDAE6"/>
          </w:tcPr>
          <w:p>
            <w:pPr>
              <w:jc w:val="right"/>
              <w:ind w:right="7"/>
              <w:spacing w:after="0"/>
              <w:rPr>
                <w:sz w:val="20"/>
                <w:szCs w:val="20"/>
                <w:color w:val="auto"/>
              </w:rPr>
            </w:pPr>
            <w:r>
              <w:rPr>
                <w:rFonts w:ascii="Arial" w:cs="Arial" w:eastAsia="Arial" w:hAnsi="Arial"/>
                <w:sz w:val="15"/>
                <w:szCs w:val="15"/>
                <w:color w:val="auto"/>
              </w:rPr>
              <w:t>—</w:t>
            </w:r>
          </w:p>
        </w:tc>
      </w:tr>
      <w:tr>
        <w:trPr>
          <w:trHeight w:val="216"/>
        </w:trPr>
        <w:tc>
          <w:tcPr>
            <w:tcW w:w="1520" w:type="dxa"/>
            <w:vAlign w:val="bottom"/>
          </w:tcPr>
          <w:p>
            <w:pPr>
              <w:ind w:left="20"/>
              <w:spacing w:after="0"/>
              <w:rPr>
                <w:sz w:val="20"/>
                <w:szCs w:val="20"/>
                <w:color w:val="auto"/>
              </w:rPr>
            </w:pPr>
            <w:r>
              <w:rPr>
                <w:rFonts w:ascii="Arial" w:cs="Arial" w:eastAsia="Arial" w:hAnsi="Arial"/>
                <w:sz w:val="15"/>
                <w:szCs w:val="15"/>
                <w:color w:val="auto"/>
              </w:rPr>
              <w:t>Curtis Brunson</w:t>
            </w:r>
          </w:p>
        </w:tc>
        <w:tc>
          <w:tcPr>
            <w:tcW w:w="2580" w:type="dxa"/>
            <w:vAlign w:val="bottom"/>
            <w:gridSpan w:val="2"/>
          </w:tcPr>
          <w:p>
            <w:pPr>
              <w:ind w:left="20"/>
              <w:spacing w:after="0" w:line="216" w:lineRule="exact"/>
              <w:rPr>
                <w:sz w:val="20"/>
                <w:szCs w:val="20"/>
                <w:color w:val="auto"/>
              </w:rPr>
            </w:pPr>
            <w:r>
              <w:rPr>
                <w:rFonts w:ascii="Arial" w:cs="Arial" w:eastAsia="Arial" w:hAnsi="Arial"/>
                <w:sz w:val="15"/>
                <w:szCs w:val="15"/>
                <w:color w:val="auto"/>
              </w:rPr>
              <w:t>L3 Deferred Compensation Plans</w:t>
            </w:r>
            <w:r>
              <w:rPr>
                <w:rFonts w:ascii="Arial" w:cs="Arial" w:eastAsia="Arial" w:hAnsi="Arial"/>
                <w:sz w:val="25"/>
                <w:szCs w:val="25"/>
                <w:color w:val="auto"/>
                <w:vertAlign w:val="superscript"/>
              </w:rPr>
              <w:t>(7)</w:t>
            </w:r>
          </w:p>
        </w:tc>
        <w:tc>
          <w:tcPr>
            <w:tcW w:w="10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7"/>
              <w:spacing w:after="0"/>
              <w:rPr>
                <w:sz w:val="20"/>
                <w:szCs w:val="20"/>
                <w:color w:val="auto"/>
              </w:rPr>
            </w:pPr>
            <w:r>
              <w:rPr>
                <w:rFonts w:ascii="Arial" w:cs="Arial" w:eastAsia="Arial" w:hAnsi="Arial"/>
                <w:sz w:val="15"/>
                <w:szCs w:val="15"/>
                <w:color w:val="auto"/>
              </w:rPr>
              <w:t>164,645</w:t>
            </w: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7"/>
              <w:spacing w:after="0"/>
              <w:rPr>
                <w:sz w:val="20"/>
                <w:szCs w:val="20"/>
                <w:color w:val="auto"/>
              </w:rPr>
            </w:pPr>
            <w:r>
              <w:rPr>
                <w:rFonts w:ascii="Arial" w:cs="Arial" w:eastAsia="Arial" w:hAnsi="Arial"/>
                <w:sz w:val="15"/>
                <w:szCs w:val="15"/>
                <w:color w:val="auto"/>
              </w:rPr>
              <w:t>4,787,189</w:t>
            </w:r>
          </w:p>
        </w:tc>
      </w:tr>
      <w:tr>
        <w:trPr>
          <w:trHeight w:val="216"/>
        </w:trPr>
        <w:tc>
          <w:tcPr>
            <w:tcW w:w="1520" w:type="dxa"/>
            <w:vAlign w:val="bottom"/>
          </w:tcPr>
          <w:p>
            <w:pPr>
              <w:spacing w:after="0"/>
              <w:rPr>
                <w:sz w:val="18"/>
                <w:szCs w:val="18"/>
                <w:color w:val="auto"/>
              </w:rPr>
            </w:pPr>
          </w:p>
        </w:tc>
        <w:tc>
          <w:tcPr>
            <w:tcW w:w="2580" w:type="dxa"/>
            <w:vAlign w:val="bottom"/>
            <w:gridSpan w:val="2"/>
            <w:shd w:val="clear" w:color="auto" w:fill="CDDAE6"/>
          </w:tcPr>
          <w:p>
            <w:pPr>
              <w:ind w:left="20"/>
              <w:spacing w:after="0" w:line="216" w:lineRule="exact"/>
              <w:rPr>
                <w:sz w:val="20"/>
                <w:szCs w:val="20"/>
                <w:color w:val="auto"/>
              </w:rPr>
            </w:pPr>
            <w:r>
              <w:rPr>
                <w:rFonts w:ascii="Arial" w:cs="Arial" w:eastAsia="Arial" w:hAnsi="Arial"/>
                <w:sz w:val="15"/>
                <w:szCs w:val="15"/>
                <w:color w:val="auto"/>
              </w:rPr>
              <w:t>Retirement Eligible RSU Awards</w:t>
            </w:r>
            <w:r>
              <w:rPr>
                <w:rFonts w:ascii="Arial" w:cs="Arial" w:eastAsia="Arial" w:hAnsi="Arial"/>
                <w:sz w:val="25"/>
                <w:szCs w:val="25"/>
                <w:color w:val="auto"/>
                <w:vertAlign w:val="superscript"/>
              </w:rPr>
              <w:t>(8)</w:t>
            </w:r>
          </w:p>
        </w:tc>
        <w:tc>
          <w:tcPr>
            <w:tcW w:w="1020" w:type="dxa"/>
            <w:vAlign w:val="bottom"/>
            <w:shd w:val="clear" w:color="auto" w:fill="CDDAE6"/>
          </w:tcPr>
          <w:p>
            <w:pPr>
              <w:jc w:val="right"/>
              <w:ind w:right="5"/>
              <w:spacing w:after="0"/>
              <w:rPr>
                <w:sz w:val="20"/>
                <w:szCs w:val="20"/>
                <w:color w:val="auto"/>
              </w:rPr>
            </w:pPr>
            <w:r>
              <w:rPr>
                <w:rFonts w:ascii="Arial" w:cs="Arial" w:eastAsia="Arial" w:hAnsi="Arial"/>
                <w:sz w:val="15"/>
                <w:szCs w:val="15"/>
                <w:color w:val="auto"/>
              </w:rPr>
              <w:t>—</w:t>
            </w:r>
          </w:p>
        </w:tc>
        <w:tc>
          <w:tcPr>
            <w:tcW w:w="1100" w:type="dxa"/>
            <w:vAlign w:val="bottom"/>
            <w:shd w:val="clear" w:color="auto" w:fill="CDDAE6"/>
          </w:tcPr>
          <w:p>
            <w:pPr>
              <w:jc w:val="right"/>
              <w:ind w:right="66"/>
              <w:spacing w:after="0"/>
              <w:rPr>
                <w:sz w:val="20"/>
                <w:szCs w:val="20"/>
                <w:color w:val="auto"/>
              </w:rPr>
            </w:pPr>
            <w:r>
              <w:rPr>
                <w:rFonts w:ascii="Arial" w:cs="Arial" w:eastAsia="Arial" w:hAnsi="Arial"/>
                <w:sz w:val="15"/>
                <w:szCs w:val="15"/>
                <w:color w:val="auto"/>
              </w:rPr>
              <w:t>751,868</w:t>
            </w:r>
          </w:p>
        </w:tc>
        <w:tc>
          <w:tcPr>
            <w:tcW w:w="1080" w:type="dxa"/>
            <w:vAlign w:val="bottom"/>
            <w:shd w:val="clear" w:color="auto" w:fill="CDDAE6"/>
          </w:tcPr>
          <w:p>
            <w:pPr>
              <w:jc w:val="right"/>
              <w:ind w:right="27"/>
              <w:spacing w:after="0"/>
              <w:rPr>
                <w:sz w:val="20"/>
                <w:szCs w:val="20"/>
                <w:color w:val="auto"/>
              </w:rPr>
            </w:pPr>
            <w:r>
              <w:rPr>
                <w:rFonts w:ascii="Arial" w:cs="Arial" w:eastAsia="Arial" w:hAnsi="Arial"/>
                <w:sz w:val="15"/>
                <w:szCs w:val="15"/>
                <w:color w:val="auto"/>
              </w:rPr>
              <w:t>468,042</w:t>
            </w:r>
          </w:p>
        </w:tc>
        <w:tc>
          <w:tcPr>
            <w:tcW w:w="11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(1,215,162)</w:t>
            </w:r>
          </w:p>
        </w:tc>
        <w:tc>
          <w:tcPr>
            <w:tcW w:w="1100" w:type="dxa"/>
            <w:vAlign w:val="bottom"/>
            <w:shd w:val="clear" w:color="auto" w:fill="CDDAE6"/>
          </w:tcPr>
          <w:p>
            <w:pPr>
              <w:jc w:val="right"/>
              <w:ind w:right="7"/>
              <w:spacing w:after="0"/>
              <w:rPr>
                <w:sz w:val="20"/>
                <w:szCs w:val="20"/>
                <w:color w:val="auto"/>
              </w:rPr>
            </w:pPr>
            <w:r>
              <w:rPr>
                <w:rFonts w:ascii="Arial" w:cs="Arial" w:eastAsia="Arial" w:hAnsi="Arial"/>
                <w:sz w:val="15"/>
                <w:szCs w:val="15"/>
                <w:color w:val="auto"/>
              </w:rPr>
              <w:t>2,126,161</w:t>
            </w:r>
          </w:p>
        </w:tc>
      </w:tr>
      <w:tr>
        <w:trPr>
          <w:trHeight w:val="216"/>
        </w:trPr>
        <w:tc>
          <w:tcPr>
            <w:tcW w:w="1520" w:type="dxa"/>
            <w:vAlign w:val="bottom"/>
            <w:shd w:val="clear" w:color="auto" w:fill="CDDAE6"/>
          </w:tcPr>
          <w:p>
            <w:pPr>
              <w:ind w:left="20"/>
              <w:spacing w:after="0"/>
              <w:rPr>
                <w:sz w:val="20"/>
                <w:szCs w:val="20"/>
                <w:color w:val="auto"/>
              </w:rPr>
            </w:pPr>
            <w:r>
              <w:rPr>
                <w:rFonts w:ascii="Arial" w:cs="Arial" w:eastAsia="Arial" w:hAnsi="Arial"/>
                <w:sz w:val="15"/>
                <w:szCs w:val="15"/>
                <w:color w:val="auto"/>
              </w:rPr>
              <w:t>Steve Kantor</w:t>
            </w:r>
          </w:p>
        </w:tc>
        <w:tc>
          <w:tcPr>
            <w:tcW w:w="2580" w:type="dxa"/>
            <w:vAlign w:val="bottom"/>
            <w:gridSpan w:val="2"/>
            <w:shd w:val="clear" w:color="auto" w:fill="CDDAE6"/>
          </w:tcPr>
          <w:p>
            <w:pPr>
              <w:ind w:left="20"/>
              <w:spacing w:after="0" w:line="216" w:lineRule="exact"/>
              <w:rPr>
                <w:sz w:val="20"/>
                <w:szCs w:val="20"/>
                <w:color w:val="auto"/>
              </w:rPr>
            </w:pPr>
            <w:r>
              <w:rPr>
                <w:rFonts w:ascii="Arial" w:cs="Arial" w:eastAsia="Arial" w:hAnsi="Arial"/>
                <w:sz w:val="15"/>
                <w:szCs w:val="15"/>
                <w:color w:val="auto"/>
              </w:rPr>
              <w:t>L3 Deferred Compensation Plans</w:t>
            </w:r>
            <w:r>
              <w:rPr>
                <w:rFonts w:ascii="Arial" w:cs="Arial" w:eastAsia="Arial" w:hAnsi="Arial"/>
                <w:sz w:val="25"/>
                <w:szCs w:val="25"/>
                <w:color w:val="auto"/>
                <w:vertAlign w:val="superscript"/>
              </w:rPr>
              <w:t>(9)</w:t>
            </w:r>
          </w:p>
        </w:tc>
        <w:tc>
          <w:tcPr>
            <w:tcW w:w="1020" w:type="dxa"/>
            <w:vAlign w:val="bottom"/>
            <w:shd w:val="clear" w:color="auto" w:fill="CDDAE6"/>
          </w:tcPr>
          <w:p>
            <w:pPr>
              <w:jc w:val="right"/>
              <w:ind w:right="5"/>
              <w:spacing w:after="0"/>
              <w:rPr>
                <w:sz w:val="20"/>
                <w:szCs w:val="20"/>
                <w:color w:val="auto"/>
              </w:rPr>
            </w:pPr>
            <w:r>
              <w:rPr>
                <w:rFonts w:ascii="Arial" w:cs="Arial" w:eastAsia="Arial" w:hAnsi="Arial"/>
                <w:sz w:val="15"/>
                <w:szCs w:val="15"/>
                <w:color w:val="auto"/>
              </w:rPr>
              <w:t>—</w:t>
            </w:r>
          </w:p>
        </w:tc>
        <w:tc>
          <w:tcPr>
            <w:tcW w:w="1100" w:type="dxa"/>
            <w:vAlign w:val="bottom"/>
            <w:shd w:val="clear" w:color="auto" w:fill="CDDAE6"/>
          </w:tcPr>
          <w:p>
            <w:pPr>
              <w:jc w:val="right"/>
              <w:ind w:right="66"/>
              <w:spacing w:after="0"/>
              <w:rPr>
                <w:sz w:val="20"/>
                <w:szCs w:val="20"/>
                <w:color w:val="auto"/>
              </w:rPr>
            </w:pPr>
            <w:r>
              <w:rPr>
                <w:rFonts w:ascii="Arial" w:cs="Arial" w:eastAsia="Arial" w:hAnsi="Arial"/>
                <w:sz w:val="15"/>
                <w:szCs w:val="15"/>
                <w:color w:val="auto"/>
              </w:rPr>
              <w:t>—</w:t>
            </w:r>
          </w:p>
        </w:tc>
        <w:tc>
          <w:tcPr>
            <w:tcW w:w="1080" w:type="dxa"/>
            <w:vAlign w:val="bottom"/>
            <w:shd w:val="clear" w:color="auto" w:fill="CDDAE6"/>
          </w:tcPr>
          <w:p>
            <w:pPr>
              <w:jc w:val="right"/>
              <w:ind w:right="27"/>
              <w:spacing w:after="0"/>
              <w:rPr>
                <w:sz w:val="20"/>
                <w:szCs w:val="20"/>
                <w:color w:val="auto"/>
              </w:rPr>
            </w:pPr>
            <w:r>
              <w:rPr>
                <w:rFonts w:ascii="Arial" w:cs="Arial" w:eastAsia="Arial" w:hAnsi="Arial"/>
                <w:sz w:val="15"/>
                <w:szCs w:val="15"/>
                <w:color w:val="auto"/>
              </w:rPr>
              <w:t>17,418</w:t>
            </w:r>
          </w:p>
        </w:tc>
        <w:tc>
          <w:tcPr>
            <w:tcW w:w="1160" w:type="dxa"/>
            <w:vAlign w:val="bottom"/>
            <w:shd w:val="clear" w:color="auto" w:fill="CDDAE6"/>
          </w:tcPr>
          <w:p>
            <w:pPr>
              <w:jc w:val="right"/>
              <w:spacing w:after="0"/>
              <w:rPr>
                <w:sz w:val="20"/>
                <w:szCs w:val="20"/>
                <w:color w:val="auto"/>
              </w:rPr>
            </w:pPr>
            <w:r>
              <w:rPr>
                <w:rFonts w:ascii="Arial" w:cs="Arial" w:eastAsia="Arial" w:hAnsi="Arial"/>
                <w:sz w:val="15"/>
                <w:szCs w:val="15"/>
                <w:color w:val="auto"/>
              </w:rPr>
              <w:t>(133,706)</w:t>
            </w:r>
          </w:p>
        </w:tc>
        <w:tc>
          <w:tcPr>
            <w:tcW w:w="1100" w:type="dxa"/>
            <w:vAlign w:val="bottom"/>
            <w:shd w:val="clear" w:color="auto" w:fill="CDDAE6"/>
          </w:tcPr>
          <w:p>
            <w:pPr>
              <w:jc w:val="right"/>
              <w:ind w:right="7"/>
              <w:spacing w:after="0"/>
              <w:rPr>
                <w:sz w:val="20"/>
                <w:szCs w:val="20"/>
                <w:color w:val="auto"/>
              </w:rPr>
            </w:pPr>
            <w:r>
              <w:rPr>
                <w:rFonts w:ascii="Arial" w:cs="Arial" w:eastAsia="Arial" w:hAnsi="Arial"/>
                <w:sz w:val="15"/>
                <w:szCs w:val="15"/>
                <w:color w:val="auto"/>
              </w:rPr>
              <w:t>506,080</w:t>
            </w:r>
          </w:p>
        </w:tc>
      </w:tr>
      <w:tr>
        <w:trPr>
          <w:trHeight w:val="216"/>
        </w:trPr>
        <w:tc>
          <w:tcPr>
            <w:tcW w:w="1520" w:type="dxa"/>
            <w:vAlign w:val="bottom"/>
            <w:tcBorders>
              <w:bottom w:val="single" w:sz="8" w:color="005C7D"/>
            </w:tcBorders>
            <w:shd w:val="clear" w:color="auto" w:fill="CDDAE6"/>
          </w:tcPr>
          <w:p>
            <w:pPr>
              <w:spacing w:after="0"/>
              <w:rPr>
                <w:sz w:val="18"/>
                <w:szCs w:val="18"/>
                <w:color w:val="auto"/>
              </w:rPr>
            </w:pPr>
          </w:p>
        </w:tc>
        <w:tc>
          <w:tcPr>
            <w:tcW w:w="2580" w:type="dxa"/>
            <w:vAlign w:val="bottom"/>
            <w:tcBorders>
              <w:bottom w:val="single" w:sz="8" w:color="005C7D"/>
            </w:tcBorders>
            <w:gridSpan w:val="2"/>
            <w:shd w:val="clear" w:color="auto" w:fill="CDDAE6"/>
          </w:tcPr>
          <w:p>
            <w:pPr>
              <w:ind w:left="20"/>
              <w:spacing w:after="0" w:line="216" w:lineRule="exact"/>
              <w:rPr>
                <w:sz w:val="20"/>
                <w:szCs w:val="20"/>
                <w:color w:val="auto"/>
              </w:rPr>
            </w:pPr>
            <w:r>
              <w:rPr>
                <w:rFonts w:ascii="Arial" w:cs="Arial" w:eastAsia="Arial" w:hAnsi="Arial"/>
                <w:sz w:val="15"/>
                <w:szCs w:val="15"/>
                <w:color w:val="auto"/>
              </w:rPr>
              <w:t>Retirement Eligible RSU Awards</w:t>
            </w:r>
            <w:r>
              <w:rPr>
                <w:rFonts w:ascii="Arial" w:cs="Arial" w:eastAsia="Arial" w:hAnsi="Arial"/>
                <w:sz w:val="25"/>
                <w:szCs w:val="25"/>
                <w:color w:val="auto"/>
                <w:vertAlign w:val="superscript"/>
              </w:rPr>
              <w:t>(8)</w:t>
            </w:r>
          </w:p>
        </w:tc>
        <w:tc>
          <w:tcPr>
            <w:tcW w:w="1020" w:type="dxa"/>
            <w:vAlign w:val="bottom"/>
            <w:tcBorders>
              <w:bottom w:val="single" w:sz="8" w:color="005C7D"/>
            </w:tcBorders>
            <w:shd w:val="clear" w:color="auto" w:fill="CDDAE6"/>
          </w:tcPr>
          <w:p>
            <w:pPr>
              <w:jc w:val="right"/>
              <w:ind w:right="5"/>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5C7D"/>
            </w:tcBorders>
            <w:shd w:val="clear" w:color="auto" w:fill="CDDAE6"/>
          </w:tcPr>
          <w:p>
            <w:pPr>
              <w:jc w:val="right"/>
              <w:ind w:right="66"/>
              <w:spacing w:after="0"/>
              <w:rPr>
                <w:sz w:val="20"/>
                <w:szCs w:val="20"/>
                <w:color w:val="auto"/>
              </w:rPr>
            </w:pPr>
            <w:r>
              <w:rPr>
                <w:rFonts w:ascii="Arial" w:cs="Arial" w:eastAsia="Arial" w:hAnsi="Arial"/>
                <w:sz w:val="15"/>
                <w:szCs w:val="15"/>
                <w:color w:val="auto"/>
              </w:rPr>
              <w:t>459,475</w:t>
            </w:r>
          </w:p>
        </w:tc>
        <w:tc>
          <w:tcPr>
            <w:tcW w:w="1080" w:type="dxa"/>
            <w:vAlign w:val="bottom"/>
            <w:tcBorders>
              <w:bottom w:val="single" w:sz="8" w:color="005C7D"/>
            </w:tcBorders>
            <w:shd w:val="clear" w:color="auto" w:fill="CDDAE6"/>
          </w:tcPr>
          <w:p>
            <w:pPr>
              <w:jc w:val="right"/>
              <w:ind w:right="27"/>
              <w:spacing w:after="0"/>
              <w:rPr>
                <w:sz w:val="20"/>
                <w:szCs w:val="20"/>
                <w:color w:val="auto"/>
              </w:rPr>
            </w:pPr>
            <w:r>
              <w:rPr>
                <w:rFonts w:ascii="Arial" w:cs="Arial" w:eastAsia="Arial" w:hAnsi="Arial"/>
                <w:sz w:val="15"/>
                <w:szCs w:val="15"/>
                <w:color w:val="auto"/>
              </w:rPr>
              <w:t>287,004</w:t>
            </w:r>
          </w:p>
        </w:tc>
        <w:tc>
          <w:tcPr>
            <w:tcW w:w="1160" w:type="dxa"/>
            <w:vAlign w:val="bottom"/>
            <w:tcBorders>
              <w:bottom w:val="single" w:sz="8" w:color="005C7D"/>
            </w:tcBorders>
            <w:shd w:val="clear" w:color="auto" w:fill="CDDAE6"/>
          </w:tcPr>
          <w:p>
            <w:pPr>
              <w:jc w:val="right"/>
              <w:spacing w:after="0"/>
              <w:rPr>
                <w:sz w:val="20"/>
                <w:szCs w:val="20"/>
                <w:color w:val="auto"/>
              </w:rPr>
            </w:pPr>
            <w:r>
              <w:rPr>
                <w:rFonts w:ascii="Arial" w:cs="Arial" w:eastAsia="Arial" w:hAnsi="Arial"/>
                <w:sz w:val="15"/>
                <w:szCs w:val="15"/>
                <w:color w:val="auto"/>
              </w:rPr>
              <w:t>(680,566)</w:t>
            </w:r>
          </w:p>
        </w:tc>
        <w:tc>
          <w:tcPr>
            <w:tcW w:w="1100" w:type="dxa"/>
            <w:vAlign w:val="bottom"/>
            <w:tcBorders>
              <w:bottom w:val="single" w:sz="8" w:color="005C7D"/>
            </w:tcBorders>
            <w:shd w:val="clear" w:color="auto" w:fill="CDDAE6"/>
          </w:tcPr>
          <w:p>
            <w:pPr>
              <w:jc w:val="right"/>
              <w:ind w:right="7"/>
              <w:spacing w:after="0"/>
              <w:rPr>
                <w:sz w:val="20"/>
                <w:szCs w:val="20"/>
                <w:color w:val="auto"/>
              </w:rPr>
            </w:pPr>
            <w:r>
              <w:rPr>
                <w:rFonts w:ascii="Arial" w:cs="Arial" w:eastAsia="Arial" w:hAnsi="Arial"/>
                <w:sz w:val="15"/>
                <w:szCs w:val="15"/>
                <w:color w:val="auto"/>
              </w:rPr>
              <w:t>1,299,356</w:t>
            </w:r>
          </w:p>
        </w:tc>
      </w:tr>
      <w:tr>
        <w:trPr>
          <w:trHeight w:val="169"/>
        </w:trPr>
        <w:tc>
          <w:tcPr>
            <w:tcW w:w="1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-539750</wp:posOffset>
            </wp:positionV>
            <wp:extent cx="5111115" cy="1371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11115" cy="137160"/>
                    </a:xfrm>
                    <a:prstGeom prst="rect">
                      <a:avLst/>
                    </a:prstGeom>
                    <a:noFill/>
                  </pic:spPr>
                </pic:pic>
              </a:graphicData>
            </a:graphic>
          </wp:anchor>
        </w:drawing>
      </w:r>
    </w:p>
    <w:p>
      <w:pPr>
        <w:spacing w:after="0" w:line="78" w:lineRule="exact"/>
        <w:rPr>
          <w:sz w:val="20"/>
          <w:szCs w:val="20"/>
          <w:color w:val="auto"/>
        </w:rPr>
      </w:pPr>
    </w:p>
    <w:p>
      <w:pPr>
        <w:ind w:left="347" w:right="200" w:hanging="347"/>
        <w:spacing w:after="0" w:line="289" w:lineRule="auto"/>
        <w:tabs>
          <w:tab w:leader="none" w:pos="347" w:val="left"/>
        </w:tabs>
        <w:numPr>
          <w:ilvl w:val="0"/>
          <w:numId w:val="81"/>
        </w:numPr>
        <w:rPr>
          <w:rFonts w:ascii="Arial" w:cs="Arial" w:eastAsia="Arial" w:hAnsi="Arial"/>
          <w:sz w:val="15"/>
          <w:szCs w:val="15"/>
          <w:color w:val="auto"/>
        </w:rPr>
      </w:pPr>
      <w:r>
        <w:rPr>
          <w:rFonts w:ascii="Arial" w:cs="Arial" w:eastAsia="Arial" w:hAnsi="Arial"/>
          <w:sz w:val="15"/>
          <w:szCs w:val="15"/>
          <w:color w:val="auto"/>
        </w:rPr>
        <w:t xml:space="preserve">Represents the value of Retirement Eligible RSU Awards deemed to have vested in 2016. The value reported is based on the sum of (a) the number of shares underlying the awards multiplied by the closing price of our Common Stock on the vesting date and (b) accrued cash dividend equivalents in respect of these awards as of the vesting date. The grant date fair value of these awards is included in the Stock Awards column for 2015 in the “Summary Compensation Table” on page </w:t>
      </w:r>
      <w:hyperlink w:anchor="page68">
        <w:r>
          <w:rPr>
            <w:rFonts w:ascii="Arial" w:cs="Arial" w:eastAsia="Arial" w:hAnsi="Arial"/>
            <w:sz w:val="15"/>
            <w:szCs w:val="15"/>
            <w:u w:val="single" w:color="auto"/>
            <w:color w:val="0000EE"/>
          </w:rPr>
          <w:t>62</w:t>
        </w:r>
      </w:hyperlink>
      <w:r>
        <w:rPr>
          <w:rFonts w:ascii="Arial" w:cs="Arial" w:eastAsia="Arial" w:hAnsi="Arial"/>
          <w:sz w:val="15"/>
          <w:szCs w:val="15"/>
          <w:color w:val="auto"/>
        </w:rPr>
        <w:t>. For further information concerning the Retirement Eligible RSU awards that vested in 2016 and their respective grant date fair values, see Note 8 below.</w:t>
      </w:r>
    </w:p>
    <w:p>
      <w:pPr>
        <w:spacing w:after="0" w:line="1" w:lineRule="exact"/>
        <w:rPr>
          <w:rFonts w:ascii="Arial" w:cs="Arial" w:eastAsia="Arial" w:hAnsi="Arial"/>
          <w:sz w:val="15"/>
          <w:szCs w:val="15"/>
          <w:color w:val="auto"/>
        </w:rPr>
      </w:pPr>
    </w:p>
    <w:p>
      <w:pPr>
        <w:ind w:left="347" w:right="80" w:hanging="347"/>
        <w:spacing w:after="0" w:line="273" w:lineRule="auto"/>
        <w:tabs>
          <w:tab w:leader="none" w:pos="347"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Represents, in the case of L3 Deferred Compensation Plans, aggregate earnings in the last fiscal year, which are based on the prime interest rate. The average interest rate for the year was 3.50%. The amounts reported include $8,083 of above-market interest for Mr. Brunson. The above-market interest is included in the Change in Pension Value and Nonqualified Deferred Compensation Earnings column for 2016 in the “Summary Compensation Table” on page </w:t>
      </w:r>
      <w:hyperlink w:anchor="page68">
        <w:r>
          <w:rPr>
            <w:rFonts w:ascii="Arial" w:cs="Arial" w:eastAsia="Arial" w:hAnsi="Arial"/>
            <w:sz w:val="16"/>
            <w:szCs w:val="16"/>
            <w:u w:val="single" w:color="auto"/>
            <w:color w:val="0000EE"/>
          </w:rPr>
          <w:t>62</w:t>
        </w:r>
      </w:hyperlink>
      <w:r>
        <w:rPr>
          <w:rFonts w:ascii="Arial" w:cs="Arial" w:eastAsia="Arial" w:hAnsi="Arial"/>
          <w:sz w:val="16"/>
          <w:szCs w:val="16"/>
          <w:color w:val="auto"/>
        </w:rPr>
        <w:t>.</w:t>
      </w:r>
    </w:p>
    <w:p>
      <w:pPr>
        <w:ind w:left="347" w:right="20" w:hanging="347"/>
        <w:spacing w:after="0" w:line="289" w:lineRule="auto"/>
        <w:tabs>
          <w:tab w:leader="none" w:pos="347" w:val="left"/>
        </w:tabs>
        <w:numPr>
          <w:ilvl w:val="0"/>
          <w:numId w:val="81"/>
        </w:numPr>
        <w:rPr>
          <w:rFonts w:ascii="Arial" w:cs="Arial" w:eastAsia="Arial" w:hAnsi="Arial"/>
          <w:sz w:val="15"/>
          <w:szCs w:val="15"/>
          <w:color w:val="auto"/>
        </w:rPr>
      </w:pPr>
      <w:r>
        <w:rPr>
          <w:rFonts w:ascii="Arial" w:cs="Arial" w:eastAsia="Arial" w:hAnsi="Arial"/>
          <w:sz w:val="15"/>
          <w:szCs w:val="15"/>
          <w:color w:val="auto"/>
        </w:rPr>
        <w:t xml:space="preserve">Represents, in the case of each Retirement Eligible RSU Award, the sum of (a) the change in market value of the shares underlying such award during the period in 2016 for which the award was deemed to have been vested but the underlying shares remained undelivered and (b) the aggregate cash dividend equivalents that accrued in respect of such award during this period. These amounts are not considered above-market or preferential earnings and, accordingly, are not included in the “Summary Compensation Table” on page </w:t>
      </w:r>
      <w:hyperlink w:anchor="page68">
        <w:r>
          <w:rPr>
            <w:rFonts w:ascii="Arial" w:cs="Arial" w:eastAsia="Arial" w:hAnsi="Arial"/>
            <w:sz w:val="15"/>
            <w:szCs w:val="15"/>
            <w:u w:val="single" w:color="auto"/>
            <w:color w:val="0000EE"/>
          </w:rPr>
          <w:t>62</w:t>
        </w:r>
      </w:hyperlink>
      <w:r>
        <w:rPr>
          <w:rFonts w:ascii="Arial" w:cs="Arial" w:eastAsia="Arial" w:hAnsi="Arial"/>
          <w:sz w:val="15"/>
          <w:szCs w:val="15"/>
          <w:color w:val="auto"/>
        </w:rPr>
        <w:t>. For further information concerning the Retirement Eligible RSU Awards included in this column, see Note 8 below.</w:t>
      </w:r>
    </w:p>
    <w:p>
      <w:pPr>
        <w:spacing w:after="0" w:line="1" w:lineRule="exact"/>
        <w:rPr>
          <w:rFonts w:ascii="Arial" w:cs="Arial" w:eastAsia="Arial" w:hAnsi="Arial"/>
          <w:sz w:val="15"/>
          <w:szCs w:val="15"/>
          <w:color w:val="auto"/>
        </w:rPr>
      </w:pPr>
    </w:p>
    <w:p>
      <w:pPr>
        <w:ind w:left="347" w:right="40" w:hanging="347"/>
        <w:spacing w:after="0" w:line="271" w:lineRule="auto"/>
        <w:tabs>
          <w:tab w:leader="none" w:pos="347"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Represents, in respect of Retirement Eligible RSU Awards, the value of the underlying shares delivered and cash dividend equivalents paid to the named executive officers during 2016. The value reported for each award is based on the sum of (a) the number of shares delivered multiplied by the closing price of our Common Stock as of the latest trading date on or prior to the date the shares became deliverable and (b) the amount of cash dividend equivalents paid in respect of the award. For further information concerning the Retirement Eligible RSU Awards included in this column, see Note 8 below.</w:t>
      </w:r>
    </w:p>
    <w:p>
      <w:pPr>
        <w:spacing w:after="0" w:line="1" w:lineRule="exact"/>
        <w:rPr>
          <w:rFonts w:ascii="Arial" w:cs="Arial" w:eastAsia="Arial" w:hAnsi="Arial"/>
          <w:sz w:val="16"/>
          <w:szCs w:val="16"/>
          <w:color w:val="auto"/>
        </w:rPr>
      </w:pPr>
    </w:p>
    <w:p>
      <w:pPr>
        <w:ind w:left="347" w:right="300" w:hanging="347"/>
        <w:spacing w:after="0" w:line="275" w:lineRule="auto"/>
        <w:tabs>
          <w:tab w:leader="none" w:pos="347"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Includes, in the case of L3 Deferred Compensation Plans, $2,273,783 and $451,822 in executive contributions from Messrs. Brunson and Kantor, respectively, that were reported in the Salary, Bonus and Non-Equity Incentive Plan Compensation columns of the Summary Compensation Tables for previous years.</w:t>
      </w:r>
    </w:p>
    <w:p>
      <w:pPr>
        <w:spacing w:after="0" w:line="2" w:lineRule="exact"/>
        <w:rPr>
          <w:rFonts w:ascii="Arial" w:cs="Arial" w:eastAsia="Arial" w:hAnsi="Arial"/>
          <w:sz w:val="16"/>
          <w:szCs w:val="16"/>
          <w:color w:val="auto"/>
        </w:rPr>
      </w:pPr>
    </w:p>
    <w:p>
      <w:pPr>
        <w:ind w:left="347" w:hanging="347"/>
        <w:spacing w:after="0" w:line="304" w:lineRule="auto"/>
        <w:tabs>
          <w:tab w:leader="none" w:pos="347" w:val="left"/>
        </w:tabs>
        <w:numPr>
          <w:ilvl w:val="0"/>
          <w:numId w:val="81"/>
        </w:numPr>
        <w:rPr>
          <w:rFonts w:ascii="Arial" w:cs="Arial" w:eastAsia="Arial" w:hAnsi="Arial"/>
          <w:sz w:val="14"/>
          <w:szCs w:val="14"/>
          <w:color w:val="auto"/>
        </w:rPr>
      </w:pPr>
      <w:r>
        <w:rPr>
          <w:rFonts w:ascii="Arial" w:cs="Arial" w:eastAsia="Arial" w:hAnsi="Arial"/>
          <w:sz w:val="14"/>
          <w:szCs w:val="14"/>
          <w:color w:val="auto"/>
        </w:rPr>
        <w:t>Represents, in the case of Retirement Eligible RSU Awards, the value of the underlying shares and cash dividend equivalents that were deemed to have vested but remained undelivered and unpaid, respectively, as of December 31, 2016. The value reported represents the sum of</w:t>
      </w:r>
    </w:p>
    <w:p>
      <w:pPr>
        <w:spacing w:after="0" w:line="1" w:lineRule="exact"/>
        <w:rPr>
          <w:rFonts w:ascii="Arial" w:cs="Arial" w:eastAsia="Arial" w:hAnsi="Arial"/>
          <w:sz w:val="14"/>
          <w:szCs w:val="14"/>
          <w:color w:val="auto"/>
        </w:rPr>
      </w:pPr>
    </w:p>
    <w:p>
      <w:pPr>
        <w:ind w:left="347" w:right="200"/>
        <w:spacing w:after="0" w:line="288" w:lineRule="auto"/>
        <w:rPr>
          <w:rFonts w:ascii="Arial" w:cs="Arial" w:eastAsia="Arial" w:hAnsi="Arial"/>
          <w:sz w:val="15"/>
          <w:szCs w:val="15"/>
          <w:color w:val="auto"/>
        </w:rPr>
      </w:pPr>
      <w:r>
        <w:rPr>
          <w:rFonts w:ascii="Arial" w:cs="Arial" w:eastAsia="Arial" w:hAnsi="Arial"/>
          <w:sz w:val="15"/>
          <w:szCs w:val="15"/>
          <w:color w:val="auto"/>
        </w:rPr>
        <w:t xml:space="preserve">(a) the number of shares underlying the awards multiplied by $152.11, the closing price of our Common Stock on December 30, 2016, the last trading day of 2016, and (b) accrued cash dividend equivalents in respect of these awards as of December 31, 2016. The grant date fair value of each Retirement Eligible RSU Award included in this column is included in the Stock Awards column for 2015 or 2014, as applicable, in the “Summary Compensation Table” on page </w:t>
      </w:r>
      <w:hyperlink w:anchor="page68">
        <w:r>
          <w:rPr>
            <w:rFonts w:ascii="Arial" w:cs="Arial" w:eastAsia="Arial" w:hAnsi="Arial"/>
            <w:sz w:val="15"/>
            <w:szCs w:val="15"/>
            <w:u w:val="single" w:color="auto"/>
            <w:color w:val="0000EE"/>
          </w:rPr>
          <w:t>62</w:t>
        </w:r>
      </w:hyperlink>
      <w:r>
        <w:rPr>
          <w:rFonts w:ascii="Arial" w:cs="Arial" w:eastAsia="Arial" w:hAnsi="Arial"/>
          <w:sz w:val="15"/>
          <w:szCs w:val="15"/>
          <w:color w:val="auto"/>
        </w:rPr>
        <w:t>. For further information concerning the Retirement Eligible RSU Awards included in this column and their respective grant date fair values, see Note 8 below.</w:t>
      </w:r>
    </w:p>
    <w:p>
      <w:pPr>
        <w:spacing w:after="0" w:line="1" w:lineRule="exact"/>
        <w:rPr>
          <w:rFonts w:ascii="Arial" w:cs="Arial" w:eastAsia="Arial" w:hAnsi="Arial"/>
          <w:sz w:val="15"/>
          <w:szCs w:val="15"/>
          <w:color w:val="auto"/>
        </w:rPr>
      </w:pPr>
    </w:p>
    <w:p>
      <w:pPr>
        <w:ind w:left="347" w:hanging="347"/>
        <w:spacing w:after="0"/>
        <w:tabs>
          <w:tab w:leader="none" w:pos="347" w:val="left"/>
        </w:tabs>
        <w:numPr>
          <w:ilvl w:val="0"/>
          <w:numId w:val="81"/>
        </w:numPr>
        <w:rPr>
          <w:rFonts w:ascii="Arial" w:cs="Arial" w:eastAsia="Arial" w:hAnsi="Arial"/>
          <w:sz w:val="16"/>
          <w:szCs w:val="16"/>
          <w:color w:val="auto"/>
        </w:rPr>
      </w:pPr>
      <w:r>
        <w:rPr>
          <w:rFonts w:ascii="Arial" w:cs="Arial" w:eastAsia="Arial" w:hAnsi="Arial"/>
          <w:sz w:val="16"/>
          <w:szCs w:val="16"/>
          <w:color w:val="auto"/>
        </w:rPr>
        <w:t>Mr. Brunson maintained balances under two deferred compensation plans in the last fiscal year as follows:</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244475</wp:posOffset>
            </wp:positionH>
            <wp:positionV relativeFrom="paragraph">
              <wp:posOffset>52070</wp:posOffset>
            </wp:positionV>
            <wp:extent cx="55829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80" w:lineRule="exact"/>
        <w:rPr>
          <w:rFonts w:ascii="Arial" w:cs="Arial" w:eastAsia="Arial" w:hAnsi="Arial"/>
          <w:sz w:val="15"/>
          <w:szCs w:val="15"/>
          <w:color w:val="auto"/>
        </w:rPr>
      </w:pPr>
    </w:p>
    <w:tbl>
      <w:tblPr>
        <w:tblLayout w:type="fixed"/>
        <w:tblInd w:w="387"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2940" w:type="dxa"/>
            <w:vAlign w:val="bottom"/>
          </w:tcPr>
          <w:p>
            <w:pPr>
              <w:jc w:val="right"/>
              <w:ind w:right="423"/>
              <w:spacing w:after="0"/>
              <w:rPr>
                <w:sz w:val="20"/>
                <w:szCs w:val="20"/>
                <w:color w:val="auto"/>
              </w:rPr>
            </w:pPr>
            <w:r>
              <w:rPr>
                <w:rFonts w:ascii="Arial" w:cs="Arial" w:eastAsia="Arial" w:hAnsi="Arial"/>
                <w:sz w:val="14"/>
                <w:szCs w:val="14"/>
                <w:b w:val="1"/>
                <w:bCs w:val="1"/>
                <w:color w:val="auto"/>
              </w:rPr>
              <w:t>Plan I</w:t>
            </w:r>
          </w:p>
        </w:tc>
        <w:tc>
          <w:tcPr>
            <w:tcW w:w="980" w:type="dxa"/>
            <w:vAlign w:val="bottom"/>
          </w:tcPr>
          <w:p>
            <w:pPr>
              <w:jc w:val="right"/>
              <w:ind w:right="243"/>
              <w:spacing w:after="0"/>
              <w:rPr>
                <w:sz w:val="20"/>
                <w:szCs w:val="20"/>
                <w:color w:val="auto"/>
              </w:rPr>
            </w:pPr>
            <w:r>
              <w:rPr>
                <w:rFonts w:ascii="Arial" w:cs="Arial" w:eastAsia="Arial" w:hAnsi="Arial"/>
                <w:sz w:val="14"/>
                <w:szCs w:val="14"/>
                <w:b w:val="1"/>
                <w:bCs w:val="1"/>
                <w:color w:val="auto"/>
              </w:rPr>
              <w:t>Plan II</w:t>
            </w:r>
          </w:p>
        </w:tc>
      </w:tr>
      <w:tr>
        <w:trPr>
          <w:trHeight w:val="185"/>
        </w:trPr>
        <w:tc>
          <w:tcPr>
            <w:tcW w:w="4860" w:type="dxa"/>
            <w:vAlign w:val="bottom"/>
            <w:tcBorders>
              <w:bottom w:val="single" w:sz="8" w:color="005C7D"/>
            </w:tcBorders>
          </w:tcPr>
          <w:p>
            <w:pPr>
              <w:spacing w:after="0"/>
              <w:rPr>
                <w:sz w:val="16"/>
                <w:szCs w:val="16"/>
                <w:color w:val="auto"/>
              </w:rPr>
            </w:pPr>
          </w:p>
        </w:tc>
        <w:tc>
          <w:tcPr>
            <w:tcW w:w="2940" w:type="dxa"/>
            <w:vAlign w:val="bottom"/>
            <w:tcBorders>
              <w:bottom w:val="single" w:sz="8" w:color="005C7D"/>
            </w:tcBorders>
          </w:tcPr>
          <w:p>
            <w:pPr>
              <w:jc w:val="right"/>
              <w:ind w:right="523"/>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005C7D"/>
            </w:tcBorders>
          </w:tcPr>
          <w:p>
            <w:pPr>
              <w:jc w:val="right"/>
              <w:ind w:right="363"/>
              <w:spacing w:after="0"/>
              <w:rPr>
                <w:sz w:val="20"/>
                <w:szCs w:val="20"/>
                <w:color w:val="auto"/>
              </w:rPr>
            </w:pPr>
            <w:r>
              <w:rPr>
                <w:rFonts w:ascii="Arial" w:cs="Arial" w:eastAsia="Arial" w:hAnsi="Arial"/>
                <w:sz w:val="14"/>
                <w:szCs w:val="14"/>
                <w:b w:val="1"/>
                <w:bCs w:val="1"/>
                <w:color w:val="auto"/>
              </w:rPr>
              <w:t>($)</w:t>
            </w:r>
          </w:p>
        </w:tc>
      </w:tr>
      <w:tr>
        <w:trPr>
          <w:trHeight w:val="223"/>
        </w:trPr>
        <w:tc>
          <w:tcPr>
            <w:tcW w:w="4860" w:type="dxa"/>
            <w:vAlign w:val="bottom"/>
            <w:shd w:val="clear" w:color="auto" w:fill="CDDAE6"/>
          </w:tcPr>
          <w:p>
            <w:pPr>
              <w:ind w:left="20"/>
              <w:spacing w:after="0"/>
              <w:rPr>
                <w:sz w:val="20"/>
                <w:szCs w:val="20"/>
                <w:color w:val="auto"/>
              </w:rPr>
            </w:pPr>
            <w:r>
              <w:rPr>
                <w:rFonts w:ascii="Arial" w:cs="Arial" w:eastAsia="Arial" w:hAnsi="Arial"/>
                <w:sz w:val="16"/>
                <w:szCs w:val="16"/>
                <w:color w:val="auto"/>
              </w:rPr>
              <w:t>Aggregate Earnings in Last Fiscal Year</w:t>
            </w:r>
          </w:p>
        </w:tc>
        <w:tc>
          <w:tcPr>
            <w:tcW w:w="2940" w:type="dxa"/>
            <w:vAlign w:val="bottom"/>
            <w:shd w:val="clear" w:color="auto" w:fill="CDDAE6"/>
          </w:tcPr>
          <w:p>
            <w:pPr>
              <w:jc w:val="right"/>
              <w:ind w:right="183"/>
              <w:spacing w:after="0"/>
              <w:rPr>
                <w:sz w:val="20"/>
                <w:szCs w:val="20"/>
                <w:color w:val="auto"/>
              </w:rPr>
            </w:pPr>
            <w:r>
              <w:rPr>
                <w:rFonts w:ascii="Arial" w:cs="Arial" w:eastAsia="Arial" w:hAnsi="Arial"/>
                <w:sz w:val="16"/>
                <w:szCs w:val="16"/>
                <w:color w:val="auto"/>
              </w:rPr>
              <w:t>31,029</w:t>
            </w:r>
          </w:p>
        </w:tc>
        <w:tc>
          <w:tcPr>
            <w:tcW w:w="980" w:type="dxa"/>
            <w:vAlign w:val="bottom"/>
            <w:shd w:val="clear" w:color="auto" w:fill="CDDAE6"/>
          </w:tcPr>
          <w:p>
            <w:pPr>
              <w:jc w:val="right"/>
              <w:ind w:right="3"/>
              <w:spacing w:after="0"/>
              <w:rPr>
                <w:sz w:val="20"/>
                <w:szCs w:val="20"/>
                <w:color w:val="auto"/>
              </w:rPr>
            </w:pPr>
            <w:r>
              <w:rPr>
                <w:rFonts w:ascii="Arial" w:cs="Arial" w:eastAsia="Arial" w:hAnsi="Arial"/>
                <w:sz w:val="16"/>
                <w:szCs w:val="16"/>
                <w:color w:val="auto"/>
              </w:rPr>
              <w:t>133,616</w:t>
            </w:r>
          </w:p>
        </w:tc>
      </w:tr>
      <w:tr>
        <w:trPr>
          <w:trHeight w:val="223"/>
        </w:trPr>
        <w:tc>
          <w:tcPr>
            <w:tcW w:w="4860" w:type="dxa"/>
            <w:vAlign w:val="bottom"/>
            <w:tcBorders>
              <w:bottom w:val="single" w:sz="8" w:color="005C7D"/>
            </w:tcBorders>
          </w:tcPr>
          <w:p>
            <w:pPr>
              <w:ind w:left="20"/>
              <w:spacing w:after="0"/>
              <w:rPr>
                <w:sz w:val="20"/>
                <w:szCs w:val="20"/>
                <w:color w:val="auto"/>
              </w:rPr>
            </w:pPr>
            <w:r>
              <w:rPr>
                <w:rFonts w:ascii="Arial" w:cs="Arial" w:eastAsia="Arial" w:hAnsi="Arial"/>
                <w:sz w:val="16"/>
                <w:szCs w:val="16"/>
                <w:color w:val="auto"/>
              </w:rPr>
              <w:t>Aggregate Balance at Last Fiscal Year End</w:t>
            </w:r>
          </w:p>
        </w:tc>
        <w:tc>
          <w:tcPr>
            <w:tcW w:w="2940" w:type="dxa"/>
            <w:vAlign w:val="bottom"/>
            <w:tcBorders>
              <w:bottom w:val="single" w:sz="8" w:color="005C7D"/>
            </w:tcBorders>
          </w:tcPr>
          <w:p>
            <w:pPr>
              <w:jc w:val="right"/>
              <w:ind w:right="183"/>
              <w:spacing w:after="0"/>
              <w:rPr>
                <w:sz w:val="20"/>
                <w:szCs w:val="20"/>
                <w:color w:val="auto"/>
              </w:rPr>
            </w:pPr>
            <w:r>
              <w:rPr>
                <w:rFonts w:ascii="Arial" w:cs="Arial" w:eastAsia="Arial" w:hAnsi="Arial"/>
                <w:sz w:val="16"/>
                <w:szCs w:val="16"/>
                <w:color w:val="auto"/>
              </w:rPr>
              <w:t>902,131</w:t>
            </w:r>
          </w:p>
        </w:tc>
        <w:tc>
          <w:tcPr>
            <w:tcW w:w="980" w:type="dxa"/>
            <w:vAlign w:val="bottom"/>
            <w:tcBorders>
              <w:bottom w:val="single" w:sz="8" w:color="005C7D"/>
            </w:tcBorders>
          </w:tcPr>
          <w:p>
            <w:pPr>
              <w:jc w:val="right"/>
              <w:ind w:right="3"/>
              <w:spacing w:after="0"/>
              <w:rPr>
                <w:sz w:val="20"/>
                <w:szCs w:val="20"/>
                <w:color w:val="auto"/>
              </w:rPr>
            </w:pPr>
            <w:r>
              <w:rPr>
                <w:rFonts w:ascii="Arial" w:cs="Arial" w:eastAsia="Arial" w:hAnsi="Arial"/>
                <w:sz w:val="16"/>
                <w:szCs w:val="16"/>
                <w:color w:val="auto"/>
              </w:rPr>
              <w:t>3,885,058</w:t>
            </w:r>
          </w:p>
        </w:tc>
      </w:tr>
    </w:tbl>
    <w:p>
      <w:pPr>
        <w:spacing w:after="0" w:line="242" w:lineRule="exact"/>
        <w:rPr>
          <w:rFonts w:ascii="Arial" w:cs="Arial" w:eastAsia="Arial" w:hAnsi="Arial"/>
          <w:sz w:val="15"/>
          <w:szCs w:val="15"/>
          <w:color w:val="auto"/>
        </w:rPr>
      </w:pPr>
    </w:p>
    <w:p>
      <w:pPr>
        <w:ind w:left="7827"/>
        <w:spacing w:after="0"/>
        <w:tabs>
          <w:tab w:leader="none" w:pos="9326"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73</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4445</wp:posOffset>
            </wp:positionH>
            <wp:positionV relativeFrom="paragraph">
              <wp:posOffset>381000</wp:posOffset>
            </wp:positionV>
            <wp:extent cx="6071870" cy="4318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-107315</wp:posOffset>
            </wp:positionV>
            <wp:extent cx="163195" cy="1543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79" w:name="page80"/>
    <w:bookmarkEnd w:id="79"/>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7"/>
        <w:spacing w:after="0"/>
        <w:rPr>
          <w:sz w:val="20"/>
          <w:szCs w:val="20"/>
          <w:color w:val="auto"/>
        </w:rPr>
      </w:pPr>
      <w:r>
        <w:rPr>
          <w:rFonts w:ascii="Arial" w:cs="Arial" w:eastAsia="Arial" w:hAnsi="Arial"/>
          <w:sz w:val="14"/>
          <w:szCs w:val="14"/>
          <w:color w:val="005C7D"/>
        </w:rPr>
        <w:t>TABULAR EXECUTIVE COMPENSATION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07187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6" w:lineRule="exact"/>
        <w:rPr>
          <w:sz w:val="20"/>
          <w:szCs w:val="20"/>
          <w:color w:val="auto"/>
        </w:rPr>
      </w:pPr>
    </w:p>
    <w:p>
      <w:pPr>
        <w:ind w:left="347" w:right="300" w:hanging="347"/>
        <w:spacing w:after="0" w:line="293" w:lineRule="auto"/>
        <w:tabs>
          <w:tab w:leader="none" w:pos="347"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following table provides additional information regarding the Retirement Eligible RSU Awards held by our named executive officers during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12700</wp:posOffset>
            </wp:positionV>
            <wp:extent cx="55829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17" w:lineRule="exact"/>
        <w:rPr>
          <w:sz w:val="20"/>
          <w:szCs w:val="20"/>
          <w:color w:val="auto"/>
        </w:rPr>
      </w:pPr>
    </w:p>
    <w:tbl>
      <w:tblPr>
        <w:tblLayout w:type="fixed"/>
        <w:tblInd w:w="387"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jc w:val="center"/>
              <w:ind w:right="46"/>
              <w:spacing w:after="0"/>
              <w:rPr>
                <w:sz w:val="20"/>
                <w:szCs w:val="20"/>
                <w:color w:val="auto"/>
              </w:rPr>
            </w:pPr>
            <w:r>
              <w:rPr>
                <w:rFonts w:ascii="Arial" w:cs="Arial" w:eastAsia="Arial" w:hAnsi="Arial"/>
                <w:sz w:val="14"/>
                <w:szCs w:val="14"/>
                <w:b w:val="1"/>
                <w:bCs w:val="1"/>
                <w:color w:val="auto"/>
                <w:w w:val="94"/>
              </w:rPr>
              <w:t>Number of</w:t>
            </w: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jc w:val="center"/>
              <w:ind w:right="46"/>
              <w:spacing w:after="0"/>
              <w:rPr>
                <w:sz w:val="20"/>
                <w:szCs w:val="20"/>
                <w:color w:val="auto"/>
              </w:rPr>
            </w:pPr>
            <w:r>
              <w:rPr>
                <w:rFonts w:ascii="Arial" w:cs="Arial" w:eastAsia="Arial" w:hAnsi="Arial"/>
                <w:sz w:val="14"/>
                <w:szCs w:val="14"/>
                <w:b w:val="1"/>
                <w:bCs w:val="1"/>
                <w:color w:val="auto"/>
                <w:w w:val="89"/>
              </w:rPr>
              <w:t>Shares</w:t>
            </w: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jc w:val="center"/>
              <w:ind w:right="46"/>
              <w:spacing w:after="0"/>
              <w:rPr>
                <w:sz w:val="20"/>
                <w:szCs w:val="20"/>
                <w:color w:val="auto"/>
              </w:rPr>
            </w:pPr>
            <w:r>
              <w:rPr>
                <w:rFonts w:ascii="Arial" w:cs="Arial" w:eastAsia="Arial" w:hAnsi="Arial"/>
                <w:sz w:val="14"/>
                <w:szCs w:val="14"/>
                <w:b w:val="1"/>
                <w:bCs w:val="1"/>
                <w:color w:val="auto"/>
                <w:w w:val="95"/>
              </w:rPr>
              <w:t>Underlying RSU</w:t>
            </w:r>
          </w:p>
        </w:tc>
        <w:tc>
          <w:tcPr>
            <w:tcW w:w="1420" w:type="dxa"/>
            <w:vAlign w:val="bottom"/>
          </w:tcPr>
          <w:p>
            <w:pPr>
              <w:jc w:val="center"/>
              <w:ind w:right="65"/>
              <w:spacing w:after="0"/>
              <w:rPr>
                <w:sz w:val="20"/>
                <w:szCs w:val="20"/>
                <w:color w:val="auto"/>
              </w:rPr>
            </w:pPr>
            <w:r>
              <w:rPr>
                <w:rFonts w:ascii="Arial" w:cs="Arial" w:eastAsia="Arial" w:hAnsi="Arial"/>
                <w:sz w:val="14"/>
                <w:szCs w:val="14"/>
                <w:b w:val="1"/>
                <w:bCs w:val="1"/>
                <w:color w:val="auto"/>
                <w:w w:val="98"/>
              </w:rPr>
              <w:t>Grant Date Fair</w:t>
            </w: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jc w:val="center"/>
              <w:ind w:right="46"/>
              <w:spacing w:after="0"/>
              <w:rPr>
                <w:sz w:val="20"/>
                <w:szCs w:val="20"/>
                <w:color w:val="auto"/>
              </w:rPr>
            </w:pPr>
            <w:r>
              <w:rPr>
                <w:rFonts w:ascii="Arial" w:cs="Arial" w:eastAsia="Arial" w:hAnsi="Arial"/>
                <w:sz w:val="14"/>
                <w:szCs w:val="14"/>
                <w:b w:val="1"/>
                <w:bCs w:val="1"/>
                <w:color w:val="auto"/>
                <w:w w:val="98"/>
              </w:rPr>
              <w:t>Award</w:t>
            </w:r>
          </w:p>
        </w:tc>
        <w:tc>
          <w:tcPr>
            <w:tcW w:w="1420" w:type="dxa"/>
            <w:vAlign w:val="bottom"/>
          </w:tcPr>
          <w:p>
            <w:pPr>
              <w:jc w:val="center"/>
              <w:ind w:right="45"/>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w w:val="99"/>
              </w:rPr>
              <w:t>Vesting Date</w:t>
            </w:r>
            <w:r>
              <w:rPr>
                <w:rFonts w:ascii="Arial" w:cs="Arial" w:eastAsia="Arial" w:hAnsi="Arial"/>
                <w:sz w:val="24"/>
                <w:szCs w:val="24"/>
                <w:b w:val="1"/>
                <w:bCs w:val="1"/>
                <w:color w:val="auto"/>
                <w:w w:val="99"/>
                <w:vertAlign w:val="superscript"/>
              </w:rPr>
              <w:t>(a)</w:t>
            </w:r>
          </w:p>
        </w:tc>
        <w:tc>
          <w:tcPr>
            <w:tcW w:w="128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rPr>
              <w:t>Delivery Date</w:t>
            </w:r>
            <w:r>
              <w:rPr>
                <w:rFonts w:ascii="Arial" w:cs="Arial" w:eastAsia="Arial" w:hAnsi="Arial"/>
                <w:sz w:val="24"/>
                <w:szCs w:val="24"/>
                <w:b w:val="1"/>
                <w:bCs w:val="1"/>
                <w:color w:val="auto"/>
                <w:vertAlign w:val="superscript"/>
              </w:rPr>
              <w:t>(b)</w:t>
            </w:r>
          </w:p>
        </w:tc>
        <w:tc>
          <w:tcPr>
            <w:tcW w:w="0" w:type="dxa"/>
            <w:vAlign w:val="bottom"/>
          </w:tcPr>
          <w:p>
            <w:pPr>
              <w:spacing w:after="0"/>
              <w:rPr>
                <w:sz w:val="1"/>
                <w:szCs w:val="1"/>
                <w:color w:val="auto"/>
              </w:rPr>
            </w:pPr>
          </w:p>
        </w:tc>
      </w:tr>
      <w:tr>
        <w:trPr>
          <w:trHeight w:val="185"/>
        </w:trPr>
        <w:tc>
          <w:tcPr>
            <w:tcW w:w="2260" w:type="dxa"/>
            <w:vAlign w:val="bottom"/>
            <w:tcBorders>
              <w:bottom w:val="single" w:sz="8" w:color="005C7D"/>
            </w:tcBorders>
          </w:tcPr>
          <w:p>
            <w:pPr>
              <w:ind w:left="20"/>
              <w:spacing w:after="0"/>
              <w:rPr>
                <w:sz w:val="20"/>
                <w:szCs w:val="20"/>
                <w:color w:val="auto"/>
              </w:rPr>
            </w:pPr>
            <w:r>
              <w:rPr>
                <w:rFonts w:ascii="Arial" w:cs="Arial" w:eastAsia="Arial" w:hAnsi="Arial"/>
                <w:sz w:val="14"/>
                <w:szCs w:val="14"/>
                <w:b w:val="1"/>
                <w:bCs w:val="1"/>
                <w:color w:val="auto"/>
              </w:rPr>
              <w:t>Name</w:t>
            </w:r>
          </w:p>
        </w:tc>
        <w:tc>
          <w:tcPr>
            <w:tcW w:w="1080" w:type="dxa"/>
            <w:vAlign w:val="bottom"/>
            <w:tcBorders>
              <w:bottom w:val="single" w:sz="8" w:color="005C7D"/>
            </w:tcBorders>
          </w:tcPr>
          <w:p>
            <w:pPr>
              <w:jc w:val="right"/>
              <w:ind w:right="124"/>
              <w:spacing w:after="0"/>
              <w:rPr>
                <w:sz w:val="20"/>
                <w:szCs w:val="20"/>
                <w:color w:val="auto"/>
              </w:rPr>
            </w:pPr>
            <w:r>
              <w:rPr>
                <w:rFonts w:ascii="Arial" w:cs="Arial" w:eastAsia="Arial" w:hAnsi="Arial"/>
                <w:sz w:val="14"/>
                <w:szCs w:val="14"/>
                <w:b w:val="1"/>
                <w:bCs w:val="1"/>
                <w:color w:val="auto"/>
              </w:rPr>
              <w:t>Grant Date</w:t>
            </w:r>
          </w:p>
        </w:tc>
        <w:tc>
          <w:tcPr>
            <w:tcW w:w="1420" w:type="dxa"/>
            <w:vAlign w:val="bottom"/>
            <w:tcBorders>
              <w:bottom w:val="single" w:sz="8" w:color="005C7D"/>
            </w:tcBorders>
          </w:tcPr>
          <w:p>
            <w:pPr>
              <w:jc w:val="center"/>
              <w:ind w:right="26"/>
              <w:spacing w:after="0"/>
              <w:rPr>
                <w:sz w:val="20"/>
                <w:szCs w:val="20"/>
                <w:color w:val="auto"/>
              </w:rPr>
            </w:pPr>
            <w:r>
              <w:rPr>
                <w:rFonts w:ascii="Arial" w:cs="Arial" w:eastAsia="Arial" w:hAnsi="Arial"/>
                <w:sz w:val="14"/>
                <w:szCs w:val="14"/>
                <w:b w:val="1"/>
                <w:bCs w:val="1"/>
                <w:color w:val="auto"/>
                <w:w w:val="93"/>
              </w:rPr>
              <w:t>(#)</w:t>
            </w:r>
          </w:p>
        </w:tc>
        <w:tc>
          <w:tcPr>
            <w:tcW w:w="1420" w:type="dxa"/>
            <w:vAlign w:val="bottom"/>
            <w:tcBorders>
              <w:bottom w:val="single" w:sz="8" w:color="005C7D"/>
            </w:tcBorders>
          </w:tcPr>
          <w:p>
            <w:pPr>
              <w:jc w:val="center"/>
              <w:ind w:right="45"/>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005C7D"/>
            </w:tcBorders>
            <w:vMerge w:val="continue"/>
          </w:tcPr>
          <w:p>
            <w:pPr>
              <w:spacing w:after="0"/>
              <w:rPr>
                <w:sz w:val="16"/>
                <w:szCs w:val="16"/>
                <w:color w:val="auto"/>
              </w:rPr>
            </w:pPr>
          </w:p>
        </w:tc>
        <w:tc>
          <w:tcPr>
            <w:tcW w:w="1280" w:type="dxa"/>
            <w:vAlign w:val="bottom"/>
            <w:tcBorders>
              <w:bottom w:val="single" w:sz="8" w:color="005C7D"/>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60" w:type="dxa"/>
            <w:vAlign w:val="bottom"/>
            <w:shd w:val="clear" w:color="auto" w:fill="CDDAE6"/>
          </w:tcPr>
          <w:p>
            <w:pPr>
              <w:ind w:left="20"/>
              <w:spacing w:after="0"/>
              <w:rPr>
                <w:sz w:val="20"/>
                <w:szCs w:val="20"/>
                <w:color w:val="auto"/>
              </w:rPr>
            </w:pPr>
            <w:r>
              <w:rPr>
                <w:rFonts w:ascii="Arial" w:cs="Arial" w:eastAsia="Arial" w:hAnsi="Arial"/>
                <w:sz w:val="15"/>
                <w:szCs w:val="15"/>
                <w:color w:val="auto"/>
              </w:rPr>
              <w:t>Curtis Brunson</w:t>
            </w:r>
          </w:p>
        </w:tc>
        <w:tc>
          <w:tcPr>
            <w:tcW w:w="1080" w:type="dxa"/>
            <w:vAlign w:val="bottom"/>
            <w:shd w:val="clear" w:color="auto" w:fill="CDDAE6"/>
          </w:tcPr>
          <w:p>
            <w:pPr>
              <w:jc w:val="right"/>
              <w:ind w:right="44"/>
              <w:spacing w:after="0"/>
              <w:rPr>
                <w:sz w:val="20"/>
                <w:szCs w:val="20"/>
                <w:color w:val="auto"/>
              </w:rPr>
            </w:pPr>
            <w:r>
              <w:rPr>
                <w:rFonts w:ascii="Arial" w:cs="Arial" w:eastAsia="Arial" w:hAnsi="Arial"/>
                <w:sz w:val="15"/>
                <w:szCs w:val="15"/>
                <w:color w:val="auto"/>
              </w:rPr>
              <w:t>2/17/15</w:t>
            </w:r>
          </w:p>
        </w:tc>
        <w:tc>
          <w:tcPr>
            <w:tcW w:w="1420" w:type="dxa"/>
            <w:vAlign w:val="bottom"/>
            <w:shd w:val="clear" w:color="auto" w:fill="CDDAE6"/>
          </w:tcPr>
          <w:p>
            <w:pPr>
              <w:jc w:val="right"/>
              <w:ind w:right="66"/>
              <w:spacing w:after="0"/>
              <w:rPr>
                <w:sz w:val="20"/>
                <w:szCs w:val="20"/>
                <w:color w:val="auto"/>
              </w:rPr>
            </w:pPr>
            <w:r>
              <w:rPr>
                <w:rFonts w:ascii="Arial" w:cs="Arial" w:eastAsia="Arial" w:hAnsi="Arial"/>
                <w:sz w:val="15"/>
                <w:szCs w:val="15"/>
                <w:color w:val="auto"/>
              </w:rPr>
              <w:t>6,264</w:t>
            </w:r>
          </w:p>
        </w:tc>
        <w:tc>
          <w:tcPr>
            <w:tcW w:w="1420" w:type="dxa"/>
            <w:vAlign w:val="bottom"/>
            <w:shd w:val="clear" w:color="auto" w:fill="CDDAE6"/>
          </w:tcPr>
          <w:p>
            <w:pPr>
              <w:jc w:val="right"/>
              <w:ind w:right="65"/>
              <w:spacing w:after="0"/>
              <w:rPr>
                <w:sz w:val="20"/>
                <w:szCs w:val="20"/>
                <w:color w:val="auto"/>
              </w:rPr>
            </w:pPr>
            <w:r>
              <w:rPr>
                <w:rFonts w:ascii="Arial" w:cs="Arial" w:eastAsia="Arial" w:hAnsi="Arial"/>
                <w:sz w:val="15"/>
                <w:szCs w:val="15"/>
                <w:color w:val="auto"/>
              </w:rPr>
              <w:t>809,998</w:t>
            </w:r>
          </w:p>
        </w:tc>
        <w:tc>
          <w:tcPr>
            <w:tcW w:w="1320" w:type="dxa"/>
            <w:vAlign w:val="bottom"/>
            <w:shd w:val="clear" w:color="auto" w:fill="CDDAE6"/>
          </w:tcPr>
          <w:p>
            <w:pPr>
              <w:jc w:val="right"/>
              <w:ind w:right="64"/>
              <w:spacing w:after="0"/>
              <w:rPr>
                <w:sz w:val="20"/>
                <w:szCs w:val="20"/>
                <w:color w:val="auto"/>
              </w:rPr>
            </w:pPr>
            <w:r>
              <w:rPr>
                <w:rFonts w:ascii="Arial" w:cs="Arial" w:eastAsia="Arial" w:hAnsi="Arial"/>
                <w:sz w:val="15"/>
                <w:szCs w:val="15"/>
                <w:color w:val="auto"/>
              </w:rPr>
              <w:t>2/18/16</w:t>
            </w:r>
          </w:p>
        </w:tc>
        <w:tc>
          <w:tcPr>
            <w:tcW w:w="1280" w:type="dxa"/>
            <w:vAlign w:val="bottom"/>
            <w:shd w:val="clear" w:color="auto" w:fill="CDDAE6"/>
          </w:tcPr>
          <w:p>
            <w:pPr>
              <w:jc w:val="right"/>
              <w:ind w:right="4"/>
              <w:spacing w:after="0"/>
              <w:rPr>
                <w:sz w:val="20"/>
                <w:szCs w:val="20"/>
                <w:color w:val="auto"/>
              </w:rPr>
            </w:pPr>
            <w:r>
              <w:rPr>
                <w:rFonts w:ascii="Arial" w:cs="Arial" w:eastAsia="Arial" w:hAnsi="Arial"/>
                <w:sz w:val="15"/>
                <w:szCs w:val="15"/>
                <w:color w:val="auto"/>
              </w:rPr>
              <w:t>2/17/18</w:t>
            </w:r>
          </w:p>
        </w:tc>
        <w:tc>
          <w:tcPr>
            <w:tcW w:w="0" w:type="dxa"/>
            <w:vAlign w:val="bottom"/>
          </w:tcPr>
          <w:p>
            <w:pPr>
              <w:spacing w:after="0"/>
              <w:rPr>
                <w:sz w:val="1"/>
                <w:szCs w:val="1"/>
                <w:color w:val="auto"/>
              </w:rPr>
            </w:pPr>
          </w:p>
        </w:tc>
      </w:tr>
      <w:tr>
        <w:trPr>
          <w:trHeight w:val="189"/>
        </w:trPr>
        <w:tc>
          <w:tcPr>
            <w:tcW w:w="2260" w:type="dxa"/>
            <w:vAlign w:val="bottom"/>
            <w:shd w:val="clear" w:color="auto" w:fill="CDDAE6"/>
          </w:tcPr>
          <w:p>
            <w:pPr>
              <w:spacing w:after="0"/>
              <w:rPr>
                <w:sz w:val="16"/>
                <w:szCs w:val="16"/>
                <w:color w:val="auto"/>
              </w:rPr>
            </w:pPr>
          </w:p>
        </w:tc>
        <w:tc>
          <w:tcPr>
            <w:tcW w:w="1080" w:type="dxa"/>
            <w:vAlign w:val="bottom"/>
            <w:shd w:val="clear" w:color="auto" w:fill="CDDAE6"/>
          </w:tcPr>
          <w:p>
            <w:pPr>
              <w:jc w:val="right"/>
              <w:ind w:right="44"/>
              <w:spacing w:after="0"/>
              <w:rPr>
                <w:sz w:val="20"/>
                <w:szCs w:val="20"/>
                <w:color w:val="auto"/>
              </w:rPr>
            </w:pPr>
            <w:r>
              <w:rPr>
                <w:rFonts w:ascii="Arial" w:cs="Arial" w:eastAsia="Arial" w:hAnsi="Arial"/>
                <w:sz w:val="15"/>
                <w:szCs w:val="15"/>
                <w:color w:val="auto"/>
              </w:rPr>
              <w:t>2/19/14</w:t>
            </w:r>
          </w:p>
        </w:tc>
        <w:tc>
          <w:tcPr>
            <w:tcW w:w="1420" w:type="dxa"/>
            <w:vAlign w:val="bottom"/>
            <w:shd w:val="clear" w:color="auto" w:fill="CDDAE6"/>
          </w:tcPr>
          <w:p>
            <w:pPr>
              <w:jc w:val="right"/>
              <w:ind w:right="66"/>
              <w:spacing w:after="0"/>
              <w:rPr>
                <w:sz w:val="20"/>
                <w:szCs w:val="20"/>
                <w:color w:val="auto"/>
              </w:rPr>
            </w:pPr>
            <w:r>
              <w:rPr>
                <w:rFonts w:ascii="Arial" w:cs="Arial" w:eastAsia="Arial" w:hAnsi="Arial"/>
                <w:sz w:val="15"/>
                <w:szCs w:val="15"/>
                <w:color w:val="auto"/>
              </w:rPr>
              <w:t>7,126</w:t>
            </w:r>
          </w:p>
        </w:tc>
        <w:tc>
          <w:tcPr>
            <w:tcW w:w="1420" w:type="dxa"/>
            <w:vAlign w:val="bottom"/>
            <w:shd w:val="clear" w:color="auto" w:fill="CDDAE6"/>
          </w:tcPr>
          <w:p>
            <w:pPr>
              <w:jc w:val="right"/>
              <w:ind w:right="65"/>
              <w:spacing w:after="0"/>
              <w:rPr>
                <w:sz w:val="20"/>
                <w:szCs w:val="20"/>
                <w:color w:val="auto"/>
              </w:rPr>
            </w:pPr>
            <w:r>
              <w:rPr>
                <w:rFonts w:ascii="Arial" w:cs="Arial" w:eastAsia="Arial" w:hAnsi="Arial"/>
                <w:sz w:val="15"/>
                <w:szCs w:val="15"/>
                <w:color w:val="auto"/>
              </w:rPr>
              <w:t>810,012</w:t>
            </w:r>
          </w:p>
        </w:tc>
        <w:tc>
          <w:tcPr>
            <w:tcW w:w="1320" w:type="dxa"/>
            <w:vAlign w:val="bottom"/>
            <w:shd w:val="clear" w:color="auto" w:fill="CDDAE6"/>
          </w:tcPr>
          <w:p>
            <w:pPr>
              <w:jc w:val="right"/>
              <w:ind w:right="64"/>
              <w:spacing w:after="0"/>
              <w:rPr>
                <w:sz w:val="20"/>
                <w:szCs w:val="20"/>
                <w:color w:val="auto"/>
              </w:rPr>
            </w:pPr>
            <w:r>
              <w:rPr>
                <w:rFonts w:ascii="Arial" w:cs="Arial" w:eastAsia="Arial" w:hAnsi="Arial"/>
                <w:sz w:val="15"/>
                <w:szCs w:val="15"/>
                <w:color w:val="auto"/>
              </w:rPr>
              <w:t>2/20/15</w:t>
            </w:r>
          </w:p>
        </w:tc>
        <w:tc>
          <w:tcPr>
            <w:tcW w:w="1280" w:type="dxa"/>
            <w:vAlign w:val="bottom"/>
            <w:shd w:val="clear" w:color="auto" w:fill="CDDAE6"/>
          </w:tcPr>
          <w:p>
            <w:pPr>
              <w:jc w:val="right"/>
              <w:ind w:right="4"/>
              <w:spacing w:after="0"/>
              <w:rPr>
                <w:sz w:val="20"/>
                <w:szCs w:val="20"/>
                <w:color w:val="auto"/>
              </w:rPr>
            </w:pPr>
            <w:r>
              <w:rPr>
                <w:rFonts w:ascii="Arial" w:cs="Arial" w:eastAsia="Arial" w:hAnsi="Arial"/>
                <w:sz w:val="15"/>
                <w:szCs w:val="15"/>
                <w:color w:val="auto"/>
              </w:rPr>
              <w:t>2/19/17</w:t>
            </w:r>
          </w:p>
        </w:tc>
        <w:tc>
          <w:tcPr>
            <w:tcW w:w="0" w:type="dxa"/>
            <w:vAlign w:val="bottom"/>
          </w:tcPr>
          <w:p>
            <w:pPr>
              <w:spacing w:after="0"/>
              <w:rPr>
                <w:sz w:val="1"/>
                <w:szCs w:val="1"/>
                <w:color w:val="auto"/>
              </w:rPr>
            </w:pPr>
          </w:p>
        </w:tc>
      </w:tr>
      <w:tr>
        <w:trPr>
          <w:trHeight w:val="189"/>
        </w:trPr>
        <w:tc>
          <w:tcPr>
            <w:tcW w:w="2260" w:type="dxa"/>
            <w:vAlign w:val="bottom"/>
            <w:shd w:val="clear" w:color="auto" w:fill="CDDAE6"/>
          </w:tcPr>
          <w:p>
            <w:pPr>
              <w:spacing w:after="0"/>
              <w:rPr>
                <w:sz w:val="16"/>
                <w:szCs w:val="16"/>
                <w:color w:val="auto"/>
              </w:rPr>
            </w:pPr>
          </w:p>
        </w:tc>
        <w:tc>
          <w:tcPr>
            <w:tcW w:w="1080" w:type="dxa"/>
            <w:vAlign w:val="bottom"/>
            <w:shd w:val="clear" w:color="auto" w:fill="CDDAE6"/>
          </w:tcPr>
          <w:p>
            <w:pPr>
              <w:jc w:val="right"/>
              <w:ind w:right="44"/>
              <w:spacing w:after="0"/>
              <w:rPr>
                <w:sz w:val="20"/>
                <w:szCs w:val="20"/>
                <w:color w:val="auto"/>
              </w:rPr>
            </w:pPr>
            <w:r>
              <w:rPr>
                <w:rFonts w:ascii="Arial" w:cs="Arial" w:eastAsia="Arial" w:hAnsi="Arial"/>
                <w:sz w:val="15"/>
                <w:szCs w:val="15"/>
                <w:color w:val="auto"/>
              </w:rPr>
              <w:t>2/20/13</w:t>
            </w:r>
          </w:p>
        </w:tc>
        <w:tc>
          <w:tcPr>
            <w:tcW w:w="1420" w:type="dxa"/>
            <w:vAlign w:val="bottom"/>
            <w:shd w:val="clear" w:color="auto" w:fill="CDDAE6"/>
          </w:tcPr>
          <w:p>
            <w:pPr>
              <w:jc w:val="right"/>
              <w:ind w:right="66"/>
              <w:spacing w:after="0"/>
              <w:rPr>
                <w:sz w:val="20"/>
                <w:szCs w:val="20"/>
                <w:color w:val="auto"/>
              </w:rPr>
            </w:pPr>
            <w:r>
              <w:rPr>
                <w:rFonts w:ascii="Arial" w:cs="Arial" w:eastAsia="Arial" w:hAnsi="Arial"/>
                <w:sz w:val="15"/>
                <w:szCs w:val="15"/>
                <w:color w:val="auto"/>
              </w:rPr>
              <w:t>9,740</w:t>
            </w:r>
          </w:p>
        </w:tc>
        <w:tc>
          <w:tcPr>
            <w:tcW w:w="1420" w:type="dxa"/>
            <w:vAlign w:val="bottom"/>
            <w:shd w:val="clear" w:color="auto" w:fill="CDDAE6"/>
          </w:tcPr>
          <w:p>
            <w:pPr>
              <w:jc w:val="right"/>
              <w:ind w:right="65"/>
              <w:spacing w:after="0"/>
              <w:rPr>
                <w:sz w:val="20"/>
                <w:szCs w:val="20"/>
                <w:color w:val="auto"/>
              </w:rPr>
            </w:pPr>
            <w:r>
              <w:rPr>
                <w:rFonts w:ascii="Arial" w:cs="Arial" w:eastAsia="Arial" w:hAnsi="Arial"/>
                <w:sz w:val="15"/>
                <w:szCs w:val="15"/>
                <w:color w:val="auto"/>
              </w:rPr>
              <w:t>749,980</w:t>
            </w:r>
          </w:p>
        </w:tc>
        <w:tc>
          <w:tcPr>
            <w:tcW w:w="1320" w:type="dxa"/>
            <w:vAlign w:val="bottom"/>
            <w:shd w:val="clear" w:color="auto" w:fill="CDDAE6"/>
          </w:tcPr>
          <w:p>
            <w:pPr>
              <w:jc w:val="right"/>
              <w:ind w:right="64"/>
              <w:spacing w:after="0"/>
              <w:rPr>
                <w:sz w:val="20"/>
                <w:szCs w:val="20"/>
                <w:color w:val="auto"/>
              </w:rPr>
            </w:pPr>
            <w:r>
              <w:rPr>
                <w:rFonts w:ascii="Arial" w:cs="Arial" w:eastAsia="Arial" w:hAnsi="Arial"/>
                <w:sz w:val="15"/>
                <w:szCs w:val="15"/>
                <w:color w:val="auto"/>
              </w:rPr>
              <w:t>2/21/14</w:t>
            </w:r>
          </w:p>
        </w:tc>
        <w:tc>
          <w:tcPr>
            <w:tcW w:w="1280" w:type="dxa"/>
            <w:vAlign w:val="bottom"/>
            <w:shd w:val="clear" w:color="auto" w:fill="CDDAE6"/>
          </w:tcPr>
          <w:p>
            <w:pPr>
              <w:jc w:val="right"/>
              <w:ind w:right="4"/>
              <w:spacing w:after="0"/>
              <w:rPr>
                <w:sz w:val="20"/>
                <w:szCs w:val="20"/>
                <w:color w:val="auto"/>
              </w:rPr>
            </w:pPr>
            <w:r>
              <w:rPr>
                <w:rFonts w:ascii="Arial" w:cs="Arial" w:eastAsia="Arial" w:hAnsi="Arial"/>
                <w:sz w:val="15"/>
                <w:szCs w:val="15"/>
                <w:color w:val="auto"/>
              </w:rPr>
              <w:t>2/20/16</w:t>
            </w: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Arial" w:cs="Arial" w:eastAsia="Arial" w:hAnsi="Arial"/>
                <w:sz w:val="15"/>
                <w:szCs w:val="15"/>
                <w:color w:val="auto"/>
              </w:rPr>
              <w:t>Steve Kantor</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2/17/15</w:t>
            </w:r>
          </w:p>
        </w:tc>
        <w:tc>
          <w:tcPr>
            <w:tcW w:w="1420" w:type="dxa"/>
            <w:vAlign w:val="bottom"/>
          </w:tcPr>
          <w:p>
            <w:pPr>
              <w:jc w:val="right"/>
              <w:ind w:right="66"/>
              <w:spacing w:after="0"/>
              <w:rPr>
                <w:sz w:val="20"/>
                <w:szCs w:val="20"/>
                <w:color w:val="auto"/>
              </w:rPr>
            </w:pPr>
            <w:r>
              <w:rPr>
                <w:rFonts w:ascii="Arial" w:cs="Arial" w:eastAsia="Arial" w:hAnsi="Arial"/>
                <w:sz w:val="15"/>
                <w:szCs w:val="15"/>
                <w:color w:val="auto"/>
              </w:rPr>
              <w:t>3,828</w:t>
            </w:r>
          </w:p>
        </w:tc>
        <w:tc>
          <w:tcPr>
            <w:tcW w:w="1420" w:type="dxa"/>
            <w:vAlign w:val="bottom"/>
          </w:tcPr>
          <w:p>
            <w:pPr>
              <w:jc w:val="right"/>
              <w:ind w:right="65"/>
              <w:spacing w:after="0"/>
              <w:rPr>
                <w:sz w:val="20"/>
                <w:szCs w:val="20"/>
                <w:color w:val="auto"/>
              </w:rPr>
            </w:pPr>
            <w:r>
              <w:rPr>
                <w:rFonts w:ascii="Arial" w:cs="Arial" w:eastAsia="Arial" w:hAnsi="Arial"/>
                <w:sz w:val="15"/>
                <w:szCs w:val="15"/>
                <w:color w:val="auto"/>
              </w:rPr>
              <w:t>494,999</w:t>
            </w:r>
          </w:p>
        </w:tc>
        <w:tc>
          <w:tcPr>
            <w:tcW w:w="1320" w:type="dxa"/>
            <w:vAlign w:val="bottom"/>
          </w:tcPr>
          <w:p>
            <w:pPr>
              <w:jc w:val="right"/>
              <w:ind w:right="64"/>
              <w:spacing w:after="0"/>
              <w:rPr>
                <w:sz w:val="20"/>
                <w:szCs w:val="20"/>
                <w:color w:val="auto"/>
              </w:rPr>
            </w:pPr>
            <w:r>
              <w:rPr>
                <w:rFonts w:ascii="Arial" w:cs="Arial" w:eastAsia="Arial" w:hAnsi="Arial"/>
                <w:sz w:val="15"/>
                <w:szCs w:val="15"/>
                <w:color w:val="auto"/>
              </w:rPr>
              <w:t>2/18/16</w:t>
            </w: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2/17/18</w:t>
            </w:r>
          </w:p>
        </w:tc>
        <w:tc>
          <w:tcPr>
            <w:tcW w:w="0" w:type="dxa"/>
            <w:vAlign w:val="bottom"/>
          </w:tcPr>
          <w:p>
            <w:pPr>
              <w:spacing w:after="0"/>
              <w:rPr>
                <w:sz w:val="1"/>
                <w:szCs w:val="1"/>
                <w:color w:val="auto"/>
              </w:rPr>
            </w:pPr>
          </w:p>
        </w:tc>
      </w:tr>
      <w:tr>
        <w:trPr>
          <w:trHeight w:val="189"/>
        </w:trPr>
        <w:tc>
          <w:tcPr>
            <w:tcW w:w="2260" w:type="dxa"/>
            <w:vAlign w:val="bottom"/>
            <w:shd w:val="clear" w:color="auto" w:fill="CDDAE6"/>
          </w:tcPr>
          <w:p>
            <w:pPr>
              <w:spacing w:after="0"/>
              <w:rPr>
                <w:sz w:val="16"/>
                <w:szCs w:val="16"/>
                <w:color w:val="auto"/>
              </w:rPr>
            </w:pPr>
          </w:p>
        </w:tc>
        <w:tc>
          <w:tcPr>
            <w:tcW w:w="1080" w:type="dxa"/>
            <w:vAlign w:val="bottom"/>
            <w:shd w:val="clear" w:color="auto" w:fill="CDDAE6"/>
          </w:tcPr>
          <w:p>
            <w:pPr>
              <w:jc w:val="right"/>
              <w:ind w:right="44"/>
              <w:spacing w:after="0"/>
              <w:rPr>
                <w:sz w:val="20"/>
                <w:szCs w:val="20"/>
                <w:color w:val="auto"/>
              </w:rPr>
            </w:pPr>
            <w:r>
              <w:rPr>
                <w:rFonts w:ascii="Arial" w:cs="Arial" w:eastAsia="Arial" w:hAnsi="Arial"/>
                <w:sz w:val="15"/>
                <w:szCs w:val="15"/>
                <w:color w:val="auto"/>
              </w:rPr>
              <w:t>2/19/14</w:t>
            </w:r>
          </w:p>
        </w:tc>
        <w:tc>
          <w:tcPr>
            <w:tcW w:w="1420" w:type="dxa"/>
            <w:vAlign w:val="bottom"/>
            <w:shd w:val="clear" w:color="auto" w:fill="CDDAE6"/>
          </w:tcPr>
          <w:p>
            <w:pPr>
              <w:jc w:val="right"/>
              <w:ind w:right="66"/>
              <w:spacing w:after="0"/>
              <w:rPr>
                <w:sz w:val="20"/>
                <w:szCs w:val="20"/>
                <w:color w:val="auto"/>
              </w:rPr>
            </w:pPr>
            <w:r>
              <w:rPr>
                <w:rFonts w:ascii="Arial" w:cs="Arial" w:eastAsia="Arial" w:hAnsi="Arial"/>
                <w:sz w:val="15"/>
                <w:szCs w:val="15"/>
                <w:color w:val="auto"/>
              </w:rPr>
              <w:t>4,355</w:t>
            </w:r>
          </w:p>
        </w:tc>
        <w:tc>
          <w:tcPr>
            <w:tcW w:w="1420" w:type="dxa"/>
            <w:vAlign w:val="bottom"/>
            <w:shd w:val="clear" w:color="auto" w:fill="CDDAE6"/>
          </w:tcPr>
          <w:p>
            <w:pPr>
              <w:jc w:val="right"/>
              <w:ind w:right="65"/>
              <w:spacing w:after="0"/>
              <w:rPr>
                <w:sz w:val="20"/>
                <w:szCs w:val="20"/>
                <w:color w:val="auto"/>
              </w:rPr>
            </w:pPr>
            <w:r>
              <w:rPr>
                <w:rFonts w:ascii="Arial" w:cs="Arial" w:eastAsia="Arial" w:hAnsi="Arial"/>
                <w:sz w:val="15"/>
                <w:szCs w:val="15"/>
                <w:color w:val="auto"/>
              </w:rPr>
              <w:t>495,033</w:t>
            </w:r>
          </w:p>
        </w:tc>
        <w:tc>
          <w:tcPr>
            <w:tcW w:w="1320" w:type="dxa"/>
            <w:vAlign w:val="bottom"/>
            <w:shd w:val="clear" w:color="auto" w:fill="CDDAE6"/>
          </w:tcPr>
          <w:p>
            <w:pPr>
              <w:jc w:val="right"/>
              <w:ind w:right="64"/>
              <w:spacing w:after="0"/>
              <w:rPr>
                <w:sz w:val="20"/>
                <w:szCs w:val="20"/>
                <w:color w:val="auto"/>
              </w:rPr>
            </w:pPr>
            <w:r>
              <w:rPr>
                <w:rFonts w:ascii="Arial" w:cs="Arial" w:eastAsia="Arial" w:hAnsi="Arial"/>
                <w:sz w:val="15"/>
                <w:szCs w:val="15"/>
                <w:color w:val="auto"/>
              </w:rPr>
              <w:t>2/20/15</w:t>
            </w:r>
          </w:p>
        </w:tc>
        <w:tc>
          <w:tcPr>
            <w:tcW w:w="1280" w:type="dxa"/>
            <w:vAlign w:val="bottom"/>
            <w:shd w:val="clear" w:color="auto" w:fill="CDDAE6"/>
          </w:tcPr>
          <w:p>
            <w:pPr>
              <w:jc w:val="right"/>
              <w:ind w:right="4"/>
              <w:spacing w:after="0"/>
              <w:rPr>
                <w:sz w:val="20"/>
                <w:szCs w:val="20"/>
                <w:color w:val="auto"/>
              </w:rPr>
            </w:pPr>
            <w:r>
              <w:rPr>
                <w:rFonts w:ascii="Arial" w:cs="Arial" w:eastAsia="Arial" w:hAnsi="Arial"/>
                <w:sz w:val="15"/>
                <w:szCs w:val="15"/>
                <w:color w:val="auto"/>
              </w:rPr>
              <w:t>2/19/17</w:t>
            </w:r>
          </w:p>
        </w:tc>
        <w:tc>
          <w:tcPr>
            <w:tcW w:w="0" w:type="dxa"/>
            <w:vAlign w:val="bottom"/>
          </w:tcPr>
          <w:p>
            <w:pPr>
              <w:spacing w:after="0"/>
              <w:rPr>
                <w:sz w:val="1"/>
                <w:szCs w:val="1"/>
                <w:color w:val="auto"/>
              </w:rPr>
            </w:pPr>
          </w:p>
        </w:tc>
      </w:tr>
      <w:tr>
        <w:trPr>
          <w:trHeight w:val="189"/>
        </w:trPr>
        <w:tc>
          <w:tcPr>
            <w:tcW w:w="2260" w:type="dxa"/>
            <w:vAlign w:val="bottom"/>
            <w:tcBorders>
              <w:bottom w:val="single" w:sz="8" w:color="005C7D"/>
            </w:tcBorders>
          </w:tcPr>
          <w:p>
            <w:pPr>
              <w:spacing w:after="0"/>
              <w:rPr>
                <w:sz w:val="16"/>
                <w:szCs w:val="16"/>
                <w:color w:val="auto"/>
              </w:rPr>
            </w:pPr>
          </w:p>
        </w:tc>
        <w:tc>
          <w:tcPr>
            <w:tcW w:w="1080" w:type="dxa"/>
            <w:vAlign w:val="bottom"/>
            <w:tcBorders>
              <w:bottom w:val="single" w:sz="8" w:color="005C7D"/>
            </w:tcBorders>
          </w:tcPr>
          <w:p>
            <w:pPr>
              <w:jc w:val="right"/>
              <w:ind w:right="44"/>
              <w:spacing w:after="0"/>
              <w:rPr>
                <w:sz w:val="20"/>
                <w:szCs w:val="20"/>
                <w:color w:val="auto"/>
              </w:rPr>
            </w:pPr>
            <w:r>
              <w:rPr>
                <w:rFonts w:ascii="Arial" w:cs="Arial" w:eastAsia="Arial" w:hAnsi="Arial"/>
                <w:sz w:val="15"/>
                <w:szCs w:val="15"/>
                <w:color w:val="auto"/>
              </w:rPr>
              <w:t>2/20/13</w:t>
            </w:r>
          </w:p>
        </w:tc>
        <w:tc>
          <w:tcPr>
            <w:tcW w:w="1420" w:type="dxa"/>
            <w:vAlign w:val="bottom"/>
            <w:tcBorders>
              <w:bottom w:val="single" w:sz="8" w:color="005C7D"/>
            </w:tcBorders>
          </w:tcPr>
          <w:p>
            <w:pPr>
              <w:jc w:val="right"/>
              <w:ind w:right="66"/>
              <w:spacing w:after="0"/>
              <w:rPr>
                <w:sz w:val="20"/>
                <w:szCs w:val="20"/>
                <w:color w:val="auto"/>
              </w:rPr>
            </w:pPr>
            <w:r>
              <w:rPr>
                <w:rFonts w:ascii="Arial" w:cs="Arial" w:eastAsia="Arial" w:hAnsi="Arial"/>
                <w:sz w:val="15"/>
                <w:szCs w:val="15"/>
                <w:color w:val="auto"/>
              </w:rPr>
              <w:t>5,455</w:t>
            </w:r>
          </w:p>
        </w:tc>
        <w:tc>
          <w:tcPr>
            <w:tcW w:w="1420" w:type="dxa"/>
            <w:vAlign w:val="bottom"/>
            <w:tcBorders>
              <w:bottom w:val="single" w:sz="8" w:color="005C7D"/>
            </w:tcBorders>
          </w:tcPr>
          <w:p>
            <w:pPr>
              <w:jc w:val="right"/>
              <w:ind w:right="65"/>
              <w:spacing w:after="0"/>
              <w:rPr>
                <w:sz w:val="20"/>
                <w:szCs w:val="20"/>
                <w:color w:val="auto"/>
              </w:rPr>
            </w:pPr>
            <w:r>
              <w:rPr>
                <w:rFonts w:ascii="Arial" w:cs="Arial" w:eastAsia="Arial" w:hAnsi="Arial"/>
                <w:sz w:val="15"/>
                <w:szCs w:val="15"/>
                <w:color w:val="auto"/>
              </w:rPr>
              <w:t>420,035</w:t>
            </w:r>
          </w:p>
        </w:tc>
        <w:tc>
          <w:tcPr>
            <w:tcW w:w="1320" w:type="dxa"/>
            <w:vAlign w:val="bottom"/>
            <w:tcBorders>
              <w:bottom w:val="single" w:sz="8" w:color="005C7D"/>
            </w:tcBorders>
          </w:tcPr>
          <w:p>
            <w:pPr>
              <w:jc w:val="right"/>
              <w:ind w:right="64"/>
              <w:spacing w:after="0"/>
              <w:rPr>
                <w:sz w:val="20"/>
                <w:szCs w:val="20"/>
                <w:color w:val="auto"/>
              </w:rPr>
            </w:pPr>
            <w:r>
              <w:rPr>
                <w:rFonts w:ascii="Arial" w:cs="Arial" w:eastAsia="Arial" w:hAnsi="Arial"/>
                <w:sz w:val="15"/>
                <w:szCs w:val="15"/>
                <w:color w:val="auto"/>
              </w:rPr>
              <w:t>2/21/14</w:t>
            </w:r>
          </w:p>
        </w:tc>
        <w:tc>
          <w:tcPr>
            <w:tcW w:w="1280" w:type="dxa"/>
            <w:vAlign w:val="bottom"/>
            <w:tcBorders>
              <w:bottom w:val="single" w:sz="8" w:color="005C7D"/>
            </w:tcBorders>
          </w:tcPr>
          <w:p>
            <w:pPr>
              <w:jc w:val="right"/>
              <w:ind w:right="4"/>
              <w:spacing w:after="0"/>
              <w:rPr>
                <w:sz w:val="20"/>
                <w:szCs w:val="20"/>
                <w:color w:val="auto"/>
              </w:rPr>
            </w:pPr>
            <w:r>
              <w:rPr>
                <w:rFonts w:ascii="Arial" w:cs="Arial" w:eastAsia="Arial" w:hAnsi="Arial"/>
                <w:sz w:val="15"/>
                <w:szCs w:val="15"/>
                <w:color w:val="auto"/>
              </w:rPr>
              <w:t>2/20/16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-248285</wp:posOffset>
            </wp:positionV>
            <wp:extent cx="5582920" cy="1200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582920" cy="12001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111760</wp:posOffset>
            </wp:positionV>
            <wp:extent cx="163766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186" w:lineRule="exact"/>
        <w:rPr>
          <w:sz w:val="20"/>
          <w:szCs w:val="20"/>
          <w:color w:val="auto"/>
        </w:rPr>
      </w:pPr>
    </w:p>
    <w:p>
      <w:pPr>
        <w:ind w:left="707" w:hanging="356"/>
        <w:spacing w:after="0"/>
        <w:tabs>
          <w:tab w:leader="none" w:pos="707" w:val="left"/>
        </w:tabs>
        <w:numPr>
          <w:ilvl w:val="1"/>
          <w:numId w:val="83"/>
        </w:numPr>
        <w:rPr>
          <w:rFonts w:ascii="Arial" w:cs="Arial" w:eastAsia="Arial" w:hAnsi="Arial"/>
          <w:sz w:val="14"/>
          <w:szCs w:val="14"/>
          <w:color w:val="auto"/>
        </w:rPr>
      </w:pPr>
      <w:r>
        <w:rPr>
          <w:rFonts w:ascii="Arial" w:cs="Arial" w:eastAsia="Arial" w:hAnsi="Arial"/>
          <w:sz w:val="14"/>
          <w:szCs w:val="14"/>
          <w:color w:val="auto"/>
        </w:rPr>
        <w:t>Reflects the date on which the RSU award is deemed to have vested based on the retirement eligibility of the named executive officer.</w:t>
      </w:r>
    </w:p>
    <w:p>
      <w:pPr>
        <w:spacing w:after="0" w:line="68" w:lineRule="exact"/>
        <w:rPr>
          <w:rFonts w:ascii="Arial" w:cs="Arial" w:eastAsia="Arial" w:hAnsi="Arial"/>
          <w:sz w:val="14"/>
          <w:szCs w:val="14"/>
          <w:color w:val="auto"/>
        </w:rPr>
      </w:pPr>
    </w:p>
    <w:p>
      <w:pPr>
        <w:ind w:left="707" w:right="60" w:hanging="356"/>
        <w:spacing w:after="0" w:line="291" w:lineRule="auto"/>
        <w:tabs>
          <w:tab w:leader="none" w:pos="707" w:val="left"/>
        </w:tabs>
        <w:numPr>
          <w:ilvl w:val="1"/>
          <w:numId w:val="83"/>
        </w:numPr>
        <w:rPr>
          <w:rFonts w:ascii="Arial" w:cs="Arial" w:eastAsia="Arial" w:hAnsi="Arial"/>
          <w:sz w:val="15"/>
          <w:szCs w:val="15"/>
          <w:color w:val="auto"/>
        </w:rPr>
      </w:pPr>
      <w:r>
        <w:rPr>
          <w:rFonts w:ascii="Arial" w:cs="Arial" w:eastAsia="Arial" w:hAnsi="Arial"/>
          <w:sz w:val="15"/>
          <w:szCs w:val="15"/>
          <w:color w:val="auto"/>
        </w:rPr>
        <w:t xml:space="preserve">Reflects the date on which the shares and accrued cash dividend equivalents underlying the RSU award are to be delivered and paid, respectively, to the named executive officer. The Delivery Date is subject to acceleration in the event of death, disability or a change in control. For a further discussion, see “– Potential Payments Upon Change in Control or Termination of Employment – Effect of Change in Control or Termination of Employment Upon Long-Term Incentive Awards” beginning on page </w:t>
      </w:r>
      <w:hyperlink w:anchor="page81">
        <w:r>
          <w:rPr>
            <w:rFonts w:ascii="Arial" w:cs="Arial" w:eastAsia="Arial" w:hAnsi="Arial"/>
            <w:sz w:val="15"/>
            <w:szCs w:val="15"/>
            <w:u w:val="single" w:color="auto"/>
            <w:color w:val="0000EE"/>
          </w:rPr>
          <w:t>75</w:t>
        </w:r>
      </w:hyperlink>
      <w:r>
        <w:rPr>
          <w:rFonts w:ascii="Arial" w:cs="Arial" w:eastAsia="Arial" w:hAnsi="Arial"/>
          <w:sz w:val="15"/>
          <w:szCs w:val="15"/>
          <w:color w:val="auto"/>
        </w:rPr>
        <w:t>.</w:t>
      </w:r>
    </w:p>
    <w:p>
      <w:pPr>
        <w:ind w:left="347" w:right="480" w:hanging="347"/>
        <w:spacing w:after="0" w:line="293" w:lineRule="auto"/>
        <w:tabs>
          <w:tab w:leader="none" w:pos="347" w:val="left"/>
        </w:tabs>
        <w:numPr>
          <w:ilvl w:val="0"/>
          <w:numId w:val="84"/>
        </w:numPr>
        <w:rPr>
          <w:rFonts w:ascii="Arial" w:cs="Arial" w:eastAsia="Arial" w:hAnsi="Arial"/>
          <w:sz w:val="16"/>
          <w:szCs w:val="16"/>
          <w:color w:val="auto"/>
        </w:rPr>
      </w:pPr>
      <w:r>
        <w:rPr>
          <w:rFonts w:ascii="Arial" w:cs="Arial" w:eastAsia="Arial" w:hAnsi="Arial"/>
          <w:sz w:val="16"/>
          <w:szCs w:val="16"/>
          <w:color w:val="auto"/>
        </w:rPr>
        <w:t>Mr. Kantor’s earnings, distributions and balance under deferred compensation plans solely relate to the L3 Technologies, Inc. Deferred Compensation Plan II.</w:t>
      </w:r>
    </w:p>
    <w:p>
      <w:pPr>
        <w:spacing w:after="0" w:line="113" w:lineRule="exact"/>
        <w:rPr>
          <w:sz w:val="20"/>
          <w:szCs w:val="20"/>
          <w:color w:val="auto"/>
        </w:rPr>
      </w:pPr>
    </w:p>
    <w:p>
      <w:pPr>
        <w:ind w:left="7" w:right="1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For a further discussion of the L3 Deferred Compensation Plans, see “Compensation Discussion and Analysis – Executive Benefits and Perquisites – Deferred Compensation Plans” on page </w:t>
      </w:r>
      <w:hyperlink w:anchor="page63">
        <w:r>
          <w:rPr>
            <w:rFonts w:ascii="Arial" w:cs="Arial" w:eastAsia="Arial" w:hAnsi="Arial"/>
            <w:sz w:val="18"/>
            <w:szCs w:val="18"/>
            <w:u w:val="single" w:color="auto"/>
            <w:color w:val="0000EE"/>
          </w:rPr>
          <w:t>57</w:t>
        </w:r>
      </w:hyperlink>
      <w:r>
        <w:rPr>
          <w:rFonts w:ascii="Arial" w:cs="Arial" w:eastAsia="Arial" w:hAnsi="Arial"/>
          <w:sz w:val="18"/>
          <w:szCs w:val="18"/>
          <w:color w:val="auto"/>
        </w:rPr>
        <w:t>.</w:t>
      </w:r>
    </w:p>
    <w:p>
      <w:pPr>
        <w:spacing w:after="0" w:line="139" w:lineRule="exact"/>
        <w:rPr>
          <w:sz w:val="20"/>
          <w:szCs w:val="20"/>
          <w:color w:val="auto"/>
        </w:rPr>
      </w:pPr>
    </w:p>
    <w:p>
      <w:pPr>
        <w:ind w:left="7" w:right="1860" w:firstLine="1848"/>
        <w:spacing w:after="0" w:line="417" w:lineRule="auto"/>
        <w:rPr>
          <w:sz w:val="20"/>
          <w:szCs w:val="20"/>
          <w:color w:val="auto"/>
        </w:rPr>
      </w:pPr>
      <w:r>
        <w:rPr>
          <w:rFonts w:ascii="Arial" w:cs="Arial" w:eastAsia="Arial" w:hAnsi="Arial"/>
          <w:sz w:val="18"/>
          <w:szCs w:val="18"/>
          <w:b w:val="1"/>
          <w:bCs w:val="1"/>
          <w:color w:val="auto"/>
        </w:rPr>
        <w:t>Potential Payments Upon Change in Control or Termination of Employment Change in Control Severance Plan</w:t>
      </w:r>
    </w:p>
    <w:p>
      <w:pPr>
        <w:spacing w:after="0" w:line="1" w:lineRule="exact"/>
        <w:rPr>
          <w:sz w:val="20"/>
          <w:szCs w:val="20"/>
          <w:color w:val="auto"/>
        </w:rPr>
      </w:pPr>
    </w:p>
    <w:p>
      <w:pPr>
        <w:jc w:val="both"/>
        <w:ind w:left="7" w:right="80"/>
        <w:spacing w:after="0" w:line="264" w:lineRule="auto"/>
        <w:rPr>
          <w:sz w:val="20"/>
          <w:szCs w:val="20"/>
          <w:color w:val="auto"/>
        </w:rPr>
      </w:pPr>
      <w:r>
        <w:rPr>
          <w:rFonts w:ascii="Arial" w:cs="Arial" w:eastAsia="Arial" w:hAnsi="Arial"/>
          <w:sz w:val="18"/>
          <w:szCs w:val="18"/>
          <w:color w:val="auto"/>
        </w:rPr>
        <w:t>Under our Change in Control Severance Plan, executive officers and other corporate employees are entitled to severance benefits if, under specified conditions, their employment is terminated in connection with or following a change in control of L3. The material terms of the program with respect to our named executive officers are as follows:</w:t>
      </w:r>
    </w:p>
    <w:p>
      <w:pPr>
        <w:spacing w:after="0" w:line="14" w:lineRule="exact"/>
        <w:rPr>
          <w:sz w:val="20"/>
          <w:szCs w:val="20"/>
          <w:color w:val="auto"/>
        </w:rPr>
      </w:pPr>
    </w:p>
    <w:tbl>
      <w:tblPr>
        <w:tblLayout w:type="fixed"/>
        <w:tblInd w:w="7" w:type="dxa"/>
        <w:tblCellMar>
          <w:top w:w="0" w:type="dxa"/>
          <w:left w:w="0" w:type="dxa"/>
          <w:bottom w:w="0" w:type="dxa"/>
          <w:right w:w="0" w:type="dxa"/>
        </w:tblCellMar>
      </w:tblPr>
      <w:tr>
        <w:trPr>
          <w:trHeight w:val="229"/>
        </w:trPr>
        <w:tc>
          <w:tcPr>
            <w:tcW w:w="1740" w:type="dxa"/>
            <w:vAlign w:val="bottom"/>
            <w:tcBorders>
              <w:top w:val="single" w:sz="8" w:color="005C7D"/>
            </w:tcBorders>
            <w:shd w:val="clear" w:color="auto" w:fill="CDDAE6"/>
          </w:tcPr>
          <w:p>
            <w:pPr>
              <w:ind w:left="40"/>
              <w:spacing w:after="0"/>
              <w:rPr>
                <w:sz w:val="20"/>
                <w:szCs w:val="20"/>
                <w:color w:val="auto"/>
              </w:rPr>
            </w:pPr>
            <w:r>
              <w:rPr>
                <w:rFonts w:ascii="Arial" w:cs="Arial" w:eastAsia="Arial" w:hAnsi="Arial"/>
                <w:sz w:val="18"/>
                <w:szCs w:val="18"/>
                <w:color w:val="auto"/>
              </w:rPr>
              <w:t>Protection Period</w:t>
            </w:r>
          </w:p>
        </w:tc>
        <w:tc>
          <w:tcPr>
            <w:tcW w:w="7820" w:type="dxa"/>
            <w:vAlign w:val="bottom"/>
            <w:tcBorders>
              <w:top w:val="single" w:sz="8" w:color="005C7D"/>
            </w:tcBorders>
            <w:shd w:val="clear" w:color="auto" w:fill="CDDAE6"/>
          </w:tcPr>
          <w:p>
            <w:pPr>
              <w:ind w:left="160"/>
              <w:spacing w:after="0"/>
              <w:rPr>
                <w:sz w:val="20"/>
                <w:szCs w:val="20"/>
                <w:color w:val="auto"/>
              </w:rPr>
            </w:pPr>
            <w:r>
              <w:rPr>
                <w:rFonts w:ascii="Arial" w:cs="Arial" w:eastAsia="Arial" w:hAnsi="Arial"/>
                <w:sz w:val="18"/>
                <w:szCs w:val="18"/>
                <w:color w:val="auto"/>
                <w:w w:val="93"/>
              </w:rPr>
              <w:t>Two years following the occurrence of a change in control. In addition, the program covers terminations</w:t>
            </w:r>
          </w:p>
        </w:tc>
      </w:tr>
      <w:tr>
        <w:trPr>
          <w:trHeight w:val="216"/>
        </w:trPr>
        <w:tc>
          <w:tcPr>
            <w:tcW w:w="1740" w:type="dxa"/>
            <w:vAlign w:val="bottom"/>
            <w:shd w:val="clear" w:color="auto" w:fill="CDDAE6"/>
          </w:tcPr>
          <w:p>
            <w:pPr>
              <w:spacing w:after="0"/>
              <w:rPr>
                <w:sz w:val="18"/>
                <w:szCs w:val="18"/>
                <w:color w:val="auto"/>
              </w:rPr>
            </w:pPr>
          </w:p>
        </w:tc>
        <w:tc>
          <w:tcPr>
            <w:tcW w:w="7820" w:type="dxa"/>
            <w:vAlign w:val="bottom"/>
            <w:shd w:val="clear" w:color="auto" w:fill="CDDAE6"/>
          </w:tcPr>
          <w:p>
            <w:pPr>
              <w:ind w:left="160"/>
              <w:spacing w:after="0"/>
              <w:rPr>
                <w:sz w:val="20"/>
                <w:szCs w:val="20"/>
                <w:color w:val="auto"/>
              </w:rPr>
            </w:pPr>
            <w:r>
              <w:rPr>
                <w:rFonts w:ascii="Arial" w:cs="Arial" w:eastAsia="Arial" w:hAnsi="Arial"/>
                <w:sz w:val="18"/>
                <w:szCs w:val="18"/>
                <w:color w:val="auto"/>
                <w:w w:val="93"/>
              </w:rPr>
              <w:t>that become effective prior to the occurrence of a change in control if such termination occurs (1) upon</w:t>
            </w:r>
          </w:p>
        </w:tc>
      </w:tr>
      <w:tr>
        <w:trPr>
          <w:trHeight w:val="244"/>
        </w:trPr>
        <w:tc>
          <w:tcPr>
            <w:tcW w:w="1740" w:type="dxa"/>
            <w:vAlign w:val="bottom"/>
            <w:shd w:val="clear" w:color="auto" w:fill="CDDAE6"/>
          </w:tcPr>
          <w:p>
            <w:pPr>
              <w:spacing w:after="0"/>
              <w:rPr>
                <w:sz w:val="21"/>
                <w:szCs w:val="21"/>
                <w:color w:val="auto"/>
              </w:rPr>
            </w:pPr>
          </w:p>
        </w:tc>
        <w:tc>
          <w:tcPr>
            <w:tcW w:w="7820" w:type="dxa"/>
            <w:vAlign w:val="bottom"/>
            <w:shd w:val="clear" w:color="auto" w:fill="CDDAE6"/>
          </w:tcPr>
          <w:p>
            <w:pPr>
              <w:ind w:left="160"/>
              <w:spacing w:after="0"/>
              <w:rPr>
                <w:sz w:val="20"/>
                <w:szCs w:val="20"/>
                <w:color w:val="auto"/>
              </w:rPr>
            </w:pPr>
            <w:r>
              <w:rPr>
                <w:rFonts w:ascii="Arial" w:cs="Arial" w:eastAsia="Arial" w:hAnsi="Arial"/>
                <w:sz w:val="18"/>
                <w:szCs w:val="18"/>
                <w:color w:val="auto"/>
              </w:rPr>
              <w:t>the request of the acquirer or (2) otherwise in anticipation of the change in control.</w:t>
            </w:r>
          </w:p>
        </w:tc>
      </w:tr>
      <w:tr>
        <w:trPr>
          <w:trHeight w:val="215"/>
        </w:trPr>
        <w:tc>
          <w:tcPr>
            <w:tcW w:w="1740" w:type="dxa"/>
            <w:vAlign w:val="bottom"/>
          </w:tcPr>
          <w:p>
            <w:pPr>
              <w:ind w:left="40"/>
              <w:spacing w:after="0"/>
              <w:rPr>
                <w:sz w:val="20"/>
                <w:szCs w:val="20"/>
                <w:color w:val="auto"/>
              </w:rPr>
            </w:pPr>
            <w:r>
              <w:rPr>
                <w:rFonts w:ascii="Arial" w:cs="Arial" w:eastAsia="Arial" w:hAnsi="Arial"/>
                <w:sz w:val="18"/>
                <w:szCs w:val="18"/>
                <w:color w:val="auto"/>
                <w:w w:val="97"/>
              </w:rPr>
              <w:t>Payout Requirements</w:t>
            </w:r>
          </w:p>
        </w:tc>
        <w:tc>
          <w:tcPr>
            <w:tcW w:w="7820" w:type="dxa"/>
            <w:vAlign w:val="bottom"/>
          </w:tcPr>
          <w:p>
            <w:pPr>
              <w:ind w:left="160"/>
              <w:spacing w:after="0"/>
              <w:rPr>
                <w:sz w:val="20"/>
                <w:szCs w:val="20"/>
                <w:color w:val="auto"/>
              </w:rPr>
            </w:pPr>
            <w:r>
              <w:rPr>
                <w:rFonts w:ascii="Arial" w:cs="Arial" w:eastAsia="Arial" w:hAnsi="Arial"/>
                <w:sz w:val="18"/>
                <w:szCs w:val="18"/>
                <w:color w:val="auto"/>
                <w:w w:val="98"/>
              </w:rPr>
              <w:t>Severance payments are required following termination by us without cause, or termination by the</w:t>
            </w:r>
          </w:p>
        </w:tc>
      </w:tr>
      <w:tr>
        <w:trPr>
          <w:trHeight w:val="237"/>
        </w:trPr>
        <w:tc>
          <w:tcPr>
            <w:tcW w:w="1740" w:type="dxa"/>
            <w:vAlign w:val="bottom"/>
          </w:tcPr>
          <w:p>
            <w:pPr>
              <w:spacing w:after="0"/>
              <w:rPr>
                <w:sz w:val="20"/>
                <w:szCs w:val="20"/>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executive for good reason, during the Protection Period.</w:t>
            </w:r>
          </w:p>
        </w:tc>
      </w:tr>
      <w:tr>
        <w:trPr>
          <w:trHeight w:val="222"/>
        </w:trPr>
        <w:tc>
          <w:tcPr>
            <w:tcW w:w="1740" w:type="dxa"/>
            <w:vAlign w:val="bottom"/>
            <w:shd w:val="clear" w:color="auto" w:fill="CDDAE6"/>
          </w:tcPr>
          <w:p>
            <w:pPr>
              <w:ind w:left="40"/>
              <w:spacing w:after="0"/>
              <w:rPr>
                <w:sz w:val="20"/>
                <w:szCs w:val="20"/>
                <w:color w:val="auto"/>
              </w:rPr>
            </w:pPr>
            <w:r>
              <w:rPr>
                <w:rFonts w:ascii="Arial" w:cs="Arial" w:eastAsia="Arial" w:hAnsi="Arial"/>
                <w:sz w:val="18"/>
                <w:szCs w:val="18"/>
                <w:color w:val="auto"/>
              </w:rPr>
              <w:t>Severance Benefits</w:t>
            </w:r>
          </w:p>
        </w:tc>
        <w:tc>
          <w:tcPr>
            <w:tcW w:w="7820" w:type="dxa"/>
            <w:vAlign w:val="bottom"/>
            <w:shd w:val="clear" w:color="auto" w:fill="CDDAE6"/>
          </w:tcPr>
          <w:p>
            <w:pPr>
              <w:ind w:left="160"/>
              <w:spacing w:after="0"/>
              <w:rPr>
                <w:sz w:val="20"/>
                <w:szCs w:val="20"/>
                <w:color w:val="auto"/>
              </w:rPr>
            </w:pPr>
            <w:r>
              <w:rPr>
                <w:rFonts w:ascii="Arial" w:cs="Arial" w:eastAsia="Arial" w:hAnsi="Arial"/>
                <w:sz w:val="18"/>
                <w:szCs w:val="18"/>
                <w:color w:val="auto"/>
                <w:w w:val="97"/>
              </w:rPr>
              <w:t>Lump sum payment equal to a multiple of current annual salary and average annual incentive plan</w:t>
            </w:r>
          </w:p>
        </w:tc>
      </w:tr>
      <w:tr>
        <w:trPr>
          <w:trHeight w:val="244"/>
        </w:trPr>
        <w:tc>
          <w:tcPr>
            <w:tcW w:w="1740" w:type="dxa"/>
            <w:vAlign w:val="bottom"/>
            <w:shd w:val="clear" w:color="auto" w:fill="CDDAE6"/>
          </w:tcPr>
          <w:p>
            <w:pPr>
              <w:spacing w:after="0"/>
              <w:rPr>
                <w:sz w:val="21"/>
                <w:szCs w:val="21"/>
                <w:color w:val="auto"/>
              </w:rPr>
            </w:pPr>
          </w:p>
        </w:tc>
        <w:tc>
          <w:tcPr>
            <w:tcW w:w="7820" w:type="dxa"/>
            <w:vAlign w:val="bottom"/>
            <w:shd w:val="clear" w:color="auto" w:fill="CDDAE6"/>
          </w:tcPr>
          <w:p>
            <w:pPr>
              <w:ind w:left="160"/>
              <w:spacing w:after="0"/>
              <w:rPr>
                <w:sz w:val="20"/>
                <w:szCs w:val="20"/>
                <w:color w:val="auto"/>
              </w:rPr>
            </w:pPr>
            <w:r>
              <w:rPr>
                <w:rFonts w:ascii="Arial" w:cs="Arial" w:eastAsia="Arial" w:hAnsi="Arial"/>
                <w:sz w:val="18"/>
                <w:szCs w:val="18"/>
                <w:color w:val="auto"/>
              </w:rPr>
              <w:t>awards for the prior three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-290830</wp:posOffset>
            </wp:positionV>
            <wp:extent cx="6071870" cy="7372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071870" cy="737235"/>
                    </a:xfrm>
                    <a:prstGeom prst="rect">
                      <a:avLst/>
                    </a:prstGeom>
                    <a:noFill/>
                  </pic:spPr>
                </pic:pic>
              </a:graphicData>
            </a:graphic>
          </wp:anchor>
        </w:drawing>
      </w:r>
    </w:p>
    <w:p>
      <w:pPr>
        <w:ind w:left="2467" w:right="200" w:hanging="428"/>
        <w:spacing w:after="0" w:line="265" w:lineRule="auto"/>
        <w:tabs>
          <w:tab w:leader="none" w:pos="2467" w:val="left"/>
        </w:tabs>
        <w:numPr>
          <w:ilvl w:val="0"/>
          <w:numId w:val="85"/>
        </w:numPr>
        <w:rPr>
          <w:rFonts w:ascii="Arial" w:cs="Arial" w:eastAsia="Arial" w:hAnsi="Arial"/>
          <w:sz w:val="18"/>
          <w:szCs w:val="18"/>
          <w:color w:val="005C7D"/>
        </w:rPr>
      </w:pPr>
      <w:r>
        <w:rPr>
          <w:rFonts w:ascii="Arial" w:cs="Arial" w:eastAsia="Arial" w:hAnsi="Arial"/>
          <w:sz w:val="18"/>
          <w:szCs w:val="18"/>
          <w:color w:val="auto"/>
        </w:rPr>
        <w:t>Chief Executive Officer, Chief Operating Officer, Chief Financial Officer, General Counsel and Executive Vice Presidents – three times</w:t>
      </w:r>
    </w:p>
    <w:p>
      <w:pPr>
        <w:spacing w:after="0" w:line="1" w:lineRule="exact"/>
        <w:rPr>
          <w:rFonts w:ascii="Arial" w:cs="Arial" w:eastAsia="Arial" w:hAnsi="Arial"/>
          <w:sz w:val="18"/>
          <w:szCs w:val="18"/>
          <w:color w:val="005C7D"/>
        </w:rPr>
      </w:pPr>
    </w:p>
    <w:p>
      <w:pPr>
        <w:ind w:left="2467" w:hanging="428"/>
        <w:spacing w:after="0"/>
        <w:tabs>
          <w:tab w:leader="none" w:pos="2467" w:val="left"/>
        </w:tabs>
        <w:numPr>
          <w:ilvl w:val="0"/>
          <w:numId w:val="85"/>
        </w:numPr>
        <w:rPr>
          <w:rFonts w:ascii="Arial" w:cs="Arial" w:eastAsia="Arial" w:hAnsi="Arial"/>
          <w:sz w:val="18"/>
          <w:szCs w:val="18"/>
          <w:color w:val="005C7D"/>
        </w:rPr>
      </w:pPr>
      <w:r>
        <w:rPr>
          <w:rFonts w:ascii="Arial" w:cs="Arial" w:eastAsia="Arial" w:hAnsi="Arial"/>
          <w:sz w:val="18"/>
          <w:szCs w:val="18"/>
          <w:color w:val="auto"/>
        </w:rPr>
        <w:t>Senior Vice Presidents and Group Presidents – two and a half times</w:t>
      </w:r>
    </w:p>
    <w:p>
      <w:pPr>
        <w:spacing w:after="0" w:line="36" w:lineRule="exact"/>
        <w:rPr>
          <w:sz w:val="20"/>
          <w:szCs w:val="20"/>
          <w:color w:val="auto"/>
        </w:rPr>
      </w:pPr>
    </w:p>
    <w:tbl>
      <w:tblPr>
        <w:tblLayout w:type="fixed"/>
        <w:tblInd w:w="7" w:type="dxa"/>
        <w:tblCellMar>
          <w:top w:w="0" w:type="dxa"/>
          <w:left w:w="0" w:type="dxa"/>
          <w:bottom w:w="0" w:type="dxa"/>
          <w:right w:w="0" w:type="dxa"/>
        </w:tblCellMar>
      </w:tblPr>
      <w:tr>
        <w:trPr>
          <w:trHeight w:val="216"/>
        </w:trPr>
        <w:tc>
          <w:tcPr>
            <w:tcW w:w="1820" w:type="dxa"/>
            <w:vAlign w:val="bottom"/>
            <w:gridSpan w:val="2"/>
          </w:tcPr>
          <w:p>
            <w:pPr>
              <w:ind w:left="40"/>
              <w:spacing w:after="0"/>
              <w:rPr>
                <w:sz w:val="20"/>
                <w:szCs w:val="20"/>
                <w:color w:val="auto"/>
              </w:rPr>
            </w:pPr>
            <w:r>
              <w:rPr>
                <w:rFonts w:ascii="Arial" w:cs="Arial" w:eastAsia="Arial" w:hAnsi="Arial"/>
                <w:sz w:val="18"/>
                <w:szCs w:val="18"/>
                <w:color w:val="auto"/>
              </w:rPr>
              <w:t>Annual Incentive Plan</w:t>
            </w:r>
          </w:p>
        </w:tc>
        <w:tc>
          <w:tcPr>
            <w:tcW w:w="7740" w:type="dxa"/>
            <w:vAlign w:val="bottom"/>
          </w:tcPr>
          <w:p>
            <w:pPr>
              <w:ind w:left="80"/>
              <w:spacing w:after="0"/>
              <w:rPr>
                <w:sz w:val="20"/>
                <w:szCs w:val="20"/>
                <w:color w:val="auto"/>
              </w:rPr>
            </w:pPr>
            <w:r>
              <w:rPr>
                <w:rFonts w:ascii="Arial" w:cs="Arial" w:eastAsia="Arial" w:hAnsi="Arial"/>
                <w:sz w:val="18"/>
                <w:szCs w:val="18"/>
                <w:color w:val="auto"/>
                <w:w w:val="91"/>
              </w:rPr>
              <w:t>Pro rata award based on (a) the number of months worked in the year of termination and (b) the average</w:t>
            </w:r>
          </w:p>
        </w:tc>
      </w:tr>
      <w:tr>
        <w:trPr>
          <w:trHeight w:val="216"/>
        </w:trPr>
        <w:tc>
          <w:tcPr>
            <w:tcW w:w="1820" w:type="dxa"/>
            <w:vAlign w:val="bottom"/>
            <w:gridSpan w:val="2"/>
          </w:tcPr>
          <w:p>
            <w:pPr>
              <w:ind w:left="40"/>
              <w:spacing w:after="0"/>
              <w:rPr>
                <w:sz w:val="20"/>
                <w:szCs w:val="20"/>
                <w:color w:val="auto"/>
              </w:rPr>
            </w:pPr>
            <w:r>
              <w:rPr>
                <w:rFonts w:ascii="Arial" w:cs="Arial" w:eastAsia="Arial" w:hAnsi="Arial"/>
                <w:sz w:val="18"/>
                <w:szCs w:val="18"/>
                <w:color w:val="auto"/>
              </w:rPr>
              <w:t>Award for Year of</w:t>
            </w:r>
          </w:p>
        </w:tc>
        <w:tc>
          <w:tcPr>
            <w:tcW w:w="7740" w:type="dxa"/>
            <w:vAlign w:val="bottom"/>
          </w:tcPr>
          <w:p>
            <w:pPr>
              <w:ind w:left="80"/>
              <w:spacing w:after="0"/>
              <w:rPr>
                <w:sz w:val="20"/>
                <w:szCs w:val="20"/>
                <w:color w:val="auto"/>
              </w:rPr>
            </w:pPr>
            <w:r>
              <w:rPr>
                <w:rFonts w:ascii="Arial" w:cs="Arial" w:eastAsia="Arial" w:hAnsi="Arial"/>
                <w:sz w:val="18"/>
                <w:szCs w:val="18"/>
                <w:color w:val="auto"/>
                <w:w w:val="91"/>
              </w:rPr>
              <w:t>annual incentive plan awards for the prior three years (or the actual annual incentive plan award payable</w:t>
            </w:r>
          </w:p>
        </w:tc>
      </w:tr>
      <w:tr>
        <w:trPr>
          <w:trHeight w:val="237"/>
        </w:trPr>
        <w:tc>
          <w:tcPr>
            <w:tcW w:w="1820" w:type="dxa"/>
            <w:vAlign w:val="bottom"/>
            <w:gridSpan w:val="2"/>
          </w:tcPr>
          <w:p>
            <w:pPr>
              <w:ind w:left="40"/>
              <w:spacing w:after="0"/>
              <w:rPr>
                <w:sz w:val="20"/>
                <w:szCs w:val="20"/>
                <w:color w:val="auto"/>
              </w:rPr>
            </w:pPr>
            <w:r>
              <w:rPr>
                <w:rFonts w:ascii="Arial" w:cs="Arial" w:eastAsia="Arial" w:hAnsi="Arial"/>
                <w:sz w:val="18"/>
                <w:szCs w:val="18"/>
                <w:color w:val="auto"/>
              </w:rPr>
              <w:t>Termination</w:t>
            </w:r>
          </w:p>
        </w:tc>
        <w:tc>
          <w:tcPr>
            <w:tcW w:w="7740" w:type="dxa"/>
            <w:vAlign w:val="bottom"/>
          </w:tcPr>
          <w:p>
            <w:pPr>
              <w:ind w:left="80"/>
              <w:spacing w:after="0"/>
              <w:rPr>
                <w:sz w:val="20"/>
                <w:szCs w:val="20"/>
                <w:color w:val="auto"/>
              </w:rPr>
            </w:pPr>
            <w:r>
              <w:rPr>
                <w:rFonts w:ascii="Arial" w:cs="Arial" w:eastAsia="Arial" w:hAnsi="Arial"/>
                <w:sz w:val="18"/>
                <w:szCs w:val="18"/>
                <w:color w:val="auto"/>
              </w:rPr>
              <w:t>for the full year of termination, if performance is determinable at the time of termination).</w:t>
            </w:r>
          </w:p>
        </w:tc>
      </w:tr>
      <w:tr>
        <w:trPr>
          <w:trHeight w:val="222"/>
        </w:trPr>
        <w:tc>
          <w:tcPr>
            <w:tcW w:w="1820" w:type="dxa"/>
            <w:vAlign w:val="bottom"/>
            <w:gridSpan w:val="2"/>
            <w:shd w:val="clear" w:color="auto" w:fill="CDDAE6"/>
          </w:tcPr>
          <w:p>
            <w:pPr>
              <w:ind w:left="40"/>
              <w:spacing w:after="0"/>
              <w:rPr>
                <w:sz w:val="20"/>
                <w:szCs w:val="20"/>
                <w:color w:val="auto"/>
              </w:rPr>
            </w:pPr>
            <w:r>
              <w:rPr>
                <w:rFonts w:ascii="Arial" w:cs="Arial" w:eastAsia="Arial" w:hAnsi="Arial"/>
                <w:sz w:val="18"/>
                <w:szCs w:val="18"/>
                <w:color w:val="auto"/>
              </w:rPr>
              <w:t>Benefits/Perquisites</w:t>
            </w:r>
          </w:p>
        </w:tc>
        <w:tc>
          <w:tcPr>
            <w:tcW w:w="7740" w:type="dxa"/>
            <w:vAlign w:val="bottom"/>
            <w:shd w:val="clear" w:color="auto" w:fill="CDDAE6"/>
          </w:tcPr>
          <w:p>
            <w:pPr>
              <w:ind w:left="80"/>
              <w:spacing w:after="0"/>
              <w:rPr>
                <w:sz w:val="20"/>
                <w:szCs w:val="20"/>
                <w:color w:val="auto"/>
              </w:rPr>
            </w:pPr>
            <w:r>
              <w:rPr>
                <w:rFonts w:ascii="Arial" w:cs="Arial" w:eastAsia="Arial" w:hAnsi="Arial"/>
                <w:sz w:val="18"/>
                <w:szCs w:val="18"/>
                <w:color w:val="auto"/>
                <w:w w:val="90"/>
              </w:rPr>
              <w:t>Continuation of medical and life insurance benefits at the same cost to the executive, or cash equal to any</w:t>
            </w:r>
          </w:p>
        </w:tc>
      </w:tr>
      <w:tr>
        <w:trPr>
          <w:trHeight w:val="244"/>
        </w:trPr>
        <w:tc>
          <w:tcPr>
            <w:tcW w:w="1820" w:type="dxa"/>
            <w:vAlign w:val="bottom"/>
            <w:gridSpan w:val="2"/>
            <w:shd w:val="clear" w:color="auto" w:fill="CDDAE6"/>
          </w:tcPr>
          <w:p>
            <w:pPr>
              <w:ind w:left="40"/>
              <w:spacing w:after="0"/>
              <w:rPr>
                <w:sz w:val="20"/>
                <w:szCs w:val="20"/>
                <w:color w:val="auto"/>
              </w:rPr>
            </w:pPr>
            <w:r>
              <w:rPr>
                <w:rFonts w:ascii="Arial" w:cs="Arial" w:eastAsia="Arial" w:hAnsi="Arial"/>
                <w:sz w:val="18"/>
                <w:szCs w:val="18"/>
                <w:color w:val="auto"/>
              </w:rPr>
              <w:t>Continuation</w:t>
            </w:r>
          </w:p>
        </w:tc>
        <w:tc>
          <w:tcPr>
            <w:tcW w:w="7740" w:type="dxa"/>
            <w:vAlign w:val="bottom"/>
            <w:shd w:val="clear" w:color="auto" w:fill="CDDAE6"/>
          </w:tcPr>
          <w:p>
            <w:pPr>
              <w:ind w:left="80"/>
              <w:spacing w:after="0"/>
              <w:rPr>
                <w:sz w:val="20"/>
                <w:szCs w:val="20"/>
                <w:color w:val="auto"/>
              </w:rPr>
            </w:pPr>
            <w:r>
              <w:rPr>
                <w:rFonts w:ascii="Arial" w:cs="Arial" w:eastAsia="Arial" w:hAnsi="Arial"/>
                <w:sz w:val="18"/>
                <w:szCs w:val="18"/>
                <w:color w:val="auto"/>
              </w:rPr>
              <w:t>increased premiums, for the same period as the severance multiple.</w:t>
            </w:r>
          </w:p>
        </w:tc>
      </w:tr>
      <w:tr>
        <w:trPr>
          <w:trHeight w:val="237"/>
        </w:trPr>
        <w:tc>
          <w:tcPr>
            <w:tcW w:w="1820" w:type="dxa"/>
            <w:vAlign w:val="bottom"/>
            <w:gridSpan w:val="2"/>
          </w:tcPr>
          <w:p>
            <w:pPr>
              <w:ind w:left="40"/>
              <w:spacing w:after="0"/>
              <w:rPr>
                <w:sz w:val="20"/>
                <w:szCs w:val="20"/>
                <w:color w:val="auto"/>
              </w:rPr>
            </w:pPr>
            <w:r>
              <w:rPr>
                <w:rFonts w:ascii="Arial" w:cs="Arial" w:eastAsia="Arial" w:hAnsi="Arial"/>
                <w:sz w:val="18"/>
                <w:szCs w:val="18"/>
                <w:color w:val="auto"/>
              </w:rPr>
              <w:t>Restrictive Covenants</w:t>
            </w:r>
          </w:p>
        </w:tc>
        <w:tc>
          <w:tcPr>
            <w:tcW w:w="7740" w:type="dxa"/>
            <w:vAlign w:val="bottom"/>
          </w:tcPr>
          <w:p>
            <w:pPr>
              <w:ind w:left="80"/>
              <w:spacing w:after="0"/>
              <w:rPr>
                <w:sz w:val="20"/>
                <w:szCs w:val="20"/>
                <w:color w:val="auto"/>
              </w:rPr>
            </w:pPr>
            <w:r>
              <w:rPr>
                <w:rFonts w:ascii="Arial" w:cs="Arial" w:eastAsia="Arial" w:hAnsi="Arial"/>
                <w:sz w:val="18"/>
                <w:szCs w:val="18"/>
                <w:color w:val="auto"/>
                <w:w w:val="98"/>
              </w:rPr>
              <w:t>Non-competition and non-solicitation covenants for one year following termination of employment.</w:t>
            </w:r>
          </w:p>
        </w:tc>
      </w:tr>
      <w:tr>
        <w:trPr>
          <w:trHeight w:val="222"/>
        </w:trPr>
        <w:tc>
          <w:tcPr>
            <w:tcW w:w="1820" w:type="dxa"/>
            <w:vAlign w:val="bottom"/>
            <w:gridSpan w:val="2"/>
            <w:shd w:val="clear" w:color="auto" w:fill="CDDAE6"/>
          </w:tcPr>
          <w:p>
            <w:pPr>
              <w:ind w:left="40"/>
              <w:spacing w:after="0"/>
              <w:rPr>
                <w:sz w:val="20"/>
                <w:szCs w:val="20"/>
                <w:color w:val="auto"/>
              </w:rPr>
            </w:pPr>
            <w:r>
              <w:rPr>
                <w:rFonts w:ascii="Arial" w:cs="Arial" w:eastAsia="Arial" w:hAnsi="Arial"/>
                <w:sz w:val="18"/>
                <w:szCs w:val="18"/>
                <w:color w:val="auto"/>
              </w:rPr>
              <w:t>Amendment or</w:t>
            </w:r>
          </w:p>
        </w:tc>
        <w:tc>
          <w:tcPr>
            <w:tcW w:w="7740" w:type="dxa"/>
            <w:vAlign w:val="bottom"/>
            <w:shd w:val="clear" w:color="auto" w:fill="CDDAE6"/>
          </w:tcPr>
          <w:p>
            <w:pPr>
              <w:ind w:left="80"/>
              <w:spacing w:after="0"/>
              <w:rPr>
                <w:sz w:val="20"/>
                <w:szCs w:val="20"/>
                <w:color w:val="auto"/>
              </w:rPr>
            </w:pPr>
            <w:r>
              <w:rPr>
                <w:rFonts w:ascii="Arial" w:cs="Arial" w:eastAsia="Arial" w:hAnsi="Arial"/>
                <w:sz w:val="18"/>
                <w:szCs w:val="18"/>
                <w:color w:val="auto"/>
                <w:w w:val="91"/>
              </w:rPr>
              <w:t>Prior to the occurrence of a change in control, the Compensation Committee may amend or terminate the</w:t>
            </w:r>
          </w:p>
        </w:tc>
      </w:tr>
      <w:tr>
        <w:trPr>
          <w:trHeight w:val="237"/>
        </w:trPr>
        <w:tc>
          <w:tcPr>
            <w:tcW w:w="1820" w:type="dxa"/>
            <w:vAlign w:val="bottom"/>
            <w:tcBorders>
              <w:bottom w:val="single" w:sz="8" w:color="005C7D"/>
            </w:tcBorders>
            <w:gridSpan w:val="2"/>
            <w:shd w:val="clear" w:color="auto" w:fill="CDDAE6"/>
          </w:tcPr>
          <w:p>
            <w:pPr>
              <w:ind w:left="40"/>
              <w:spacing w:after="0"/>
              <w:rPr>
                <w:sz w:val="20"/>
                <w:szCs w:val="20"/>
                <w:color w:val="auto"/>
              </w:rPr>
            </w:pPr>
            <w:r>
              <w:rPr>
                <w:rFonts w:ascii="Arial" w:cs="Arial" w:eastAsia="Arial" w:hAnsi="Arial"/>
                <w:sz w:val="18"/>
                <w:szCs w:val="18"/>
                <w:color w:val="auto"/>
                <w:w w:val="94"/>
              </w:rPr>
              <w:t>Termination of the Plan</w:t>
            </w:r>
          </w:p>
        </w:tc>
        <w:tc>
          <w:tcPr>
            <w:tcW w:w="7740" w:type="dxa"/>
            <w:vAlign w:val="bottom"/>
            <w:tcBorders>
              <w:bottom w:val="single" w:sz="8" w:color="005C7D"/>
            </w:tcBorders>
            <w:shd w:val="clear" w:color="auto" w:fill="CDDAE6"/>
          </w:tcPr>
          <w:p>
            <w:pPr>
              <w:ind w:left="80"/>
              <w:spacing w:after="0"/>
              <w:rPr>
                <w:sz w:val="20"/>
                <w:szCs w:val="20"/>
                <w:color w:val="auto"/>
              </w:rPr>
            </w:pPr>
            <w:r>
              <w:rPr>
                <w:rFonts w:ascii="Arial" w:cs="Arial" w:eastAsia="Arial" w:hAnsi="Arial"/>
                <w:sz w:val="18"/>
                <w:szCs w:val="18"/>
                <w:color w:val="auto"/>
              </w:rPr>
              <w:t>program at any time upon 90 days written notice.</w:t>
            </w:r>
          </w:p>
        </w:tc>
      </w:tr>
      <w:tr>
        <w:trPr>
          <w:trHeight w:val="527"/>
        </w:trPr>
        <w:tc>
          <w:tcPr>
            <w:tcW w:w="440" w:type="dxa"/>
            <w:vAlign w:val="bottom"/>
          </w:tcPr>
          <w:p>
            <w:pPr>
              <w:ind w:left="40"/>
              <w:spacing w:after="0"/>
              <w:rPr>
                <w:sz w:val="20"/>
                <w:szCs w:val="20"/>
                <w:color w:val="auto"/>
              </w:rPr>
            </w:pPr>
            <w:r>
              <w:rPr>
                <w:rFonts w:ascii="Arial" w:cs="Arial" w:eastAsia="Arial" w:hAnsi="Arial"/>
                <w:sz w:val="18"/>
                <w:szCs w:val="18"/>
                <w:color w:val="005C7D"/>
              </w:rPr>
              <w:t>74</w:t>
            </w:r>
          </w:p>
        </w:tc>
        <w:tc>
          <w:tcPr>
            <w:tcW w:w="9120" w:type="dxa"/>
            <w:vAlign w:val="bottom"/>
            <w:gridSpan w:val="2"/>
          </w:tcPr>
          <w:p>
            <w:pPr>
              <w:ind w:left="240"/>
              <w:spacing w:after="0"/>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tc>
      </w:tr>
      <w:tr>
        <w:trPr>
          <w:trHeight w:val="554"/>
        </w:trPr>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740" w:type="dxa"/>
            <w:vAlign w:val="bottom"/>
          </w:tcPr>
          <w:p>
            <w:pPr>
              <w:spacing w:after="0"/>
              <w:rPr>
                <w:sz w:val="24"/>
                <w:szCs w:val="24"/>
                <w:color w:val="auto"/>
              </w:rPr>
            </w:pPr>
          </w:p>
        </w:tc>
      </w:tr>
      <w:tr>
        <w:trPr>
          <w:trHeight w:val="68"/>
        </w:trPr>
        <w:tc>
          <w:tcPr>
            <w:tcW w:w="44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774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-530860</wp:posOffset>
            </wp:positionV>
            <wp:extent cx="154305" cy="1543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80" w:name="page81"/>
    <w:bookmarkEnd w:id="80"/>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5987"/>
        <w:spacing w:after="0"/>
        <w:rPr>
          <w:sz w:val="20"/>
          <w:szCs w:val="20"/>
          <w:color w:val="auto"/>
        </w:rPr>
      </w:pPr>
      <w:r>
        <w:rPr>
          <w:rFonts w:ascii="Arial" w:cs="Arial" w:eastAsia="Arial" w:hAnsi="Arial"/>
          <w:sz w:val="13"/>
          <w:szCs w:val="13"/>
          <w:color w:val="005C7D"/>
        </w:rPr>
        <w:t>TABULAR EXECUTIVE COMPENSATION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607187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Effect of Change in Control or Termination of Employment Upon Long-Term Incentive Awards</w:t>
      </w:r>
    </w:p>
    <w:p>
      <w:pPr>
        <w:spacing w:after="0" w:line="175" w:lineRule="exact"/>
        <w:rPr>
          <w:sz w:val="20"/>
          <w:szCs w:val="20"/>
          <w:color w:val="auto"/>
        </w:rPr>
      </w:pPr>
    </w:p>
    <w:p>
      <w:pPr>
        <w:ind w:left="7" w:right="460"/>
        <w:spacing w:after="0" w:line="277" w:lineRule="auto"/>
        <w:rPr>
          <w:sz w:val="20"/>
          <w:szCs w:val="20"/>
          <w:color w:val="auto"/>
        </w:rPr>
      </w:pPr>
      <w:r>
        <w:rPr>
          <w:rFonts w:ascii="Arial" w:cs="Arial" w:eastAsia="Arial" w:hAnsi="Arial"/>
          <w:sz w:val="18"/>
          <w:szCs w:val="18"/>
          <w:color w:val="auto"/>
        </w:rPr>
        <w:t>The following table summarizes the effect of the following events upon outstanding long-term incentive awards granted to our named executive officers on or prior to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07187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200" w:type="dxa"/>
            <w:vAlign w:val="bottom"/>
          </w:tcPr>
          <w:p>
            <w:pPr>
              <w:ind w:left="40"/>
              <w:spacing w:after="0"/>
              <w:rPr>
                <w:sz w:val="20"/>
                <w:szCs w:val="20"/>
                <w:color w:val="auto"/>
              </w:rPr>
            </w:pPr>
            <w:r>
              <w:rPr>
                <w:rFonts w:ascii="Arial" w:cs="Arial" w:eastAsia="Arial" w:hAnsi="Arial"/>
                <w:sz w:val="14"/>
                <w:szCs w:val="14"/>
                <w:b w:val="1"/>
                <w:bCs w:val="1"/>
                <w:color w:val="auto"/>
              </w:rPr>
              <w:t>Long-Term</w:t>
            </w: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Qualified</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5"/>
              </w:rPr>
              <w:t>Termination by</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Termination by</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200" w:type="dxa"/>
            <w:vAlign w:val="bottom"/>
          </w:tcPr>
          <w:p>
            <w:pPr>
              <w:ind w:left="40"/>
              <w:spacing w:after="0" w:line="145" w:lineRule="exact"/>
              <w:rPr>
                <w:sz w:val="20"/>
                <w:szCs w:val="20"/>
                <w:color w:val="auto"/>
              </w:rPr>
            </w:pPr>
            <w:r>
              <w:rPr>
                <w:rFonts w:ascii="Arial" w:cs="Arial" w:eastAsia="Arial" w:hAnsi="Arial"/>
                <w:sz w:val="14"/>
                <w:szCs w:val="14"/>
                <w:b w:val="1"/>
                <w:bCs w:val="1"/>
                <w:color w:val="auto"/>
              </w:rPr>
              <w:t>Incentive</w:t>
            </w:r>
          </w:p>
        </w:tc>
        <w:tc>
          <w:tcPr>
            <w:tcW w:w="1480" w:type="dxa"/>
            <w:vAlign w:val="bottom"/>
          </w:tcPr>
          <w:p>
            <w:pPr>
              <w:ind w:left="440"/>
              <w:spacing w:after="0" w:line="145" w:lineRule="exact"/>
              <w:rPr>
                <w:sz w:val="20"/>
                <w:szCs w:val="20"/>
                <w:color w:val="auto"/>
              </w:rPr>
            </w:pPr>
            <w:r>
              <w:rPr>
                <w:rFonts w:ascii="Arial" w:cs="Arial" w:eastAsia="Arial" w:hAnsi="Arial"/>
                <w:sz w:val="14"/>
                <w:szCs w:val="14"/>
                <w:b w:val="1"/>
                <w:bCs w:val="1"/>
                <w:color w:val="auto"/>
              </w:rPr>
              <w:t>Change in</w:t>
            </w:r>
          </w:p>
        </w:tc>
        <w:tc>
          <w:tcPr>
            <w:tcW w:w="1320" w:type="dxa"/>
            <w:vAlign w:val="bottom"/>
          </w:tcPr>
          <w:p>
            <w:pPr>
              <w:ind w:left="440"/>
              <w:spacing w:after="0" w:line="145" w:lineRule="exact"/>
              <w:rPr>
                <w:sz w:val="20"/>
                <w:szCs w:val="20"/>
                <w:color w:val="auto"/>
              </w:rPr>
            </w:pPr>
            <w:r>
              <w:rPr>
                <w:rFonts w:ascii="Arial" w:cs="Arial" w:eastAsia="Arial" w:hAnsi="Arial"/>
                <w:sz w:val="14"/>
                <w:szCs w:val="14"/>
                <w:b w:val="1"/>
                <w:bCs w:val="1"/>
                <w:color w:val="auto"/>
              </w:rPr>
              <w:t>Death/</w:t>
            </w:r>
          </w:p>
        </w:tc>
        <w:tc>
          <w:tcPr>
            <w:tcW w:w="1360" w:type="dxa"/>
            <w:vAlign w:val="bottom"/>
            <w:vMerge w:val="continue"/>
          </w:tcPr>
          <w:p>
            <w:pPr>
              <w:spacing w:after="0"/>
              <w:rPr>
                <w:sz w:val="12"/>
                <w:szCs w:val="12"/>
                <w:color w:val="auto"/>
              </w:rPr>
            </w:pPr>
          </w:p>
        </w:tc>
        <w:tc>
          <w:tcPr>
            <w:tcW w:w="14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Company for</w:t>
            </w:r>
          </w:p>
        </w:tc>
        <w:tc>
          <w:tcPr>
            <w:tcW w:w="14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Company</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200" w:type="dxa"/>
            <w:vAlign w:val="bottom"/>
            <w:tcBorders>
              <w:bottom w:val="single" w:sz="8" w:color="005C7D"/>
            </w:tcBorders>
          </w:tcPr>
          <w:p>
            <w:pPr>
              <w:ind w:left="40"/>
              <w:spacing w:after="0"/>
              <w:rPr>
                <w:sz w:val="20"/>
                <w:szCs w:val="20"/>
                <w:color w:val="auto"/>
              </w:rPr>
            </w:pPr>
            <w:r>
              <w:rPr>
                <w:rFonts w:ascii="Arial" w:cs="Arial" w:eastAsia="Arial" w:hAnsi="Arial"/>
                <w:sz w:val="14"/>
                <w:szCs w:val="14"/>
                <w:b w:val="1"/>
                <w:bCs w:val="1"/>
                <w:color w:val="auto"/>
              </w:rPr>
              <w:t>Award Type</w:t>
            </w:r>
          </w:p>
        </w:tc>
        <w:tc>
          <w:tcPr>
            <w:tcW w:w="1480" w:type="dxa"/>
            <w:vAlign w:val="bottom"/>
            <w:tcBorders>
              <w:bottom w:val="single" w:sz="8" w:color="005C7D"/>
            </w:tcBorders>
          </w:tcPr>
          <w:p>
            <w:pPr>
              <w:ind w:left="520"/>
              <w:spacing w:after="0"/>
              <w:rPr>
                <w:sz w:val="20"/>
                <w:szCs w:val="20"/>
                <w:color w:val="auto"/>
              </w:rPr>
            </w:pPr>
            <w:r>
              <w:rPr>
                <w:rFonts w:ascii="Arial" w:cs="Arial" w:eastAsia="Arial" w:hAnsi="Arial"/>
                <w:sz w:val="14"/>
                <w:szCs w:val="14"/>
                <w:b w:val="1"/>
                <w:bCs w:val="1"/>
                <w:color w:val="auto"/>
              </w:rPr>
              <w:t>Control</w:t>
            </w:r>
          </w:p>
        </w:tc>
        <w:tc>
          <w:tcPr>
            <w:tcW w:w="1320" w:type="dxa"/>
            <w:vAlign w:val="bottom"/>
            <w:tcBorders>
              <w:bottom w:val="single" w:sz="8" w:color="005C7D"/>
            </w:tcBorders>
          </w:tcPr>
          <w:p>
            <w:pPr>
              <w:ind w:left="360"/>
              <w:spacing w:after="0"/>
              <w:rPr>
                <w:sz w:val="20"/>
                <w:szCs w:val="20"/>
                <w:color w:val="auto"/>
              </w:rPr>
            </w:pPr>
            <w:r>
              <w:rPr>
                <w:rFonts w:ascii="Arial" w:cs="Arial" w:eastAsia="Arial" w:hAnsi="Arial"/>
                <w:sz w:val="14"/>
                <w:szCs w:val="14"/>
                <w:b w:val="1"/>
                <w:bCs w:val="1"/>
                <w:color w:val="auto"/>
              </w:rPr>
              <w:t>Disability</w:t>
            </w:r>
          </w:p>
        </w:tc>
        <w:tc>
          <w:tcPr>
            <w:tcW w:w="1360" w:type="dxa"/>
            <w:vAlign w:val="bottom"/>
            <w:tcBorders>
              <w:bottom w:val="single" w:sz="8" w:color="005C7D"/>
            </w:tcBorders>
          </w:tcPr>
          <w:p>
            <w:pPr>
              <w:ind w:left="300"/>
              <w:spacing w:after="0" w:line="202" w:lineRule="exact"/>
              <w:rPr>
                <w:sz w:val="20"/>
                <w:szCs w:val="20"/>
                <w:color w:val="auto"/>
              </w:rPr>
            </w:pPr>
            <w:r>
              <w:rPr>
                <w:rFonts w:ascii="Arial" w:cs="Arial" w:eastAsia="Arial" w:hAnsi="Arial"/>
                <w:sz w:val="14"/>
                <w:szCs w:val="14"/>
                <w:b w:val="1"/>
                <w:bCs w:val="1"/>
                <w:color w:val="auto"/>
              </w:rPr>
              <w:t>Retirement</w:t>
            </w:r>
            <w:r>
              <w:rPr>
                <w:rFonts w:ascii="Arial" w:cs="Arial" w:eastAsia="Arial" w:hAnsi="Arial"/>
                <w:sz w:val="23"/>
                <w:szCs w:val="23"/>
                <w:b w:val="1"/>
                <w:bCs w:val="1"/>
                <w:color w:val="auto"/>
                <w:vertAlign w:val="superscript"/>
              </w:rPr>
              <w:t>(1)</w:t>
            </w:r>
          </w:p>
        </w:tc>
        <w:tc>
          <w:tcPr>
            <w:tcW w:w="1400" w:type="dxa"/>
            <w:vAlign w:val="bottom"/>
            <w:tcBorders>
              <w:bottom w:val="single" w:sz="8" w:color="005C7D"/>
            </w:tcBorders>
          </w:tcPr>
          <w:p>
            <w:pPr>
              <w:jc w:val="center"/>
              <w:spacing w:after="0"/>
              <w:rPr>
                <w:sz w:val="20"/>
                <w:szCs w:val="20"/>
                <w:color w:val="auto"/>
              </w:rPr>
            </w:pPr>
            <w:r>
              <w:rPr>
                <w:rFonts w:ascii="Arial" w:cs="Arial" w:eastAsia="Arial" w:hAnsi="Arial"/>
                <w:sz w:val="14"/>
                <w:szCs w:val="14"/>
                <w:b w:val="1"/>
                <w:bCs w:val="1"/>
                <w:color w:val="auto"/>
                <w:w w:val="90"/>
              </w:rPr>
              <w:t>Cause</w:t>
            </w:r>
          </w:p>
        </w:tc>
        <w:tc>
          <w:tcPr>
            <w:tcW w:w="1400" w:type="dxa"/>
            <w:vAlign w:val="bottom"/>
            <w:tcBorders>
              <w:bottom w:val="single" w:sz="8" w:color="005C7D"/>
            </w:tcBorders>
          </w:tcPr>
          <w:p>
            <w:pPr>
              <w:jc w:val="center"/>
              <w:spacing w:after="0"/>
              <w:rPr>
                <w:sz w:val="20"/>
                <w:szCs w:val="20"/>
                <w:color w:val="auto"/>
              </w:rPr>
            </w:pPr>
            <w:r>
              <w:rPr>
                <w:rFonts w:ascii="Arial" w:cs="Arial" w:eastAsia="Arial" w:hAnsi="Arial"/>
                <w:sz w:val="14"/>
                <w:szCs w:val="14"/>
                <w:b w:val="1"/>
                <w:bCs w:val="1"/>
                <w:color w:val="auto"/>
                <w:w w:val="94"/>
              </w:rPr>
              <w:t>without Cause</w:t>
            </w:r>
          </w:p>
        </w:tc>
        <w:tc>
          <w:tcPr>
            <w:tcW w:w="1400" w:type="dxa"/>
            <w:vAlign w:val="bottom"/>
            <w:tcBorders>
              <w:bottom w:val="single" w:sz="8" w:color="005C7D"/>
            </w:tcBorders>
          </w:tcPr>
          <w:p>
            <w:pPr>
              <w:ind w:left="340"/>
              <w:spacing w:after="0"/>
              <w:rPr>
                <w:sz w:val="20"/>
                <w:szCs w:val="20"/>
                <w:color w:val="auto"/>
              </w:rPr>
            </w:pPr>
            <w:r>
              <w:rPr>
                <w:rFonts w:ascii="Arial" w:cs="Arial" w:eastAsia="Arial" w:hAnsi="Arial"/>
                <w:sz w:val="14"/>
                <w:szCs w:val="14"/>
                <w:b w:val="1"/>
                <w:bCs w:val="1"/>
                <w:color w:val="auto"/>
              </w:rPr>
              <w:t>Resignation</w:t>
            </w:r>
          </w:p>
        </w:tc>
        <w:tc>
          <w:tcPr>
            <w:tcW w:w="0" w:type="dxa"/>
            <w:vAlign w:val="bottom"/>
          </w:tcPr>
          <w:p>
            <w:pPr>
              <w:spacing w:after="0"/>
              <w:rPr>
                <w:sz w:val="1"/>
                <w:szCs w:val="1"/>
                <w:color w:val="auto"/>
              </w:rPr>
            </w:pPr>
          </w:p>
        </w:tc>
      </w:tr>
      <w:tr>
        <w:trPr>
          <w:trHeight w:val="209"/>
        </w:trPr>
        <w:tc>
          <w:tcPr>
            <w:tcW w:w="1200" w:type="dxa"/>
            <w:vAlign w:val="bottom"/>
            <w:shd w:val="clear" w:color="auto" w:fill="CDDAE6"/>
          </w:tcPr>
          <w:p>
            <w:pPr>
              <w:ind w:left="40"/>
              <w:spacing w:after="0"/>
              <w:rPr>
                <w:sz w:val="20"/>
                <w:szCs w:val="20"/>
                <w:color w:val="auto"/>
              </w:rPr>
            </w:pPr>
            <w:r>
              <w:rPr>
                <w:rFonts w:ascii="Arial" w:cs="Arial" w:eastAsia="Arial" w:hAnsi="Arial"/>
                <w:sz w:val="18"/>
                <w:szCs w:val="18"/>
                <w:color w:val="auto"/>
              </w:rPr>
              <w:t>Stock Options</w:t>
            </w:r>
          </w:p>
        </w:tc>
        <w:tc>
          <w:tcPr>
            <w:tcW w:w="1480" w:type="dxa"/>
            <w:vAlign w:val="bottom"/>
            <w:shd w:val="clear" w:color="auto" w:fill="CDDAE6"/>
          </w:tcPr>
          <w:p>
            <w:pPr>
              <w:ind w:left="140"/>
              <w:spacing w:after="0"/>
              <w:rPr>
                <w:sz w:val="20"/>
                <w:szCs w:val="20"/>
                <w:color w:val="auto"/>
              </w:rPr>
            </w:pPr>
            <w:r>
              <w:rPr>
                <w:rFonts w:ascii="Arial" w:cs="Arial" w:eastAsia="Arial" w:hAnsi="Arial"/>
                <w:sz w:val="18"/>
                <w:szCs w:val="18"/>
                <w:color w:val="auto"/>
              </w:rPr>
              <w:t>Immediate</w:t>
            </w:r>
          </w:p>
        </w:tc>
        <w:tc>
          <w:tcPr>
            <w:tcW w:w="1320" w:type="dxa"/>
            <w:vAlign w:val="bottom"/>
            <w:shd w:val="clear" w:color="auto" w:fill="CDDAE6"/>
          </w:tcPr>
          <w:p>
            <w:pPr>
              <w:ind w:left="40"/>
              <w:spacing w:after="0"/>
              <w:rPr>
                <w:sz w:val="20"/>
                <w:szCs w:val="20"/>
                <w:color w:val="auto"/>
              </w:rPr>
            </w:pPr>
            <w:r>
              <w:rPr>
                <w:rFonts w:ascii="Arial" w:cs="Arial" w:eastAsia="Arial" w:hAnsi="Arial"/>
                <w:sz w:val="18"/>
                <w:szCs w:val="18"/>
                <w:color w:val="auto"/>
              </w:rPr>
              <w:t>Immediate</w:t>
            </w:r>
          </w:p>
        </w:tc>
        <w:tc>
          <w:tcPr>
            <w:tcW w:w="1360" w:type="dxa"/>
            <w:vAlign w:val="bottom"/>
            <w:shd w:val="clear" w:color="auto" w:fill="CDDAE6"/>
          </w:tcPr>
          <w:p>
            <w:pPr>
              <w:ind w:left="100"/>
              <w:spacing w:after="0"/>
              <w:rPr>
                <w:sz w:val="20"/>
                <w:szCs w:val="20"/>
                <w:color w:val="auto"/>
              </w:rPr>
            </w:pPr>
            <w:r>
              <w:rPr>
                <w:rFonts w:ascii="Arial" w:cs="Arial" w:eastAsia="Arial" w:hAnsi="Arial"/>
                <w:sz w:val="18"/>
                <w:szCs w:val="18"/>
                <w:color w:val="auto"/>
              </w:rPr>
              <w:t>Unvested</w:t>
            </w:r>
          </w:p>
        </w:tc>
        <w:tc>
          <w:tcPr>
            <w:tcW w:w="1400" w:type="dxa"/>
            <w:vAlign w:val="bottom"/>
            <w:shd w:val="clear" w:color="auto" w:fill="CDDAE6"/>
          </w:tcPr>
          <w:p>
            <w:pPr>
              <w:ind w:left="120"/>
              <w:spacing w:after="0"/>
              <w:rPr>
                <w:sz w:val="20"/>
                <w:szCs w:val="20"/>
                <w:color w:val="auto"/>
              </w:rPr>
            </w:pPr>
            <w:r>
              <w:rPr>
                <w:rFonts w:ascii="Arial" w:cs="Arial" w:eastAsia="Arial" w:hAnsi="Arial"/>
                <w:sz w:val="18"/>
                <w:szCs w:val="18"/>
                <w:color w:val="auto"/>
              </w:rPr>
              <w:t>Forfeiture of</w:t>
            </w:r>
          </w:p>
        </w:tc>
        <w:tc>
          <w:tcPr>
            <w:tcW w:w="1400" w:type="dxa"/>
            <w:vAlign w:val="bottom"/>
            <w:shd w:val="clear" w:color="auto" w:fill="CDDAE6"/>
          </w:tcPr>
          <w:p>
            <w:pPr>
              <w:ind w:left="100"/>
              <w:spacing w:after="0"/>
              <w:rPr>
                <w:sz w:val="20"/>
                <w:szCs w:val="20"/>
                <w:color w:val="auto"/>
              </w:rPr>
            </w:pPr>
            <w:r>
              <w:rPr>
                <w:rFonts w:ascii="Arial" w:cs="Arial" w:eastAsia="Arial" w:hAnsi="Arial"/>
                <w:sz w:val="18"/>
                <w:szCs w:val="18"/>
                <w:color w:val="auto"/>
              </w:rPr>
              <w:t>Unvested</w:t>
            </w:r>
          </w:p>
        </w:tc>
        <w:tc>
          <w:tcPr>
            <w:tcW w:w="1400" w:type="dxa"/>
            <w:vAlign w:val="bottom"/>
            <w:shd w:val="clear" w:color="auto" w:fill="CDDAE6"/>
          </w:tcPr>
          <w:p>
            <w:pPr>
              <w:ind w:left="80"/>
              <w:spacing w:after="0"/>
              <w:rPr>
                <w:sz w:val="20"/>
                <w:szCs w:val="20"/>
                <w:color w:val="auto"/>
              </w:rPr>
            </w:pPr>
            <w:r>
              <w:rPr>
                <w:rFonts w:ascii="Arial" w:cs="Arial" w:eastAsia="Arial" w:hAnsi="Arial"/>
                <w:sz w:val="18"/>
                <w:szCs w:val="18"/>
                <w:color w:val="auto"/>
                <w:w w:val="93"/>
              </w:rPr>
              <w:t>Unvested options</w:t>
            </w:r>
          </w:p>
        </w:tc>
        <w:tc>
          <w:tcPr>
            <w:tcW w:w="0" w:type="dxa"/>
            <w:vAlign w:val="bottom"/>
          </w:tcPr>
          <w:p>
            <w:pPr>
              <w:spacing w:after="0"/>
              <w:rPr>
                <w:sz w:val="1"/>
                <w:szCs w:val="1"/>
                <w:color w:val="auto"/>
              </w:rPr>
            </w:pPr>
          </w:p>
        </w:tc>
      </w:tr>
      <w:tr>
        <w:trPr>
          <w:trHeight w:val="216"/>
        </w:trPr>
        <w:tc>
          <w:tcPr>
            <w:tcW w:w="1200" w:type="dxa"/>
            <w:vAlign w:val="bottom"/>
            <w:shd w:val="clear" w:color="auto" w:fill="CDDAE6"/>
          </w:tcPr>
          <w:p>
            <w:pPr>
              <w:spacing w:after="0"/>
              <w:rPr>
                <w:sz w:val="18"/>
                <w:szCs w:val="18"/>
                <w:color w:val="auto"/>
              </w:rPr>
            </w:pPr>
          </w:p>
        </w:tc>
        <w:tc>
          <w:tcPr>
            <w:tcW w:w="1480" w:type="dxa"/>
            <w:vAlign w:val="bottom"/>
            <w:shd w:val="clear" w:color="auto" w:fill="CDDAE6"/>
          </w:tcPr>
          <w:p>
            <w:pPr>
              <w:ind w:left="140"/>
              <w:spacing w:after="0"/>
              <w:rPr>
                <w:sz w:val="20"/>
                <w:szCs w:val="20"/>
                <w:color w:val="auto"/>
              </w:rPr>
            </w:pPr>
            <w:r>
              <w:rPr>
                <w:rFonts w:ascii="Arial" w:cs="Arial" w:eastAsia="Arial" w:hAnsi="Arial"/>
                <w:sz w:val="18"/>
                <w:szCs w:val="18"/>
                <w:color w:val="auto"/>
              </w:rPr>
              <w:t>vesting of</w:t>
            </w:r>
          </w:p>
        </w:tc>
        <w:tc>
          <w:tcPr>
            <w:tcW w:w="1320" w:type="dxa"/>
            <w:vAlign w:val="bottom"/>
            <w:shd w:val="clear" w:color="auto" w:fill="CDDAE6"/>
          </w:tcPr>
          <w:p>
            <w:pPr>
              <w:ind w:left="40"/>
              <w:spacing w:after="0"/>
              <w:rPr>
                <w:sz w:val="20"/>
                <w:szCs w:val="20"/>
                <w:color w:val="auto"/>
              </w:rPr>
            </w:pPr>
            <w:r>
              <w:rPr>
                <w:rFonts w:ascii="Arial" w:cs="Arial" w:eastAsia="Arial" w:hAnsi="Arial"/>
                <w:sz w:val="18"/>
                <w:szCs w:val="18"/>
                <w:color w:val="auto"/>
              </w:rPr>
              <w:t>vesting of</w:t>
            </w:r>
          </w:p>
        </w:tc>
        <w:tc>
          <w:tcPr>
            <w:tcW w:w="1360" w:type="dxa"/>
            <w:vAlign w:val="bottom"/>
            <w:shd w:val="clear" w:color="auto" w:fill="CDDAE6"/>
          </w:tcPr>
          <w:p>
            <w:pPr>
              <w:ind w:left="100"/>
              <w:spacing w:after="0"/>
              <w:rPr>
                <w:sz w:val="20"/>
                <w:szCs w:val="20"/>
                <w:color w:val="auto"/>
              </w:rPr>
            </w:pPr>
            <w:r>
              <w:rPr>
                <w:rFonts w:ascii="Arial" w:cs="Arial" w:eastAsia="Arial" w:hAnsi="Arial"/>
                <w:sz w:val="18"/>
                <w:szCs w:val="18"/>
                <w:color w:val="auto"/>
              </w:rPr>
              <w:t>options are</w:t>
            </w:r>
          </w:p>
        </w:tc>
        <w:tc>
          <w:tcPr>
            <w:tcW w:w="1400" w:type="dxa"/>
            <w:vAlign w:val="bottom"/>
            <w:shd w:val="clear" w:color="auto" w:fill="CDDAE6"/>
          </w:tcPr>
          <w:p>
            <w:pPr>
              <w:ind w:left="120"/>
              <w:spacing w:after="0"/>
              <w:rPr>
                <w:sz w:val="20"/>
                <w:szCs w:val="20"/>
                <w:color w:val="auto"/>
              </w:rPr>
            </w:pPr>
            <w:r>
              <w:rPr>
                <w:rFonts w:ascii="Arial" w:cs="Arial" w:eastAsia="Arial" w:hAnsi="Arial"/>
                <w:sz w:val="18"/>
                <w:szCs w:val="18"/>
                <w:color w:val="auto"/>
              </w:rPr>
              <w:t>remaining</w:t>
            </w:r>
          </w:p>
        </w:tc>
        <w:tc>
          <w:tcPr>
            <w:tcW w:w="1400" w:type="dxa"/>
            <w:vAlign w:val="bottom"/>
            <w:shd w:val="clear" w:color="auto" w:fill="CDDAE6"/>
          </w:tcPr>
          <w:p>
            <w:pPr>
              <w:ind w:left="100"/>
              <w:spacing w:after="0"/>
              <w:rPr>
                <w:sz w:val="20"/>
                <w:szCs w:val="20"/>
                <w:color w:val="auto"/>
              </w:rPr>
            </w:pPr>
            <w:r>
              <w:rPr>
                <w:rFonts w:ascii="Arial" w:cs="Arial" w:eastAsia="Arial" w:hAnsi="Arial"/>
                <w:sz w:val="18"/>
                <w:szCs w:val="18"/>
                <w:color w:val="auto"/>
              </w:rPr>
              <w:t>options are</w:t>
            </w:r>
          </w:p>
        </w:tc>
        <w:tc>
          <w:tcPr>
            <w:tcW w:w="1400" w:type="dxa"/>
            <w:vAlign w:val="bottom"/>
            <w:shd w:val="clear" w:color="auto" w:fill="CDDAE6"/>
          </w:tcPr>
          <w:p>
            <w:pPr>
              <w:ind w:left="80"/>
              <w:spacing w:after="0"/>
              <w:rPr>
                <w:sz w:val="20"/>
                <w:szCs w:val="20"/>
                <w:color w:val="auto"/>
              </w:rPr>
            </w:pPr>
            <w:r>
              <w:rPr>
                <w:rFonts w:ascii="Arial" w:cs="Arial" w:eastAsia="Arial" w:hAnsi="Arial"/>
                <w:sz w:val="18"/>
                <w:szCs w:val="18"/>
                <w:color w:val="auto"/>
              </w:rPr>
              <w:t>are forfeited.</w:t>
            </w:r>
          </w:p>
        </w:tc>
        <w:tc>
          <w:tcPr>
            <w:tcW w:w="0" w:type="dxa"/>
            <w:vAlign w:val="bottom"/>
          </w:tcPr>
          <w:p>
            <w:pPr>
              <w:spacing w:after="0"/>
              <w:rPr>
                <w:sz w:val="1"/>
                <w:szCs w:val="1"/>
                <w:color w:val="auto"/>
              </w:rPr>
            </w:pPr>
          </w:p>
        </w:tc>
      </w:tr>
      <w:tr>
        <w:trPr>
          <w:trHeight w:val="216"/>
        </w:trPr>
        <w:tc>
          <w:tcPr>
            <w:tcW w:w="1200" w:type="dxa"/>
            <w:vAlign w:val="bottom"/>
            <w:shd w:val="clear" w:color="auto" w:fill="CDDAE6"/>
          </w:tcPr>
          <w:p>
            <w:pPr>
              <w:spacing w:after="0"/>
              <w:rPr>
                <w:sz w:val="18"/>
                <w:szCs w:val="18"/>
                <w:color w:val="auto"/>
              </w:rPr>
            </w:pPr>
          </w:p>
        </w:tc>
        <w:tc>
          <w:tcPr>
            <w:tcW w:w="1480" w:type="dxa"/>
            <w:vAlign w:val="bottom"/>
            <w:shd w:val="clear" w:color="auto" w:fill="CDDAE6"/>
          </w:tcPr>
          <w:p>
            <w:pPr>
              <w:ind w:left="140"/>
              <w:spacing w:after="0"/>
              <w:rPr>
                <w:sz w:val="20"/>
                <w:szCs w:val="20"/>
                <w:color w:val="auto"/>
              </w:rPr>
            </w:pPr>
            <w:r>
              <w:rPr>
                <w:rFonts w:ascii="Arial" w:cs="Arial" w:eastAsia="Arial" w:hAnsi="Arial"/>
                <w:sz w:val="18"/>
                <w:szCs w:val="18"/>
                <w:color w:val="auto"/>
              </w:rPr>
              <w:t>remaining</w:t>
            </w:r>
          </w:p>
        </w:tc>
        <w:tc>
          <w:tcPr>
            <w:tcW w:w="1320" w:type="dxa"/>
            <w:vAlign w:val="bottom"/>
            <w:shd w:val="clear" w:color="auto" w:fill="CDDAE6"/>
          </w:tcPr>
          <w:p>
            <w:pPr>
              <w:ind w:left="40"/>
              <w:spacing w:after="0"/>
              <w:rPr>
                <w:sz w:val="20"/>
                <w:szCs w:val="20"/>
                <w:color w:val="auto"/>
              </w:rPr>
            </w:pPr>
            <w:r>
              <w:rPr>
                <w:rFonts w:ascii="Arial" w:cs="Arial" w:eastAsia="Arial" w:hAnsi="Arial"/>
                <w:sz w:val="18"/>
                <w:szCs w:val="18"/>
                <w:color w:val="auto"/>
              </w:rPr>
              <w:t>remaining</w:t>
            </w:r>
          </w:p>
        </w:tc>
        <w:tc>
          <w:tcPr>
            <w:tcW w:w="1360" w:type="dxa"/>
            <w:vAlign w:val="bottom"/>
            <w:shd w:val="clear" w:color="auto" w:fill="CDDAE6"/>
          </w:tcPr>
          <w:p>
            <w:pPr>
              <w:ind w:left="100"/>
              <w:spacing w:after="0"/>
              <w:rPr>
                <w:sz w:val="20"/>
                <w:szCs w:val="20"/>
                <w:color w:val="auto"/>
              </w:rPr>
            </w:pPr>
            <w:r>
              <w:rPr>
                <w:rFonts w:ascii="Arial" w:cs="Arial" w:eastAsia="Arial" w:hAnsi="Arial"/>
                <w:sz w:val="18"/>
                <w:szCs w:val="18"/>
                <w:color w:val="auto"/>
              </w:rPr>
              <w:t>forfeited.</w:t>
            </w:r>
          </w:p>
        </w:tc>
        <w:tc>
          <w:tcPr>
            <w:tcW w:w="1400" w:type="dxa"/>
            <w:vAlign w:val="bottom"/>
            <w:shd w:val="clear" w:color="auto" w:fill="CDDAE6"/>
          </w:tcPr>
          <w:p>
            <w:pPr>
              <w:ind w:left="120"/>
              <w:spacing w:after="0"/>
              <w:rPr>
                <w:sz w:val="20"/>
                <w:szCs w:val="20"/>
                <w:color w:val="auto"/>
              </w:rPr>
            </w:pPr>
            <w:r>
              <w:rPr>
                <w:rFonts w:ascii="Arial" w:cs="Arial" w:eastAsia="Arial" w:hAnsi="Arial"/>
                <w:sz w:val="18"/>
                <w:szCs w:val="18"/>
                <w:color w:val="auto"/>
              </w:rPr>
              <w:t>unexercised</w:t>
            </w:r>
          </w:p>
        </w:tc>
        <w:tc>
          <w:tcPr>
            <w:tcW w:w="1400" w:type="dxa"/>
            <w:vAlign w:val="bottom"/>
            <w:shd w:val="clear" w:color="auto" w:fill="CDDAE6"/>
          </w:tcPr>
          <w:p>
            <w:pPr>
              <w:ind w:left="100"/>
              <w:spacing w:after="0"/>
              <w:rPr>
                <w:sz w:val="20"/>
                <w:szCs w:val="20"/>
                <w:color w:val="auto"/>
              </w:rPr>
            </w:pPr>
            <w:r>
              <w:rPr>
                <w:rFonts w:ascii="Arial" w:cs="Arial" w:eastAsia="Arial" w:hAnsi="Arial"/>
                <w:sz w:val="18"/>
                <w:szCs w:val="18"/>
                <w:color w:val="auto"/>
              </w:rPr>
              <w:t>forfeited.</w:t>
            </w:r>
          </w:p>
        </w:tc>
        <w:tc>
          <w:tcPr>
            <w:tcW w:w="1400" w:type="dxa"/>
            <w:vAlign w:val="bottom"/>
            <w:shd w:val="clear" w:color="auto" w:fill="CDDAE6"/>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200" w:type="dxa"/>
            <w:vAlign w:val="bottom"/>
            <w:shd w:val="clear" w:color="auto" w:fill="CDDAE6"/>
          </w:tcPr>
          <w:p>
            <w:pPr>
              <w:spacing w:after="0"/>
              <w:rPr>
                <w:sz w:val="21"/>
                <w:szCs w:val="21"/>
                <w:color w:val="auto"/>
              </w:rPr>
            </w:pPr>
          </w:p>
        </w:tc>
        <w:tc>
          <w:tcPr>
            <w:tcW w:w="1480" w:type="dxa"/>
            <w:vAlign w:val="bottom"/>
            <w:shd w:val="clear" w:color="auto" w:fill="CDDAE6"/>
          </w:tcPr>
          <w:p>
            <w:pPr>
              <w:ind w:left="140"/>
              <w:spacing w:after="0"/>
              <w:rPr>
                <w:sz w:val="20"/>
                <w:szCs w:val="20"/>
                <w:color w:val="auto"/>
              </w:rPr>
            </w:pPr>
            <w:r>
              <w:rPr>
                <w:rFonts w:ascii="Arial" w:cs="Arial" w:eastAsia="Arial" w:hAnsi="Arial"/>
                <w:sz w:val="18"/>
                <w:szCs w:val="18"/>
                <w:color w:val="auto"/>
                <w:w w:val="99"/>
              </w:rPr>
              <w:t>unvested award.</w:t>
            </w:r>
          </w:p>
        </w:tc>
        <w:tc>
          <w:tcPr>
            <w:tcW w:w="1320" w:type="dxa"/>
            <w:vAlign w:val="bottom"/>
            <w:shd w:val="clear" w:color="auto" w:fill="CDDAE6"/>
          </w:tcPr>
          <w:p>
            <w:pPr>
              <w:ind w:left="40"/>
              <w:spacing w:after="0"/>
              <w:rPr>
                <w:sz w:val="20"/>
                <w:szCs w:val="20"/>
                <w:color w:val="auto"/>
              </w:rPr>
            </w:pPr>
            <w:r>
              <w:rPr>
                <w:rFonts w:ascii="Arial" w:cs="Arial" w:eastAsia="Arial" w:hAnsi="Arial"/>
                <w:sz w:val="18"/>
                <w:szCs w:val="18"/>
                <w:color w:val="auto"/>
                <w:w w:val="95"/>
              </w:rPr>
              <w:t>unvested award.</w:t>
            </w:r>
          </w:p>
        </w:tc>
        <w:tc>
          <w:tcPr>
            <w:tcW w:w="1360" w:type="dxa"/>
            <w:vAlign w:val="bottom"/>
            <w:shd w:val="clear" w:color="auto" w:fill="CDDAE6"/>
          </w:tcPr>
          <w:p>
            <w:pPr>
              <w:spacing w:after="0"/>
              <w:rPr>
                <w:sz w:val="21"/>
                <w:szCs w:val="21"/>
                <w:color w:val="auto"/>
              </w:rPr>
            </w:pPr>
          </w:p>
        </w:tc>
        <w:tc>
          <w:tcPr>
            <w:tcW w:w="1400" w:type="dxa"/>
            <w:vAlign w:val="bottom"/>
            <w:shd w:val="clear" w:color="auto" w:fill="CDDAE6"/>
          </w:tcPr>
          <w:p>
            <w:pPr>
              <w:ind w:left="120"/>
              <w:spacing w:after="0"/>
              <w:rPr>
                <w:sz w:val="20"/>
                <w:szCs w:val="20"/>
                <w:color w:val="auto"/>
              </w:rPr>
            </w:pPr>
            <w:r>
              <w:rPr>
                <w:rFonts w:ascii="Arial" w:cs="Arial" w:eastAsia="Arial" w:hAnsi="Arial"/>
                <w:sz w:val="18"/>
                <w:szCs w:val="18"/>
                <w:color w:val="auto"/>
              </w:rPr>
              <w:t>award.</w:t>
            </w:r>
          </w:p>
        </w:tc>
        <w:tc>
          <w:tcPr>
            <w:tcW w:w="1400" w:type="dxa"/>
            <w:vAlign w:val="bottom"/>
            <w:shd w:val="clear" w:color="auto" w:fill="CDDAE6"/>
          </w:tcPr>
          <w:p>
            <w:pPr>
              <w:spacing w:after="0"/>
              <w:rPr>
                <w:sz w:val="21"/>
                <w:szCs w:val="21"/>
                <w:color w:val="auto"/>
              </w:rPr>
            </w:pPr>
          </w:p>
        </w:tc>
        <w:tc>
          <w:tcPr>
            <w:tcW w:w="1400" w:type="dxa"/>
            <w:vAlign w:val="bottom"/>
            <w:shd w:val="clear" w:color="auto" w:fill="CDDAE6"/>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200" w:type="dxa"/>
            <w:vAlign w:val="bottom"/>
          </w:tcPr>
          <w:p>
            <w:pPr>
              <w:ind w:left="40"/>
              <w:spacing w:after="0"/>
              <w:rPr>
                <w:sz w:val="20"/>
                <w:szCs w:val="20"/>
                <w:color w:val="auto"/>
              </w:rPr>
            </w:pPr>
            <w:r>
              <w:rPr>
                <w:rFonts w:ascii="Arial" w:cs="Arial" w:eastAsia="Arial" w:hAnsi="Arial"/>
                <w:sz w:val="18"/>
                <w:szCs w:val="18"/>
                <w:color w:val="auto"/>
              </w:rPr>
              <w:t>RSUs</w:t>
            </w:r>
          </w:p>
        </w:tc>
        <w:tc>
          <w:tcPr>
            <w:tcW w:w="1480" w:type="dxa"/>
            <w:vAlign w:val="bottom"/>
          </w:tcPr>
          <w:p>
            <w:pPr>
              <w:ind w:left="140"/>
              <w:spacing w:after="0"/>
              <w:rPr>
                <w:sz w:val="20"/>
                <w:szCs w:val="20"/>
                <w:color w:val="auto"/>
              </w:rPr>
            </w:pPr>
            <w:r>
              <w:rPr>
                <w:rFonts w:ascii="Arial" w:cs="Arial" w:eastAsia="Arial" w:hAnsi="Arial"/>
                <w:sz w:val="18"/>
                <w:szCs w:val="18"/>
                <w:color w:val="auto"/>
              </w:rPr>
              <w:t>Immediate</w:t>
            </w:r>
          </w:p>
        </w:tc>
        <w:tc>
          <w:tcPr>
            <w:tcW w:w="1320" w:type="dxa"/>
            <w:vAlign w:val="bottom"/>
          </w:tcPr>
          <w:p>
            <w:pPr>
              <w:ind w:left="40"/>
              <w:spacing w:after="0"/>
              <w:rPr>
                <w:sz w:val="20"/>
                <w:szCs w:val="20"/>
                <w:color w:val="auto"/>
              </w:rPr>
            </w:pPr>
            <w:r>
              <w:rPr>
                <w:rFonts w:ascii="Arial" w:cs="Arial" w:eastAsia="Arial" w:hAnsi="Arial"/>
                <w:sz w:val="18"/>
                <w:szCs w:val="18"/>
                <w:color w:val="auto"/>
              </w:rPr>
              <w:t>Immediate</w:t>
            </w:r>
          </w:p>
        </w:tc>
        <w:tc>
          <w:tcPr>
            <w:tcW w:w="1360" w:type="dxa"/>
            <w:vAlign w:val="bottom"/>
          </w:tcPr>
          <w:p>
            <w:pPr>
              <w:ind w:left="100"/>
              <w:spacing w:after="0"/>
              <w:rPr>
                <w:sz w:val="20"/>
                <w:szCs w:val="20"/>
                <w:color w:val="auto"/>
              </w:rPr>
            </w:pPr>
            <w:r>
              <w:rPr>
                <w:rFonts w:ascii="Arial" w:cs="Arial" w:eastAsia="Arial" w:hAnsi="Arial"/>
                <w:sz w:val="18"/>
                <w:szCs w:val="18"/>
                <w:color w:val="auto"/>
              </w:rPr>
              <w:t>Full award is</w:t>
            </w:r>
          </w:p>
        </w:tc>
        <w:tc>
          <w:tcPr>
            <w:tcW w:w="1400" w:type="dxa"/>
            <w:vAlign w:val="bottom"/>
          </w:tcPr>
          <w:p>
            <w:pPr>
              <w:ind w:left="120"/>
              <w:spacing w:after="0"/>
              <w:rPr>
                <w:sz w:val="20"/>
                <w:szCs w:val="20"/>
                <w:color w:val="auto"/>
              </w:rPr>
            </w:pPr>
            <w:r>
              <w:rPr>
                <w:rFonts w:ascii="Arial" w:cs="Arial" w:eastAsia="Arial" w:hAnsi="Arial"/>
                <w:sz w:val="18"/>
                <w:szCs w:val="18"/>
                <w:color w:val="auto"/>
              </w:rPr>
              <w:t>Forfeiture of full</w:t>
            </w:r>
          </w:p>
        </w:tc>
        <w:tc>
          <w:tcPr>
            <w:tcW w:w="1400" w:type="dxa"/>
            <w:vAlign w:val="bottom"/>
          </w:tcPr>
          <w:p>
            <w:pPr>
              <w:ind w:left="100"/>
              <w:spacing w:after="0"/>
              <w:rPr>
                <w:sz w:val="20"/>
                <w:szCs w:val="20"/>
                <w:color w:val="auto"/>
              </w:rPr>
            </w:pPr>
            <w:r>
              <w:rPr>
                <w:rFonts w:ascii="Arial" w:cs="Arial" w:eastAsia="Arial" w:hAnsi="Arial"/>
                <w:sz w:val="18"/>
                <w:szCs w:val="18"/>
                <w:color w:val="auto"/>
              </w:rPr>
              <w:t>Forfeiture of full</w:t>
            </w:r>
          </w:p>
        </w:tc>
        <w:tc>
          <w:tcPr>
            <w:tcW w:w="1400" w:type="dxa"/>
            <w:vAlign w:val="bottom"/>
          </w:tcPr>
          <w:p>
            <w:pPr>
              <w:ind w:left="80"/>
              <w:spacing w:after="0"/>
              <w:rPr>
                <w:sz w:val="20"/>
                <w:szCs w:val="20"/>
                <w:color w:val="auto"/>
              </w:rPr>
            </w:pPr>
            <w:r>
              <w:rPr>
                <w:rFonts w:ascii="Arial" w:cs="Arial" w:eastAsia="Arial" w:hAnsi="Arial"/>
                <w:sz w:val="18"/>
                <w:szCs w:val="18"/>
                <w:color w:val="auto"/>
              </w:rPr>
              <w:t>Forfeiture of full</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480" w:type="dxa"/>
            <w:vAlign w:val="bottom"/>
          </w:tcPr>
          <w:p>
            <w:pPr>
              <w:ind w:left="140"/>
              <w:spacing w:after="0"/>
              <w:rPr>
                <w:sz w:val="20"/>
                <w:szCs w:val="20"/>
                <w:color w:val="auto"/>
              </w:rPr>
            </w:pPr>
            <w:r>
              <w:rPr>
                <w:rFonts w:ascii="Arial" w:cs="Arial" w:eastAsia="Arial" w:hAnsi="Arial"/>
                <w:sz w:val="18"/>
                <w:szCs w:val="18"/>
                <w:color w:val="auto"/>
              </w:rPr>
              <w:t>vesting and</w:t>
            </w:r>
          </w:p>
        </w:tc>
        <w:tc>
          <w:tcPr>
            <w:tcW w:w="1320" w:type="dxa"/>
            <w:vAlign w:val="bottom"/>
          </w:tcPr>
          <w:p>
            <w:pPr>
              <w:ind w:left="40"/>
              <w:spacing w:after="0"/>
              <w:rPr>
                <w:sz w:val="20"/>
                <w:szCs w:val="20"/>
                <w:color w:val="auto"/>
              </w:rPr>
            </w:pPr>
            <w:r>
              <w:rPr>
                <w:rFonts w:ascii="Arial" w:cs="Arial" w:eastAsia="Arial" w:hAnsi="Arial"/>
                <w:sz w:val="18"/>
                <w:szCs w:val="18"/>
                <w:color w:val="auto"/>
              </w:rPr>
              <w:t>vesting and</w:t>
            </w:r>
          </w:p>
        </w:tc>
        <w:tc>
          <w:tcPr>
            <w:tcW w:w="1360" w:type="dxa"/>
            <w:vAlign w:val="bottom"/>
          </w:tcPr>
          <w:p>
            <w:pPr>
              <w:ind w:left="100"/>
              <w:spacing w:after="0"/>
              <w:rPr>
                <w:sz w:val="20"/>
                <w:szCs w:val="20"/>
                <w:color w:val="auto"/>
              </w:rPr>
            </w:pPr>
            <w:r>
              <w:rPr>
                <w:rFonts w:ascii="Arial" w:cs="Arial" w:eastAsia="Arial" w:hAnsi="Arial"/>
                <w:sz w:val="18"/>
                <w:szCs w:val="18"/>
                <w:color w:val="auto"/>
                <w:w w:val="96"/>
              </w:rPr>
              <w:t>deemed to have</w:t>
            </w:r>
          </w:p>
        </w:tc>
        <w:tc>
          <w:tcPr>
            <w:tcW w:w="1400" w:type="dxa"/>
            <w:vAlign w:val="bottom"/>
          </w:tcPr>
          <w:p>
            <w:pPr>
              <w:ind w:left="120"/>
              <w:spacing w:after="0"/>
              <w:rPr>
                <w:sz w:val="20"/>
                <w:szCs w:val="20"/>
                <w:color w:val="auto"/>
              </w:rPr>
            </w:pPr>
            <w:r>
              <w:rPr>
                <w:rFonts w:ascii="Arial" w:cs="Arial" w:eastAsia="Arial" w:hAnsi="Arial"/>
                <w:sz w:val="18"/>
                <w:szCs w:val="18"/>
                <w:color w:val="auto"/>
              </w:rPr>
              <w:t>award.</w:t>
            </w:r>
          </w:p>
        </w:tc>
        <w:tc>
          <w:tcPr>
            <w:tcW w:w="1400" w:type="dxa"/>
            <w:vAlign w:val="bottom"/>
          </w:tcPr>
          <w:p>
            <w:pPr>
              <w:ind w:left="100"/>
              <w:spacing w:after="0"/>
              <w:rPr>
                <w:sz w:val="20"/>
                <w:szCs w:val="20"/>
                <w:color w:val="auto"/>
              </w:rPr>
            </w:pPr>
            <w:r>
              <w:rPr>
                <w:rFonts w:ascii="Arial" w:cs="Arial" w:eastAsia="Arial" w:hAnsi="Arial"/>
                <w:sz w:val="18"/>
                <w:szCs w:val="18"/>
                <w:color w:val="auto"/>
              </w:rPr>
              <w:t>award.</w:t>
            </w:r>
          </w:p>
        </w:tc>
        <w:tc>
          <w:tcPr>
            <w:tcW w:w="1400" w:type="dxa"/>
            <w:vAlign w:val="bottom"/>
          </w:tcPr>
          <w:p>
            <w:pPr>
              <w:ind w:left="80"/>
              <w:spacing w:after="0"/>
              <w:rPr>
                <w:sz w:val="20"/>
                <w:szCs w:val="20"/>
                <w:color w:val="auto"/>
              </w:rPr>
            </w:pPr>
            <w:r>
              <w:rPr>
                <w:rFonts w:ascii="Arial" w:cs="Arial" w:eastAsia="Arial" w:hAnsi="Arial"/>
                <w:sz w:val="18"/>
                <w:szCs w:val="18"/>
                <w:color w:val="auto"/>
              </w:rPr>
              <w:t>award.</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480" w:type="dxa"/>
            <w:vAlign w:val="bottom"/>
          </w:tcPr>
          <w:p>
            <w:pPr>
              <w:ind w:left="140"/>
              <w:spacing w:after="0"/>
              <w:rPr>
                <w:sz w:val="20"/>
                <w:szCs w:val="20"/>
                <w:color w:val="auto"/>
              </w:rPr>
            </w:pPr>
            <w:r>
              <w:rPr>
                <w:rFonts w:ascii="Arial" w:cs="Arial" w:eastAsia="Arial" w:hAnsi="Arial"/>
                <w:sz w:val="18"/>
                <w:szCs w:val="18"/>
                <w:color w:val="auto"/>
              </w:rPr>
              <w:t>delivery of full</w:t>
            </w:r>
          </w:p>
        </w:tc>
        <w:tc>
          <w:tcPr>
            <w:tcW w:w="1320" w:type="dxa"/>
            <w:vAlign w:val="bottom"/>
          </w:tcPr>
          <w:p>
            <w:pPr>
              <w:ind w:left="40"/>
              <w:spacing w:after="0"/>
              <w:rPr>
                <w:sz w:val="20"/>
                <w:szCs w:val="20"/>
                <w:color w:val="auto"/>
              </w:rPr>
            </w:pPr>
            <w:r>
              <w:rPr>
                <w:rFonts w:ascii="Arial" w:cs="Arial" w:eastAsia="Arial" w:hAnsi="Arial"/>
                <w:sz w:val="18"/>
                <w:szCs w:val="18"/>
                <w:color w:val="auto"/>
              </w:rPr>
              <w:t>delivery of full</w:t>
            </w:r>
          </w:p>
        </w:tc>
        <w:tc>
          <w:tcPr>
            <w:tcW w:w="1360" w:type="dxa"/>
            <w:vAlign w:val="bottom"/>
          </w:tcPr>
          <w:p>
            <w:pPr>
              <w:ind w:left="100"/>
              <w:spacing w:after="0"/>
              <w:rPr>
                <w:sz w:val="20"/>
                <w:szCs w:val="20"/>
                <w:color w:val="auto"/>
              </w:rPr>
            </w:pPr>
            <w:r>
              <w:rPr>
                <w:rFonts w:ascii="Arial" w:cs="Arial" w:eastAsia="Arial" w:hAnsi="Arial"/>
                <w:sz w:val="18"/>
                <w:szCs w:val="18"/>
                <w:color w:val="auto"/>
              </w:rPr>
              <w:t>vested, but</w:t>
            </w: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480" w:type="dxa"/>
            <w:vAlign w:val="bottom"/>
          </w:tcPr>
          <w:p>
            <w:pPr>
              <w:ind w:left="140"/>
              <w:spacing w:after="0"/>
              <w:rPr>
                <w:sz w:val="20"/>
                <w:szCs w:val="20"/>
                <w:color w:val="auto"/>
              </w:rPr>
            </w:pPr>
            <w:r>
              <w:rPr>
                <w:rFonts w:ascii="Arial" w:cs="Arial" w:eastAsia="Arial" w:hAnsi="Arial"/>
                <w:sz w:val="18"/>
                <w:szCs w:val="18"/>
                <w:color w:val="auto"/>
              </w:rPr>
              <w:t>award.</w:t>
            </w:r>
          </w:p>
        </w:tc>
        <w:tc>
          <w:tcPr>
            <w:tcW w:w="1320" w:type="dxa"/>
            <w:vAlign w:val="bottom"/>
          </w:tcPr>
          <w:p>
            <w:pPr>
              <w:ind w:left="40"/>
              <w:spacing w:after="0"/>
              <w:rPr>
                <w:sz w:val="20"/>
                <w:szCs w:val="20"/>
                <w:color w:val="auto"/>
              </w:rPr>
            </w:pPr>
            <w:r>
              <w:rPr>
                <w:rFonts w:ascii="Arial" w:cs="Arial" w:eastAsia="Arial" w:hAnsi="Arial"/>
                <w:sz w:val="18"/>
                <w:szCs w:val="18"/>
                <w:color w:val="auto"/>
              </w:rPr>
              <w:t>award.</w:t>
            </w:r>
          </w:p>
        </w:tc>
        <w:tc>
          <w:tcPr>
            <w:tcW w:w="1360" w:type="dxa"/>
            <w:vAlign w:val="bottom"/>
          </w:tcPr>
          <w:p>
            <w:pPr>
              <w:ind w:left="100"/>
              <w:spacing w:after="0"/>
              <w:rPr>
                <w:sz w:val="20"/>
                <w:szCs w:val="20"/>
                <w:color w:val="auto"/>
              </w:rPr>
            </w:pPr>
            <w:r>
              <w:rPr>
                <w:rFonts w:ascii="Arial" w:cs="Arial" w:eastAsia="Arial" w:hAnsi="Arial"/>
                <w:sz w:val="18"/>
                <w:szCs w:val="18"/>
                <w:color w:val="auto"/>
              </w:rPr>
              <w:t>underlying</w:t>
            </w: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shares and</w:t>
            </w: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dividend</w:t>
            </w: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equivalents</w:t>
            </w: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remain</w:t>
            </w: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w w:val="96"/>
              </w:rPr>
              <w:t>undelivered and</w:t>
            </w: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unpaid until</w:t>
            </w: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expiration of</w:t>
            </w: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original three-</w:t>
            </w: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year vesting</w:t>
            </w: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period.</w:t>
            </w:r>
          </w:p>
        </w:tc>
        <w:tc>
          <w:tcPr>
            <w:tcW w:w="1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200" w:type="dxa"/>
            <w:vAlign w:val="bottom"/>
            <w:shd w:val="clear" w:color="auto" w:fill="CDDAE6"/>
          </w:tcPr>
          <w:p>
            <w:pPr>
              <w:ind w:left="40"/>
              <w:spacing w:after="0"/>
              <w:rPr>
                <w:sz w:val="20"/>
                <w:szCs w:val="20"/>
                <w:color w:val="auto"/>
              </w:rPr>
            </w:pPr>
            <w:r>
              <w:rPr>
                <w:rFonts w:ascii="Arial" w:cs="Arial" w:eastAsia="Arial" w:hAnsi="Arial"/>
                <w:sz w:val="18"/>
                <w:szCs w:val="18"/>
                <w:color w:val="auto"/>
              </w:rPr>
              <w:t>Performance</w:t>
            </w:r>
          </w:p>
        </w:tc>
        <w:tc>
          <w:tcPr>
            <w:tcW w:w="1480" w:type="dxa"/>
            <w:vAlign w:val="bottom"/>
            <w:shd w:val="clear" w:color="auto" w:fill="CDDAE6"/>
          </w:tcPr>
          <w:p>
            <w:pPr>
              <w:ind w:left="140"/>
              <w:spacing w:after="0"/>
              <w:rPr>
                <w:sz w:val="20"/>
                <w:szCs w:val="20"/>
                <w:color w:val="auto"/>
              </w:rPr>
            </w:pPr>
            <w:r>
              <w:rPr>
                <w:rFonts w:ascii="Arial" w:cs="Arial" w:eastAsia="Arial" w:hAnsi="Arial"/>
                <w:sz w:val="18"/>
                <w:szCs w:val="18"/>
                <w:color w:val="auto"/>
              </w:rPr>
              <w:t>Immediate</w:t>
            </w:r>
          </w:p>
        </w:tc>
        <w:tc>
          <w:tcPr>
            <w:tcW w:w="1320" w:type="dxa"/>
            <w:vAlign w:val="bottom"/>
            <w:shd w:val="clear" w:color="auto" w:fill="CDDAE6"/>
          </w:tcPr>
          <w:p>
            <w:pPr>
              <w:ind w:left="40"/>
              <w:spacing w:after="0"/>
              <w:rPr>
                <w:sz w:val="20"/>
                <w:szCs w:val="20"/>
                <w:color w:val="auto"/>
              </w:rPr>
            </w:pPr>
            <w:r>
              <w:rPr>
                <w:rFonts w:ascii="Arial" w:cs="Arial" w:eastAsia="Arial" w:hAnsi="Arial"/>
                <w:sz w:val="18"/>
                <w:szCs w:val="18"/>
                <w:color w:val="auto"/>
              </w:rPr>
              <w:t>Forfeiture of</w:t>
            </w:r>
          </w:p>
        </w:tc>
        <w:tc>
          <w:tcPr>
            <w:tcW w:w="1360" w:type="dxa"/>
            <w:vAlign w:val="bottom"/>
            <w:shd w:val="clear" w:color="auto" w:fill="CDDAE6"/>
          </w:tcPr>
          <w:p>
            <w:pPr>
              <w:ind w:left="100"/>
              <w:spacing w:after="0"/>
              <w:rPr>
                <w:sz w:val="20"/>
                <w:szCs w:val="20"/>
                <w:color w:val="auto"/>
              </w:rPr>
            </w:pPr>
            <w:r>
              <w:rPr>
                <w:rFonts w:ascii="Arial" w:cs="Arial" w:eastAsia="Arial" w:hAnsi="Arial"/>
                <w:sz w:val="18"/>
                <w:szCs w:val="18"/>
                <w:color w:val="auto"/>
              </w:rPr>
              <w:t>Forfeiture of</w:t>
            </w:r>
          </w:p>
        </w:tc>
        <w:tc>
          <w:tcPr>
            <w:tcW w:w="1400" w:type="dxa"/>
            <w:vAlign w:val="bottom"/>
            <w:shd w:val="clear" w:color="auto" w:fill="CDDAE6"/>
          </w:tcPr>
          <w:p>
            <w:pPr>
              <w:ind w:left="120"/>
              <w:spacing w:after="0"/>
              <w:rPr>
                <w:sz w:val="20"/>
                <w:szCs w:val="20"/>
                <w:color w:val="auto"/>
              </w:rPr>
            </w:pPr>
            <w:r>
              <w:rPr>
                <w:rFonts w:ascii="Arial" w:cs="Arial" w:eastAsia="Arial" w:hAnsi="Arial"/>
                <w:sz w:val="18"/>
                <w:szCs w:val="18"/>
                <w:color w:val="auto"/>
              </w:rPr>
              <w:t>Forfeiture of full</w:t>
            </w:r>
          </w:p>
        </w:tc>
        <w:tc>
          <w:tcPr>
            <w:tcW w:w="1400" w:type="dxa"/>
            <w:vAlign w:val="bottom"/>
            <w:shd w:val="clear" w:color="auto" w:fill="CDDAE6"/>
          </w:tcPr>
          <w:p>
            <w:pPr>
              <w:ind w:left="100"/>
              <w:spacing w:after="0"/>
              <w:rPr>
                <w:sz w:val="20"/>
                <w:szCs w:val="20"/>
                <w:color w:val="auto"/>
              </w:rPr>
            </w:pPr>
            <w:r>
              <w:rPr>
                <w:rFonts w:ascii="Arial" w:cs="Arial" w:eastAsia="Arial" w:hAnsi="Arial"/>
                <w:sz w:val="18"/>
                <w:szCs w:val="18"/>
                <w:color w:val="auto"/>
              </w:rPr>
              <w:t>Forfeiture of</w:t>
            </w:r>
          </w:p>
        </w:tc>
        <w:tc>
          <w:tcPr>
            <w:tcW w:w="1400" w:type="dxa"/>
            <w:vAlign w:val="bottom"/>
            <w:shd w:val="clear" w:color="auto" w:fill="CDDAE6"/>
          </w:tcPr>
          <w:p>
            <w:pPr>
              <w:ind w:left="80"/>
              <w:spacing w:after="0"/>
              <w:rPr>
                <w:sz w:val="20"/>
                <w:szCs w:val="20"/>
                <w:color w:val="auto"/>
              </w:rPr>
            </w:pPr>
            <w:r>
              <w:rPr>
                <w:rFonts w:ascii="Arial" w:cs="Arial" w:eastAsia="Arial" w:hAnsi="Arial"/>
                <w:sz w:val="18"/>
                <w:szCs w:val="18"/>
                <w:color w:val="auto"/>
              </w:rPr>
              <w:t>Forfeiture of full</w:t>
            </w:r>
          </w:p>
        </w:tc>
        <w:tc>
          <w:tcPr>
            <w:tcW w:w="0" w:type="dxa"/>
            <w:vAlign w:val="bottom"/>
          </w:tcPr>
          <w:p>
            <w:pPr>
              <w:spacing w:after="0"/>
              <w:rPr>
                <w:sz w:val="1"/>
                <w:szCs w:val="1"/>
                <w:color w:val="auto"/>
              </w:rPr>
            </w:pPr>
          </w:p>
        </w:tc>
      </w:tr>
      <w:tr>
        <w:trPr>
          <w:trHeight w:val="216"/>
        </w:trPr>
        <w:tc>
          <w:tcPr>
            <w:tcW w:w="1200" w:type="dxa"/>
            <w:vAlign w:val="bottom"/>
            <w:shd w:val="clear" w:color="auto" w:fill="CDDAE6"/>
          </w:tcPr>
          <w:p>
            <w:pPr>
              <w:ind w:left="40"/>
              <w:spacing w:after="0"/>
              <w:rPr>
                <w:sz w:val="20"/>
                <w:szCs w:val="20"/>
                <w:color w:val="auto"/>
              </w:rPr>
            </w:pPr>
            <w:r>
              <w:rPr>
                <w:rFonts w:ascii="Arial" w:cs="Arial" w:eastAsia="Arial" w:hAnsi="Arial"/>
                <w:sz w:val="18"/>
                <w:szCs w:val="18"/>
                <w:color w:val="auto"/>
              </w:rPr>
              <w:t>Awards</w:t>
            </w:r>
          </w:p>
        </w:tc>
        <w:tc>
          <w:tcPr>
            <w:tcW w:w="1480" w:type="dxa"/>
            <w:vAlign w:val="bottom"/>
            <w:shd w:val="clear" w:color="auto" w:fill="CDDAE6"/>
          </w:tcPr>
          <w:p>
            <w:pPr>
              <w:ind w:left="140"/>
              <w:spacing w:after="0"/>
              <w:rPr>
                <w:sz w:val="20"/>
                <w:szCs w:val="20"/>
                <w:color w:val="auto"/>
              </w:rPr>
            </w:pPr>
            <w:r>
              <w:rPr>
                <w:rFonts w:ascii="Arial" w:cs="Arial" w:eastAsia="Arial" w:hAnsi="Arial"/>
                <w:sz w:val="18"/>
                <w:szCs w:val="18"/>
                <w:color w:val="auto"/>
                <w:w w:val="96"/>
              </w:rPr>
              <w:t>vesting based on</w:t>
            </w:r>
          </w:p>
        </w:tc>
        <w:tc>
          <w:tcPr>
            <w:tcW w:w="1320" w:type="dxa"/>
            <w:vAlign w:val="bottom"/>
            <w:shd w:val="clear" w:color="auto" w:fill="CDDAE6"/>
          </w:tcPr>
          <w:p>
            <w:pPr>
              <w:ind w:left="40"/>
              <w:spacing w:after="0"/>
              <w:rPr>
                <w:sz w:val="20"/>
                <w:szCs w:val="20"/>
                <w:color w:val="auto"/>
              </w:rPr>
            </w:pPr>
            <w:r>
              <w:rPr>
                <w:rFonts w:ascii="Arial" w:cs="Arial" w:eastAsia="Arial" w:hAnsi="Arial"/>
                <w:sz w:val="18"/>
                <w:szCs w:val="18"/>
                <w:color w:val="auto"/>
                <w:w w:val="99"/>
              </w:rPr>
              <w:t>prorated portion</w:t>
            </w:r>
          </w:p>
        </w:tc>
        <w:tc>
          <w:tcPr>
            <w:tcW w:w="1360" w:type="dxa"/>
            <w:vAlign w:val="bottom"/>
            <w:shd w:val="clear" w:color="auto" w:fill="CDDAE6"/>
          </w:tcPr>
          <w:p>
            <w:pPr>
              <w:ind w:left="100"/>
              <w:spacing w:after="0"/>
              <w:rPr>
                <w:sz w:val="20"/>
                <w:szCs w:val="20"/>
                <w:color w:val="auto"/>
              </w:rPr>
            </w:pPr>
            <w:r>
              <w:rPr>
                <w:rFonts w:ascii="Arial" w:cs="Arial" w:eastAsia="Arial" w:hAnsi="Arial"/>
                <w:sz w:val="18"/>
                <w:szCs w:val="18"/>
                <w:color w:val="auto"/>
                <w:w w:val="97"/>
              </w:rPr>
              <w:t>prorated portion</w:t>
            </w:r>
          </w:p>
        </w:tc>
        <w:tc>
          <w:tcPr>
            <w:tcW w:w="1400" w:type="dxa"/>
            <w:vAlign w:val="bottom"/>
            <w:shd w:val="clear" w:color="auto" w:fill="CDDAE6"/>
          </w:tcPr>
          <w:p>
            <w:pPr>
              <w:ind w:left="120"/>
              <w:spacing w:after="0"/>
              <w:rPr>
                <w:sz w:val="20"/>
                <w:szCs w:val="20"/>
                <w:color w:val="auto"/>
              </w:rPr>
            </w:pPr>
            <w:r>
              <w:rPr>
                <w:rFonts w:ascii="Arial" w:cs="Arial" w:eastAsia="Arial" w:hAnsi="Arial"/>
                <w:sz w:val="18"/>
                <w:szCs w:val="18"/>
                <w:color w:val="auto"/>
              </w:rPr>
              <w:t>award.</w:t>
            </w:r>
          </w:p>
        </w:tc>
        <w:tc>
          <w:tcPr>
            <w:tcW w:w="1400" w:type="dxa"/>
            <w:vAlign w:val="bottom"/>
            <w:shd w:val="clear" w:color="auto" w:fill="CDDAE6"/>
          </w:tcPr>
          <w:p>
            <w:pPr>
              <w:ind w:left="100"/>
              <w:spacing w:after="0"/>
              <w:rPr>
                <w:sz w:val="20"/>
                <w:szCs w:val="20"/>
                <w:color w:val="auto"/>
              </w:rPr>
            </w:pPr>
            <w:r>
              <w:rPr>
                <w:rFonts w:ascii="Arial" w:cs="Arial" w:eastAsia="Arial" w:hAnsi="Arial"/>
                <w:sz w:val="18"/>
                <w:szCs w:val="18"/>
                <w:color w:val="auto"/>
              </w:rPr>
              <w:t>prorated portion</w:t>
            </w:r>
          </w:p>
        </w:tc>
        <w:tc>
          <w:tcPr>
            <w:tcW w:w="1400" w:type="dxa"/>
            <w:vAlign w:val="bottom"/>
            <w:shd w:val="clear" w:color="auto" w:fill="CDDAE6"/>
          </w:tcPr>
          <w:p>
            <w:pPr>
              <w:ind w:left="80"/>
              <w:spacing w:after="0"/>
              <w:rPr>
                <w:sz w:val="20"/>
                <w:szCs w:val="20"/>
                <w:color w:val="auto"/>
              </w:rPr>
            </w:pPr>
            <w:r>
              <w:rPr>
                <w:rFonts w:ascii="Arial" w:cs="Arial" w:eastAsia="Arial" w:hAnsi="Arial"/>
                <w:sz w:val="18"/>
                <w:szCs w:val="18"/>
                <w:color w:val="auto"/>
              </w:rPr>
              <w:t>award.</w:t>
            </w:r>
          </w:p>
        </w:tc>
        <w:tc>
          <w:tcPr>
            <w:tcW w:w="0" w:type="dxa"/>
            <w:vAlign w:val="bottom"/>
          </w:tcPr>
          <w:p>
            <w:pPr>
              <w:spacing w:after="0"/>
              <w:rPr>
                <w:sz w:val="1"/>
                <w:szCs w:val="1"/>
                <w:color w:val="auto"/>
              </w:rPr>
            </w:pPr>
          </w:p>
        </w:tc>
      </w:tr>
      <w:tr>
        <w:trPr>
          <w:trHeight w:val="216"/>
        </w:trPr>
        <w:tc>
          <w:tcPr>
            <w:tcW w:w="1200" w:type="dxa"/>
            <w:vAlign w:val="bottom"/>
            <w:shd w:val="clear" w:color="auto" w:fill="CDDAE6"/>
          </w:tcPr>
          <w:p>
            <w:pPr>
              <w:spacing w:after="0"/>
              <w:rPr>
                <w:sz w:val="18"/>
                <w:szCs w:val="18"/>
                <w:color w:val="auto"/>
              </w:rPr>
            </w:pPr>
          </w:p>
        </w:tc>
        <w:tc>
          <w:tcPr>
            <w:tcW w:w="1480" w:type="dxa"/>
            <w:vAlign w:val="bottom"/>
            <w:shd w:val="clear" w:color="auto" w:fill="CDDAE6"/>
          </w:tcPr>
          <w:p>
            <w:pPr>
              <w:ind w:left="140"/>
              <w:spacing w:after="0"/>
              <w:rPr>
                <w:sz w:val="20"/>
                <w:szCs w:val="20"/>
                <w:color w:val="auto"/>
              </w:rPr>
            </w:pPr>
            <w:r>
              <w:rPr>
                <w:rFonts w:ascii="Arial" w:cs="Arial" w:eastAsia="Arial" w:hAnsi="Arial"/>
                <w:sz w:val="18"/>
                <w:szCs w:val="18"/>
                <w:color w:val="auto"/>
              </w:rPr>
              <w:t>Target level of</w:t>
            </w:r>
          </w:p>
        </w:tc>
        <w:tc>
          <w:tcPr>
            <w:tcW w:w="1320" w:type="dxa"/>
            <w:vAlign w:val="bottom"/>
            <w:shd w:val="clear" w:color="auto" w:fill="CDDAE6"/>
          </w:tcPr>
          <w:p>
            <w:pPr>
              <w:ind w:left="40"/>
              <w:spacing w:after="0"/>
              <w:rPr>
                <w:sz w:val="20"/>
                <w:szCs w:val="20"/>
                <w:color w:val="auto"/>
              </w:rPr>
            </w:pPr>
            <w:r>
              <w:rPr>
                <w:rFonts w:ascii="Arial" w:cs="Arial" w:eastAsia="Arial" w:hAnsi="Arial"/>
                <w:sz w:val="18"/>
                <w:szCs w:val="18"/>
                <w:color w:val="auto"/>
              </w:rPr>
              <w:t>of award to</w:t>
            </w:r>
          </w:p>
        </w:tc>
        <w:tc>
          <w:tcPr>
            <w:tcW w:w="1360" w:type="dxa"/>
            <w:vAlign w:val="bottom"/>
            <w:shd w:val="clear" w:color="auto" w:fill="CDDAE6"/>
          </w:tcPr>
          <w:p>
            <w:pPr>
              <w:ind w:left="100"/>
              <w:spacing w:after="0"/>
              <w:rPr>
                <w:sz w:val="20"/>
                <w:szCs w:val="20"/>
                <w:color w:val="auto"/>
              </w:rPr>
            </w:pPr>
            <w:r>
              <w:rPr>
                <w:rFonts w:ascii="Arial" w:cs="Arial" w:eastAsia="Arial" w:hAnsi="Arial"/>
                <w:sz w:val="18"/>
                <w:szCs w:val="18"/>
                <w:color w:val="auto"/>
              </w:rPr>
              <w:t>of award to</w:t>
            </w:r>
          </w:p>
        </w:tc>
        <w:tc>
          <w:tcPr>
            <w:tcW w:w="1400" w:type="dxa"/>
            <w:vAlign w:val="bottom"/>
            <w:shd w:val="clear" w:color="auto" w:fill="CDDAE6"/>
          </w:tcPr>
          <w:p>
            <w:pPr>
              <w:spacing w:after="0"/>
              <w:rPr>
                <w:sz w:val="18"/>
                <w:szCs w:val="18"/>
                <w:color w:val="auto"/>
              </w:rPr>
            </w:pPr>
          </w:p>
        </w:tc>
        <w:tc>
          <w:tcPr>
            <w:tcW w:w="1400" w:type="dxa"/>
            <w:vAlign w:val="bottom"/>
            <w:shd w:val="clear" w:color="auto" w:fill="CDDAE6"/>
          </w:tcPr>
          <w:p>
            <w:pPr>
              <w:ind w:left="100"/>
              <w:spacing w:after="0"/>
              <w:rPr>
                <w:sz w:val="20"/>
                <w:szCs w:val="20"/>
                <w:color w:val="auto"/>
              </w:rPr>
            </w:pPr>
            <w:r>
              <w:rPr>
                <w:rFonts w:ascii="Arial" w:cs="Arial" w:eastAsia="Arial" w:hAnsi="Arial"/>
                <w:sz w:val="18"/>
                <w:szCs w:val="18"/>
                <w:color w:val="auto"/>
              </w:rPr>
              <w:t>of award to</w:t>
            </w:r>
          </w:p>
        </w:tc>
        <w:tc>
          <w:tcPr>
            <w:tcW w:w="1400" w:type="dxa"/>
            <w:vAlign w:val="bottom"/>
            <w:shd w:val="clear" w:color="auto" w:fill="CDDA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DDAE6"/>
          </w:tcPr>
          <w:p>
            <w:pPr>
              <w:spacing w:after="0"/>
              <w:rPr>
                <w:sz w:val="18"/>
                <w:szCs w:val="18"/>
                <w:color w:val="auto"/>
              </w:rPr>
            </w:pPr>
          </w:p>
        </w:tc>
        <w:tc>
          <w:tcPr>
            <w:tcW w:w="1480" w:type="dxa"/>
            <w:vAlign w:val="bottom"/>
            <w:shd w:val="clear" w:color="auto" w:fill="CDDAE6"/>
          </w:tcPr>
          <w:p>
            <w:pPr>
              <w:ind w:left="140"/>
              <w:spacing w:after="0"/>
              <w:rPr>
                <w:sz w:val="20"/>
                <w:szCs w:val="20"/>
                <w:color w:val="auto"/>
              </w:rPr>
            </w:pPr>
            <w:r>
              <w:rPr>
                <w:rFonts w:ascii="Arial" w:cs="Arial" w:eastAsia="Arial" w:hAnsi="Arial"/>
                <w:sz w:val="18"/>
                <w:szCs w:val="18"/>
                <w:color w:val="auto"/>
              </w:rPr>
              <w:t>performance,</w:t>
            </w:r>
          </w:p>
        </w:tc>
        <w:tc>
          <w:tcPr>
            <w:tcW w:w="1320" w:type="dxa"/>
            <w:vAlign w:val="bottom"/>
            <w:shd w:val="clear" w:color="auto" w:fill="CDDAE6"/>
          </w:tcPr>
          <w:p>
            <w:pPr>
              <w:ind w:left="40"/>
              <w:spacing w:after="0"/>
              <w:rPr>
                <w:sz w:val="20"/>
                <w:szCs w:val="20"/>
                <w:color w:val="auto"/>
              </w:rPr>
            </w:pPr>
            <w:r>
              <w:rPr>
                <w:rFonts w:ascii="Arial" w:cs="Arial" w:eastAsia="Arial" w:hAnsi="Arial"/>
                <w:sz w:val="18"/>
                <w:szCs w:val="18"/>
                <w:color w:val="auto"/>
              </w:rPr>
              <w:t>reflect reduced</w:t>
            </w:r>
          </w:p>
        </w:tc>
        <w:tc>
          <w:tcPr>
            <w:tcW w:w="1360" w:type="dxa"/>
            <w:vAlign w:val="bottom"/>
            <w:shd w:val="clear" w:color="auto" w:fill="CDDAE6"/>
          </w:tcPr>
          <w:p>
            <w:pPr>
              <w:ind w:left="100"/>
              <w:spacing w:after="0"/>
              <w:rPr>
                <w:sz w:val="20"/>
                <w:szCs w:val="20"/>
                <w:color w:val="auto"/>
              </w:rPr>
            </w:pPr>
            <w:r>
              <w:rPr>
                <w:rFonts w:ascii="Arial" w:cs="Arial" w:eastAsia="Arial" w:hAnsi="Arial"/>
                <w:sz w:val="18"/>
                <w:szCs w:val="18"/>
                <w:color w:val="auto"/>
              </w:rPr>
              <w:t>reflect reduced</w:t>
            </w:r>
          </w:p>
        </w:tc>
        <w:tc>
          <w:tcPr>
            <w:tcW w:w="1400" w:type="dxa"/>
            <w:vAlign w:val="bottom"/>
            <w:shd w:val="clear" w:color="auto" w:fill="CDDAE6"/>
          </w:tcPr>
          <w:p>
            <w:pPr>
              <w:spacing w:after="0"/>
              <w:rPr>
                <w:sz w:val="18"/>
                <w:szCs w:val="18"/>
                <w:color w:val="auto"/>
              </w:rPr>
            </w:pPr>
          </w:p>
        </w:tc>
        <w:tc>
          <w:tcPr>
            <w:tcW w:w="1400" w:type="dxa"/>
            <w:vAlign w:val="bottom"/>
            <w:shd w:val="clear" w:color="auto" w:fill="CDDAE6"/>
          </w:tcPr>
          <w:p>
            <w:pPr>
              <w:ind w:left="100"/>
              <w:spacing w:after="0"/>
              <w:rPr>
                <w:sz w:val="20"/>
                <w:szCs w:val="20"/>
                <w:color w:val="auto"/>
              </w:rPr>
            </w:pPr>
            <w:r>
              <w:rPr>
                <w:rFonts w:ascii="Arial" w:cs="Arial" w:eastAsia="Arial" w:hAnsi="Arial"/>
                <w:sz w:val="18"/>
                <w:szCs w:val="18"/>
                <w:color w:val="auto"/>
              </w:rPr>
              <w:t>reflect reduced</w:t>
            </w:r>
          </w:p>
        </w:tc>
        <w:tc>
          <w:tcPr>
            <w:tcW w:w="1400" w:type="dxa"/>
            <w:vAlign w:val="bottom"/>
            <w:shd w:val="clear" w:color="auto" w:fill="CDDA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DDAE6"/>
          </w:tcPr>
          <w:p>
            <w:pPr>
              <w:spacing w:after="0"/>
              <w:rPr>
                <w:sz w:val="18"/>
                <w:szCs w:val="18"/>
                <w:color w:val="auto"/>
              </w:rPr>
            </w:pPr>
          </w:p>
        </w:tc>
        <w:tc>
          <w:tcPr>
            <w:tcW w:w="1480" w:type="dxa"/>
            <w:vAlign w:val="bottom"/>
            <w:shd w:val="clear" w:color="auto" w:fill="CDDAE6"/>
          </w:tcPr>
          <w:p>
            <w:pPr>
              <w:ind w:left="140"/>
              <w:spacing w:after="0"/>
              <w:rPr>
                <w:sz w:val="20"/>
                <w:szCs w:val="20"/>
                <w:color w:val="auto"/>
              </w:rPr>
            </w:pPr>
            <w:r>
              <w:rPr>
                <w:rFonts w:ascii="Arial" w:cs="Arial" w:eastAsia="Arial" w:hAnsi="Arial"/>
                <w:sz w:val="18"/>
                <w:szCs w:val="18"/>
                <w:color w:val="auto"/>
              </w:rPr>
              <w:t>prorated to</w:t>
            </w:r>
          </w:p>
        </w:tc>
        <w:tc>
          <w:tcPr>
            <w:tcW w:w="1320" w:type="dxa"/>
            <w:vAlign w:val="bottom"/>
            <w:shd w:val="clear" w:color="auto" w:fill="CDDAE6"/>
          </w:tcPr>
          <w:p>
            <w:pPr>
              <w:ind w:left="40"/>
              <w:spacing w:after="0"/>
              <w:rPr>
                <w:sz w:val="20"/>
                <w:szCs w:val="20"/>
                <w:color w:val="auto"/>
              </w:rPr>
            </w:pPr>
            <w:r>
              <w:rPr>
                <w:rFonts w:ascii="Arial" w:cs="Arial" w:eastAsia="Arial" w:hAnsi="Arial"/>
                <w:sz w:val="18"/>
                <w:szCs w:val="18"/>
                <w:color w:val="auto"/>
              </w:rPr>
              <w:t>service period.</w:t>
            </w:r>
          </w:p>
        </w:tc>
        <w:tc>
          <w:tcPr>
            <w:tcW w:w="1360" w:type="dxa"/>
            <w:vAlign w:val="bottom"/>
            <w:shd w:val="clear" w:color="auto" w:fill="CDDAE6"/>
          </w:tcPr>
          <w:p>
            <w:pPr>
              <w:ind w:left="100"/>
              <w:spacing w:after="0"/>
              <w:rPr>
                <w:sz w:val="20"/>
                <w:szCs w:val="20"/>
                <w:color w:val="auto"/>
              </w:rPr>
            </w:pPr>
            <w:r>
              <w:rPr>
                <w:rFonts w:ascii="Arial" w:cs="Arial" w:eastAsia="Arial" w:hAnsi="Arial"/>
                <w:sz w:val="18"/>
                <w:szCs w:val="18"/>
                <w:color w:val="auto"/>
              </w:rPr>
              <w:t>service period.</w:t>
            </w:r>
          </w:p>
        </w:tc>
        <w:tc>
          <w:tcPr>
            <w:tcW w:w="1400" w:type="dxa"/>
            <w:vAlign w:val="bottom"/>
            <w:shd w:val="clear" w:color="auto" w:fill="CDDAE6"/>
          </w:tcPr>
          <w:p>
            <w:pPr>
              <w:spacing w:after="0"/>
              <w:rPr>
                <w:sz w:val="18"/>
                <w:szCs w:val="18"/>
                <w:color w:val="auto"/>
              </w:rPr>
            </w:pPr>
          </w:p>
        </w:tc>
        <w:tc>
          <w:tcPr>
            <w:tcW w:w="1400" w:type="dxa"/>
            <w:vAlign w:val="bottom"/>
            <w:shd w:val="clear" w:color="auto" w:fill="CDDAE6"/>
          </w:tcPr>
          <w:p>
            <w:pPr>
              <w:ind w:left="100"/>
              <w:spacing w:after="0"/>
              <w:rPr>
                <w:sz w:val="20"/>
                <w:szCs w:val="20"/>
                <w:color w:val="auto"/>
              </w:rPr>
            </w:pPr>
            <w:r>
              <w:rPr>
                <w:rFonts w:ascii="Arial" w:cs="Arial" w:eastAsia="Arial" w:hAnsi="Arial"/>
                <w:sz w:val="18"/>
                <w:szCs w:val="18"/>
                <w:color w:val="auto"/>
              </w:rPr>
              <w:t>service period.</w:t>
            </w:r>
          </w:p>
        </w:tc>
        <w:tc>
          <w:tcPr>
            <w:tcW w:w="1400" w:type="dxa"/>
            <w:vAlign w:val="bottom"/>
            <w:shd w:val="clear" w:color="auto" w:fill="CDDA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DDAE6"/>
          </w:tcPr>
          <w:p>
            <w:pPr>
              <w:spacing w:after="0"/>
              <w:rPr>
                <w:sz w:val="18"/>
                <w:szCs w:val="18"/>
                <w:color w:val="auto"/>
              </w:rPr>
            </w:pPr>
          </w:p>
        </w:tc>
        <w:tc>
          <w:tcPr>
            <w:tcW w:w="1480" w:type="dxa"/>
            <w:vAlign w:val="bottom"/>
            <w:shd w:val="clear" w:color="auto" w:fill="CDDAE6"/>
          </w:tcPr>
          <w:p>
            <w:pPr>
              <w:ind w:left="140"/>
              <w:spacing w:after="0"/>
              <w:rPr>
                <w:sz w:val="20"/>
                <w:szCs w:val="20"/>
                <w:color w:val="auto"/>
              </w:rPr>
            </w:pPr>
            <w:r>
              <w:rPr>
                <w:rFonts w:ascii="Arial" w:cs="Arial" w:eastAsia="Arial" w:hAnsi="Arial"/>
                <w:sz w:val="18"/>
                <w:szCs w:val="18"/>
                <w:color w:val="auto"/>
              </w:rPr>
              <w:t>reflect reduced</w:t>
            </w:r>
          </w:p>
        </w:tc>
        <w:tc>
          <w:tcPr>
            <w:tcW w:w="1320" w:type="dxa"/>
            <w:vAlign w:val="bottom"/>
            <w:shd w:val="clear" w:color="auto" w:fill="CDDAE6"/>
          </w:tcPr>
          <w:p>
            <w:pPr>
              <w:ind w:left="40"/>
              <w:spacing w:after="0"/>
              <w:rPr>
                <w:sz w:val="20"/>
                <w:szCs w:val="20"/>
                <w:color w:val="auto"/>
              </w:rPr>
            </w:pPr>
            <w:r>
              <w:rPr>
                <w:rFonts w:ascii="Arial" w:cs="Arial" w:eastAsia="Arial" w:hAnsi="Arial"/>
                <w:sz w:val="18"/>
                <w:szCs w:val="18"/>
                <w:color w:val="auto"/>
              </w:rPr>
              <w:t>Payment level</w:t>
            </w:r>
          </w:p>
        </w:tc>
        <w:tc>
          <w:tcPr>
            <w:tcW w:w="1360" w:type="dxa"/>
            <w:vAlign w:val="bottom"/>
            <w:shd w:val="clear" w:color="auto" w:fill="CDDAE6"/>
          </w:tcPr>
          <w:p>
            <w:pPr>
              <w:ind w:left="100"/>
              <w:spacing w:after="0"/>
              <w:rPr>
                <w:sz w:val="20"/>
                <w:szCs w:val="20"/>
                <w:color w:val="auto"/>
              </w:rPr>
            </w:pPr>
            <w:r>
              <w:rPr>
                <w:rFonts w:ascii="Arial" w:cs="Arial" w:eastAsia="Arial" w:hAnsi="Arial"/>
                <w:sz w:val="18"/>
                <w:szCs w:val="18"/>
                <w:color w:val="auto"/>
              </w:rPr>
              <w:t>Payment level</w:t>
            </w:r>
          </w:p>
        </w:tc>
        <w:tc>
          <w:tcPr>
            <w:tcW w:w="1400" w:type="dxa"/>
            <w:vAlign w:val="bottom"/>
            <w:shd w:val="clear" w:color="auto" w:fill="CDDAE6"/>
          </w:tcPr>
          <w:p>
            <w:pPr>
              <w:spacing w:after="0"/>
              <w:rPr>
                <w:sz w:val="18"/>
                <w:szCs w:val="18"/>
                <w:color w:val="auto"/>
              </w:rPr>
            </w:pPr>
          </w:p>
        </w:tc>
        <w:tc>
          <w:tcPr>
            <w:tcW w:w="1400" w:type="dxa"/>
            <w:vAlign w:val="bottom"/>
            <w:shd w:val="clear" w:color="auto" w:fill="CDDAE6"/>
          </w:tcPr>
          <w:p>
            <w:pPr>
              <w:ind w:left="100"/>
              <w:spacing w:after="0"/>
              <w:rPr>
                <w:sz w:val="20"/>
                <w:szCs w:val="20"/>
                <w:color w:val="auto"/>
              </w:rPr>
            </w:pPr>
            <w:r>
              <w:rPr>
                <w:rFonts w:ascii="Arial" w:cs="Arial" w:eastAsia="Arial" w:hAnsi="Arial"/>
                <w:sz w:val="18"/>
                <w:szCs w:val="18"/>
                <w:color w:val="auto"/>
              </w:rPr>
              <w:t>Payment level</w:t>
            </w:r>
          </w:p>
        </w:tc>
        <w:tc>
          <w:tcPr>
            <w:tcW w:w="1400" w:type="dxa"/>
            <w:vAlign w:val="bottom"/>
            <w:shd w:val="clear" w:color="auto" w:fill="CDDA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DDAE6"/>
          </w:tcPr>
          <w:p>
            <w:pPr>
              <w:spacing w:after="0"/>
              <w:rPr>
                <w:sz w:val="18"/>
                <w:szCs w:val="18"/>
                <w:color w:val="auto"/>
              </w:rPr>
            </w:pPr>
          </w:p>
        </w:tc>
        <w:tc>
          <w:tcPr>
            <w:tcW w:w="1480" w:type="dxa"/>
            <w:vAlign w:val="bottom"/>
            <w:shd w:val="clear" w:color="auto" w:fill="CDDAE6"/>
          </w:tcPr>
          <w:p>
            <w:pPr>
              <w:ind w:left="140"/>
              <w:spacing w:after="0"/>
              <w:rPr>
                <w:sz w:val="20"/>
                <w:szCs w:val="20"/>
                <w:color w:val="auto"/>
              </w:rPr>
            </w:pPr>
            <w:r>
              <w:rPr>
                <w:rFonts w:ascii="Arial" w:cs="Arial" w:eastAsia="Arial" w:hAnsi="Arial"/>
                <w:sz w:val="18"/>
                <w:szCs w:val="18"/>
                <w:color w:val="auto"/>
              </w:rPr>
              <w:t>service period.</w:t>
            </w:r>
          </w:p>
        </w:tc>
        <w:tc>
          <w:tcPr>
            <w:tcW w:w="1320" w:type="dxa"/>
            <w:vAlign w:val="bottom"/>
            <w:shd w:val="clear" w:color="auto" w:fill="CDDAE6"/>
          </w:tcPr>
          <w:p>
            <w:pPr>
              <w:ind w:left="40"/>
              <w:spacing w:after="0"/>
              <w:rPr>
                <w:sz w:val="20"/>
                <w:szCs w:val="20"/>
                <w:color w:val="auto"/>
              </w:rPr>
            </w:pPr>
            <w:r>
              <w:rPr>
                <w:rFonts w:ascii="Arial" w:cs="Arial" w:eastAsia="Arial" w:hAnsi="Arial"/>
                <w:sz w:val="18"/>
                <w:szCs w:val="18"/>
                <w:color w:val="auto"/>
              </w:rPr>
              <w:t>for the</w:t>
            </w:r>
          </w:p>
        </w:tc>
        <w:tc>
          <w:tcPr>
            <w:tcW w:w="1360" w:type="dxa"/>
            <w:vAlign w:val="bottom"/>
            <w:shd w:val="clear" w:color="auto" w:fill="CDDAE6"/>
          </w:tcPr>
          <w:p>
            <w:pPr>
              <w:ind w:left="100"/>
              <w:spacing w:after="0"/>
              <w:rPr>
                <w:sz w:val="20"/>
                <w:szCs w:val="20"/>
                <w:color w:val="auto"/>
              </w:rPr>
            </w:pPr>
            <w:r>
              <w:rPr>
                <w:rFonts w:ascii="Arial" w:cs="Arial" w:eastAsia="Arial" w:hAnsi="Arial"/>
                <w:sz w:val="18"/>
                <w:szCs w:val="18"/>
                <w:color w:val="auto"/>
              </w:rPr>
              <w:t>for the</w:t>
            </w:r>
          </w:p>
        </w:tc>
        <w:tc>
          <w:tcPr>
            <w:tcW w:w="1400" w:type="dxa"/>
            <w:vAlign w:val="bottom"/>
            <w:shd w:val="clear" w:color="auto" w:fill="CDDAE6"/>
          </w:tcPr>
          <w:p>
            <w:pPr>
              <w:spacing w:after="0"/>
              <w:rPr>
                <w:sz w:val="18"/>
                <w:szCs w:val="18"/>
                <w:color w:val="auto"/>
              </w:rPr>
            </w:pPr>
          </w:p>
        </w:tc>
        <w:tc>
          <w:tcPr>
            <w:tcW w:w="1400" w:type="dxa"/>
            <w:vAlign w:val="bottom"/>
            <w:shd w:val="clear" w:color="auto" w:fill="CDDAE6"/>
          </w:tcPr>
          <w:p>
            <w:pPr>
              <w:ind w:left="100"/>
              <w:spacing w:after="0"/>
              <w:rPr>
                <w:sz w:val="20"/>
                <w:szCs w:val="20"/>
                <w:color w:val="auto"/>
              </w:rPr>
            </w:pPr>
            <w:r>
              <w:rPr>
                <w:rFonts w:ascii="Arial" w:cs="Arial" w:eastAsia="Arial" w:hAnsi="Arial"/>
                <w:sz w:val="18"/>
                <w:szCs w:val="18"/>
                <w:color w:val="auto"/>
              </w:rPr>
              <w:t>for the</w:t>
            </w:r>
          </w:p>
        </w:tc>
        <w:tc>
          <w:tcPr>
            <w:tcW w:w="1400" w:type="dxa"/>
            <w:vAlign w:val="bottom"/>
            <w:shd w:val="clear" w:color="auto" w:fill="CDDA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DDAE6"/>
          </w:tcPr>
          <w:p>
            <w:pPr>
              <w:spacing w:after="0"/>
              <w:rPr>
                <w:sz w:val="18"/>
                <w:szCs w:val="18"/>
                <w:color w:val="auto"/>
              </w:rPr>
            </w:pPr>
          </w:p>
        </w:tc>
        <w:tc>
          <w:tcPr>
            <w:tcW w:w="1480" w:type="dxa"/>
            <w:vAlign w:val="bottom"/>
            <w:shd w:val="clear" w:color="auto" w:fill="CDDAE6"/>
          </w:tcPr>
          <w:p>
            <w:pPr>
              <w:ind w:left="140"/>
              <w:spacing w:after="0"/>
              <w:rPr>
                <w:sz w:val="20"/>
                <w:szCs w:val="20"/>
                <w:color w:val="auto"/>
              </w:rPr>
            </w:pPr>
            <w:r>
              <w:rPr>
                <w:rFonts w:ascii="Arial" w:cs="Arial" w:eastAsia="Arial" w:hAnsi="Arial"/>
                <w:sz w:val="15"/>
                <w:szCs w:val="15"/>
                <w:color w:val="auto"/>
              </w:rPr>
              <w:t>(2)</w:t>
            </w:r>
          </w:p>
        </w:tc>
        <w:tc>
          <w:tcPr>
            <w:tcW w:w="1320" w:type="dxa"/>
            <w:vAlign w:val="bottom"/>
            <w:shd w:val="clear" w:color="auto" w:fill="CDDAE6"/>
          </w:tcPr>
          <w:p>
            <w:pPr>
              <w:ind w:left="40"/>
              <w:spacing w:after="0"/>
              <w:rPr>
                <w:sz w:val="20"/>
                <w:szCs w:val="20"/>
                <w:color w:val="auto"/>
              </w:rPr>
            </w:pPr>
            <w:r>
              <w:rPr>
                <w:rFonts w:ascii="Arial" w:cs="Arial" w:eastAsia="Arial" w:hAnsi="Arial"/>
                <w:sz w:val="18"/>
                <w:szCs w:val="18"/>
                <w:color w:val="auto"/>
              </w:rPr>
              <w:t>remaining</w:t>
            </w:r>
          </w:p>
        </w:tc>
        <w:tc>
          <w:tcPr>
            <w:tcW w:w="1360" w:type="dxa"/>
            <w:vAlign w:val="bottom"/>
            <w:shd w:val="clear" w:color="auto" w:fill="CDDAE6"/>
          </w:tcPr>
          <w:p>
            <w:pPr>
              <w:ind w:left="100"/>
              <w:spacing w:after="0"/>
              <w:rPr>
                <w:sz w:val="20"/>
                <w:szCs w:val="20"/>
                <w:color w:val="auto"/>
              </w:rPr>
            </w:pPr>
            <w:r>
              <w:rPr>
                <w:rFonts w:ascii="Arial" w:cs="Arial" w:eastAsia="Arial" w:hAnsi="Arial"/>
                <w:sz w:val="18"/>
                <w:szCs w:val="18"/>
                <w:color w:val="auto"/>
              </w:rPr>
              <w:t>remaining</w:t>
            </w:r>
          </w:p>
        </w:tc>
        <w:tc>
          <w:tcPr>
            <w:tcW w:w="1400" w:type="dxa"/>
            <w:vAlign w:val="bottom"/>
            <w:shd w:val="clear" w:color="auto" w:fill="CDDAE6"/>
          </w:tcPr>
          <w:p>
            <w:pPr>
              <w:spacing w:after="0"/>
              <w:rPr>
                <w:sz w:val="18"/>
                <w:szCs w:val="18"/>
                <w:color w:val="auto"/>
              </w:rPr>
            </w:pPr>
          </w:p>
        </w:tc>
        <w:tc>
          <w:tcPr>
            <w:tcW w:w="1400" w:type="dxa"/>
            <w:vAlign w:val="bottom"/>
            <w:shd w:val="clear" w:color="auto" w:fill="CDDAE6"/>
          </w:tcPr>
          <w:p>
            <w:pPr>
              <w:ind w:left="100"/>
              <w:spacing w:after="0"/>
              <w:rPr>
                <w:sz w:val="20"/>
                <w:szCs w:val="20"/>
                <w:color w:val="auto"/>
              </w:rPr>
            </w:pPr>
            <w:r>
              <w:rPr>
                <w:rFonts w:ascii="Arial" w:cs="Arial" w:eastAsia="Arial" w:hAnsi="Arial"/>
                <w:sz w:val="18"/>
                <w:szCs w:val="18"/>
                <w:color w:val="auto"/>
              </w:rPr>
              <w:t>remaining</w:t>
            </w:r>
          </w:p>
        </w:tc>
        <w:tc>
          <w:tcPr>
            <w:tcW w:w="1400" w:type="dxa"/>
            <w:vAlign w:val="bottom"/>
            <w:shd w:val="clear" w:color="auto" w:fill="CDDA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DDAE6"/>
          </w:tcPr>
          <w:p>
            <w:pPr>
              <w:spacing w:after="0"/>
              <w:rPr>
                <w:sz w:val="18"/>
                <w:szCs w:val="18"/>
                <w:color w:val="auto"/>
              </w:rPr>
            </w:pPr>
          </w:p>
        </w:tc>
        <w:tc>
          <w:tcPr>
            <w:tcW w:w="1480" w:type="dxa"/>
            <w:vAlign w:val="bottom"/>
            <w:shd w:val="clear" w:color="auto" w:fill="CDDAE6"/>
          </w:tcPr>
          <w:p>
            <w:pPr>
              <w:spacing w:after="0"/>
              <w:rPr>
                <w:sz w:val="18"/>
                <w:szCs w:val="18"/>
                <w:color w:val="auto"/>
              </w:rPr>
            </w:pPr>
          </w:p>
        </w:tc>
        <w:tc>
          <w:tcPr>
            <w:tcW w:w="1320" w:type="dxa"/>
            <w:vAlign w:val="bottom"/>
            <w:shd w:val="clear" w:color="auto" w:fill="CDDAE6"/>
          </w:tcPr>
          <w:p>
            <w:pPr>
              <w:ind w:left="40"/>
              <w:spacing w:after="0"/>
              <w:rPr>
                <w:sz w:val="20"/>
                <w:szCs w:val="20"/>
                <w:color w:val="auto"/>
              </w:rPr>
            </w:pPr>
            <w:r>
              <w:rPr>
                <w:rFonts w:ascii="Arial" w:cs="Arial" w:eastAsia="Arial" w:hAnsi="Arial"/>
                <w:sz w:val="18"/>
                <w:szCs w:val="18"/>
                <w:color w:val="auto"/>
                <w:w w:val="96"/>
              </w:rPr>
              <w:t>awards is based</w:t>
            </w:r>
          </w:p>
        </w:tc>
        <w:tc>
          <w:tcPr>
            <w:tcW w:w="1360" w:type="dxa"/>
            <w:vAlign w:val="bottom"/>
            <w:shd w:val="clear" w:color="auto" w:fill="CDDAE6"/>
          </w:tcPr>
          <w:p>
            <w:pPr>
              <w:ind w:left="100"/>
              <w:spacing w:after="0"/>
              <w:rPr>
                <w:sz w:val="20"/>
                <w:szCs w:val="20"/>
                <w:color w:val="auto"/>
              </w:rPr>
            </w:pPr>
            <w:r>
              <w:rPr>
                <w:rFonts w:ascii="Arial" w:cs="Arial" w:eastAsia="Arial" w:hAnsi="Arial"/>
                <w:sz w:val="18"/>
                <w:szCs w:val="18"/>
                <w:color w:val="auto"/>
                <w:w w:val="95"/>
              </w:rPr>
              <w:t>awards is based</w:t>
            </w:r>
          </w:p>
        </w:tc>
        <w:tc>
          <w:tcPr>
            <w:tcW w:w="1400" w:type="dxa"/>
            <w:vAlign w:val="bottom"/>
            <w:shd w:val="clear" w:color="auto" w:fill="CDDAE6"/>
          </w:tcPr>
          <w:p>
            <w:pPr>
              <w:spacing w:after="0"/>
              <w:rPr>
                <w:sz w:val="18"/>
                <w:szCs w:val="18"/>
                <w:color w:val="auto"/>
              </w:rPr>
            </w:pPr>
          </w:p>
        </w:tc>
        <w:tc>
          <w:tcPr>
            <w:tcW w:w="1400" w:type="dxa"/>
            <w:vAlign w:val="bottom"/>
            <w:shd w:val="clear" w:color="auto" w:fill="CDDAE6"/>
          </w:tcPr>
          <w:p>
            <w:pPr>
              <w:ind w:left="100"/>
              <w:spacing w:after="0"/>
              <w:rPr>
                <w:sz w:val="20"/>
                <w:szCs w:val="20"/>
                <w:color w:val="auto"/>
              </w:rPr>
            </w:pPr>
            <w:r>
              <w:rPr>
                <w:rFonts w:ascii="Arial" w:cs="Arial" w:eastAsia="Arial" w:hAnsi="Arial"/>
                <w:sz w:val="18"/>
                <w:szCs w:val="18"/>
                <w:color w:val="auto"/>
                <w:w w:val="98"/>
              </w:rPr>
              <w:t>awards is based</w:t>
            </w:r>
          </w:p>
        </w:tc>
        <w:tc>
          <w:tcPr>
            <w:tcW w:w="1400" w:type="dxa"/>
            <w:vAlign w:val="bottom"/>
            <w:shd w:val="clear" w:color="auto" w:fill="CDDA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DDAE6"/>
          </w:tcPr>
          <w:p>
            <w:pPr>
              <w:spacing w:after="0"/>
              <w:rPr>
                <w:sz w:val="18"/>
                <w:szCs w:val="18"/>
                <w:color w:val="auto"/>
              </w:rPr>
            </w:pPr>
          </w:p>
        </w:tc>
        <w:tc>
          <w:tcPr>
            <w:tcW w:w="1480" w:type="dxa"/>
            <w:vAlign w:val="bottom"/>
            <w:shd w:val="clear" w:color="auto" w:fill="CDDAE6"/>
          </w:tcPr>
          <w:p>
            <w:pPr>
              <w:spacing w:after="0"/>
              <w:rPr>
                <w:sz w:val="18"/>
                <w:szCs w:val="18"/>
                <w:color w:val="auto"/>
              </w:rPr>
            </w:pPr>
          </w:p>
        </w:tc>
        <w:tc>
          <w:tcPr>
            <w:tcW w:w="1320" w:type="dxa"/>
            <w:vAlign w:val="bottom"/>
            <w:shd w:val="clear" w:color="auto" w:fill="CDDAE6"/>
          </w:tcPr>
          <w:p>
            <w:pPr>
              <w:ind w:left="40"/>
              <w:spacing w:after="0"/>
              <w:rPr>
                <w:sz w:val="20"/>
                <w:szCs w:val="20"/>
                <w:color w:val="auto"/>
              </w:rPr>
            </w:pPr>
            <w:r>
              <w:rPr>
                <w:rFonts w:ascii="Arial" w:cs="Arial" w:eastAsia="Arial" w:hAnsi="Arial"/>
                <w:sz w:val="18"/>
                <w:szCs w:val="18"/>
                <w:color w:val="auto"/>
              </w:rPr>
              <w:t>on actual</w:t>
            </w:r>
          </w:p>
        </w:tc>
        <w:tc>
          <w:tcPr>
            <w:tcW w:w="1360" w:type="dxa"/>
            <w:vAlign w:val="bottom"/>
            <w:shd w:val="clear" w:color="auto" w:fill="CDDAE6"/>
          </w:tcPr>
          <w:p>
            <w:pPr>
              <w:ind w:left="100"/>
              <w:spacing w:after="0"/>
              <w:rPr>
                <w:sz w:val="20"/>
                <w:szCs w:val="20"/>
                <w:color w:val="auto"/>
              </w:rPr>
            </w:pPr>
            <w:r>
              <w:rPr>
                <w:rFonts w:ascii="Arial" w:cs="Arial" w:eastAsia="Arial" w:hAnsi="Arial"/>
                <w:sz w:val="18"/>
                <w:szCs w:val="18"/>
                <w:color w:val="auto"/>
              </w:rPr>
              <w:t>on actual</w:t>
            </w:r>
          </w:p>
        </w:tc>
        <w:tc>
          <w:tcPr>
            <w:tcW w:w="1400" w:type="dxa"/>
            <w:vAlign w:val="bottom"/>
            <w:shd w:val="clear" w:color="auto" w:fill="CDDAE6"/>
          </w:tcPr>
          <w:p>
            <w:pPr>
              <w:spacing w:after="0"/>
              <w:rPr>
                <w:sz w:val="18"/>
                <w:szCs w:val="18"/>
                <w:color w:val="auto"/>
              </w:rPr>
            </w:pPr>
          </w:p>
        </w:tc>
        <w:tc>
          <w:tcPr>
            <w:tcW w:w="1400" w:type="dxa"/>
            <w:vAlign w:val="bottom"/>
            <w:shd w:val="clear" w:color="auto" w:fill="CDDAE6"/>
          </w:tcPr>
          <w:p>
            <w:pPr>
              <w:ind w:left="100"/>
              <w:spacing w:after="0"/>
              <w:rPr>
                <w:sz w:val="20"/>
                <w:szCs w:val="20"/>
                <w:color w:val="auto"/>
              </w:rPr>
            </w:pPr>
            <w:r>
              <w:rPr>
                <w:rFonts w:ascii="Arial" w:cs="Arial" w:eastAsia="Arial" w:hAnsi="Arial"/>
                <w:sz w:val="18"/>
                <w:szCs w:val="18"/>
                <w:color w:val="auto"/>
              </w:rPr>
              <w:t>on actual</w:t>
            </w:r>
          </w:p>
        </w:tc>
        <w:tc>
          <w:tcPr>
            <w:tcW w:w="1400" w:type="dxa"/>
            <w:vAlign w:val="bottom"/>
            <w:shd w:val="clear" w:color="auto" w:fill="CDDA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DDAE6"/>
          </w:tcPr>
          <w:p>
            <w:pPr>
              <w:spacing w:after="0"/>
              <w:rPr>
                <w:sz w:val="18"/>
                <w:szCs w:val="18"/>
                <w:color w:val="auto"/>
              </w:rPr>
            </w:pPr>
          </w:p>
        </w:tc>
        <w:tc>
          <w:tcPr>
            <w:tcW w:w="1480" w:type="dxa"/>
            <w:vAlign w:val="bottom"/>
            <w:shd w:val="clear" w:color="auto" w:fill="CDDAE6"/>
          </w:tcPr>
          <w:p>
            <w:pPr>
              <w:spacing w:after="0"/>
              <w:rPr>
                <w:sz w:val="18"/>
                <w:szCs w:val="18"/>
                <w:color w:val="auto"/>
              </w:rPr>
            </w:pPr>
          </w:p>
        </w:tc>
        <w:tc>
          <w:tcPr>
            <w:tcW w:w="1320" w:type="dxa"/>
            <w:vAlign w:val="bottom"/>
            <w:shd w:val="clear" w:color="auto" w:fill="CDDAE6"/>
          </w:tcPr>
          <w:p>
            <w:pPr>
              <w:ind w:left="40"/>
              <w:spacing w:after="0"/>
              <w:rPr>
                <w:sz w:val="20"/>
                <w:szCs w:val="20"/>
                <w:color w:val="auto"/>
              </w:rPr>
            </w:pPr>
            <w:r>
              <w:rPr>
                <w:rFonts w:ascii="Arial" w:cs="Arial" w:eastAsia="Arial" w:hAnsi="Arial"/>
                <w:sz w:val="18"/>
                <w:szCs w:val="18"/>
                <w:color w:val="auto"/>
                <w:w w:val="99"/>
              </w:rPr>
              <w:t>performance for</w:t>
            </w:r>
          </w:p>
        </w:tc>
        <w:tc>
          <w:tcPr>
            <w:tcW w:w="1360" w:type="dxa"/>
            <w:vAlign w:val="bottom"/>
            <w:shd w:val="clear" w:color="auto" w:fill="CDDAE6"/>
          </w:tcPr>
          <w:p>
            <w:pPr>
              <w:ind w:left="100"/>
              <w:spacing w:after="0"/>
              <w:rPr>
                <w:sz w:val="20"/>
                <w:szCs w:val="20"/>
                <w:color w:val="auto"/>
              </w:rPr>
            </w:pPr>
            <w:r>
              <w:rPr>
                <w:rFonts w:ascii="Arial" w:cs="Arial" w:eastAsia="Arial" w:hAnsi="Arial"/>
                <w:sz w:val="18"/>
                <w:szCs w:val="18"/>
                <w:color w:val="auto"/>
                <w:w w:val="97"/>
              </w:rPr>
              <w:t>performance for</w:t>
            </w:r>
          </w:p>
        </w:tc>
        <w:tc>
          <w:tcPr>
            <w:tcW w:w="1400" w:type="dxa"/>
            <w:vAlign w:val="bottom"/>
            <w:shd w:val="clear" w:color="auto" w:fill="CDDAE6"/>
          </w:tcPr>
          <w:p>
            <w:pPr>
              <w:spacing w:after="0"/>
              <w:rPr>
                <w:sz w:val="18"/>
                <w:szCs w:val="18"/>
                <w:color w:val="auto"/>
              </w:rPr>
            </w:pPr>
          </w:p>
        </w:tc>
        <w:tc>
          <w:tcPr>
            <w:tcW w:w="1400" w:type="dxa"/>
            <w:vAlign w:val="bottom"/>
            <w:shd w:val="clear" w:color="auto" w:fill="CDDAE6"/>
          </w:tcPr>
          <w:p>
            <w:pPr>
              <w:ind w:left="100"/>
              <w:spacing w:after="0"/>
              <w:rPr>
                <w:sz w:val="20"/>
                <w:szCs w:val="20"/>
                <w:color w:val="auto"/>
              </w:rPr>
            </w:pPr>
            <w:r>
              <w:rPr>
                <w:rFonts w:ascii="Arial" w:cs="Arial" w:eastAsia="Arial" w:hAnsi="Arial"/>
                <w:sz w:val="18"/>
                <w:szCs w:val="18"/>
                <w:color w:val="auto"/>
              </w:rPr>
              <w:t>performance for</w:t>
            </w:r>
          </w:p>
        </w:tc>
        <w:tc>
          <w:tcPr>
            <w:tcW w:w="1400" w:type="dxa"/>
            <w:vAlign w:val="bottom"/>
            <w:shd w:val="clear" w:color="auto" w:fill="CDDA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DDAE6"/>
          </w:tcPr>
          <w:p>
            <w:pPr>
              <w:spacing w:after="0"/>
              <w:rPr>
                <w:sz w:val="18"/>
                <w:szCs w:val="18"/>
                <w:color w:val="auto"/>
              </w:rPr>
            </w:pPr>
          </w:p>
        </w:tc>
        <w:tc>
          <w:tcPr>
            <w:tcW w:w="1480" w:type="dxa"/>
            <w:vAlign w:val="bottom"/>
            <w:shd w:val="clear" w:color="auto" w:fill="CDDAE6"/>
          </w:tcPr>
          <w:p>
            <w:pPr>
              <w:spacing w:after="0"/>
              <w:rPr>
                <w:sz w:val="18"/>
                <w:szCs w:val="18"/>
                <w:color w:val="auto"/>
              </w:rPr>
            </w:pPr>
          </w:p>
        </w:tc>
        <w:tc>
          <w:tcPr>
            <w:tcW w:w="1320" w:type="dxa"/>
            <w:vAlign w:val="bottom"/>
            <w:shd w:val="clear" w:color="auto" w:fill="CDDAE6"/>
          </w:tcPr>
          <w:p>
            <w:pPr>
              <w:ind w:left="40"/>
              <w:spacing w:after="0"/>
              <w:rPr>
                <w:sz w:val="20"/>
                <w:szCs w:val="20"/>
                <w:color w:val="auto"/>
              </w:rPr>
            </w:pPr>
            <w:r>
              <w:rPr>
                <w:rFonts w:ascii="Arial" w:cs="Arial" w:eastAsia="Arial" w:hAnsi="Arial"/>
                <w:sz w:val="18"/>
                <w:szCs w:val="18"/>
                <w:color w:val="auto"/>
              </w:rPr>
              <w:t>the full</w:t>
            </w:r>
          </w:p>
        </w:tc>
        <w:tc>
          <w:tcPr>
            <w:tcW w:w="1360" w:type="dxa"/>
            <w:vAlign w:val="bottom"/>
            <w:shd w:val="clear" w:color="auto" w:fill="CDDAE6"/>
          </w:tcPr>
          <w:p>
            <w:pPr>
              <w:ind w:left="100"/>
              <w:spacing w:after="0"/>
              <w:rPr>
                <w:sz w:val="20"/>
                <w:szCs w:val="20"/>
                <w:color w:val="auto"/>
              </w:rPr>
            </w:pPr>
            <w:r>
              <w:rPr>
                <w:rFonts w:ascii="Arial" w:cs="Arial" w:eastAsia="Arial" w:hAnsi="Arial"/>
                <w:sz w:val="18"/>
                <w:szCs w:val="18"/>
                <w:color w:val="auto"/>
              </w:rPr>
              <w:t>the full</w:t>
            </w:r>
          </w:p>
        </w:tc>
        <w:tc>
          <w:tcPr>
            <w:tcW w:w="1400" w:type="dxa"/>
            <w:vAlign w:val="bottom"/>
            <w:shd w:val="clear" w:color="auto" w:fill="CDDAE6"/>
          </w:tcPr>
          <w:p>
            <w:pPr>
              <w:spacing w:after="0"/>
              <w:rPr>
                <w:sz w:val="18"/>
                <w:szCs w:val="18"/>
                <w:color w:val="auto"/>
              </w:rPr>
            </w:pPr>
          </w:p>
        </w:tc>
        <w:tc>
          <w:tcPr>
            <w:tcW w:w="1400" w:type="dxa"/>
            <w:vAlign w:val="bottom"/>
            <w:shd w:val="clear" w:color="auto" w:fill="CDDAE6"/>
          </w:tcPr>
          <w:p>
            <w:pPr>
              <w:ind w:left="100"/>
              <w:spacing w:after="0"/>
              <w:rPr>
                <w:sz w:val="20"/>
                <w:szCs w:val="20"/>
                <w:color w:val="auto"/>
              </w:rPr>
            </w:pPr>
            <w:r>
              <w:rPr>
                <w:rFonts w:ascii="Arial" w:cs="Arial" w:eastAsia="Arial" w:hAnsi="Arial"/>
                <w:sz w:val="18"/>
                <w:szCs w:val="18"/>
                <w:color w:val="auto"/>
              </w:rPr>
              <w:t>the full</w:t>
            </w:r>
          </w:p>
        </w:tc>
        <w:tc>
          <w:tcPr>
            <w:tcW w:w="1400" w:type="dxa"/>
            <w:vAlign w:val="bottom"/>
            <w:shd w:val="clear" w:color="auto" w:fill="CDDA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DDAE6"/>
          </w:tcPr>
          <w:p>
            <w:pPr>
              <w:spacing w:after="0"/>
              <w:rPr>
                <w:sz w:val="18"/>
                <w:szCs w:val="18"/>
                <w:color w:val="auto"/>
              </w:rPr>
            </w:pPr>
          </w:p>
        </w:tc>
        <w:tc>
          <w:tcPr>
            <w:tcW w:w="1480" w:type="dxa"/>
            <w:vAlign w:val="bottom"/>
            <w:shd w:val="clear" w:color="auto" w:fill="CDDAE6"/>
          </w:tcPr>
          <w:p>
            <w:pPr>
              <w:spacing w:after="0"/>
              <w:rPr>
                <w:sz w:val="18"/>
                <w:szCs w:val="18"/>
                <w:color w:val="auto"/>
              </w:rPr>
            </w:pPr>
          </w:p>
        </w:tc>
        <w:tc>
          <w:tcPr>
            <w:tcW w:w="1320" w:type="dxa"/>
            <w:vAlign w:val="bottom"/>
            <w:shd w:val="clear" w:color="auto" w:fill="CDDAE6"/>
          </w:tcPr>
          <w:p>
            <w:pPr>
              <w:ind w:left="40"/>
              <w:spacing w:after="0"/>
              <w:rPr>
                <w:sz w:val="20"/>
                <w:szCs w:val="20"/>
                <w:color w:val="auto"/>
              </w:rPr>
            </w:pPr>
            <w:r>
              <w:rPr>
                <w:rFonts w:ascii="Arial" w:cs="Arial" w:eastAsia="Arial" w:hAnsi="Arial"/>
                <w:sz w:val="18"/>
                <w:szCs w:val="18"/>
                <w:color w:val="auto"/>
              </w:rPr>
              <w:t>performance</w:t>
            </w:r>
          </w:p>
        </w:tc>
        <w:tc>
          <w:tcPr>
            <w:tcW w:w="1360" w:type="dxa"/>
            <w:vAlign w:val="bottom"/>
            <w:shd w:val="clear" w:color="auto" w:fill="CDDAE6"/>
          </w:tcPr>
          <w:p>
            <w:pPr>
              <w:ind w:left="100"/>
              <w:spacing w:after="0"/>
              <w:rPr>
                <w:sz w:val="20"/>
                <w:szCs w:val="20"/>
                <w:color w:val="auto"/>
              </w:rPr>
            </w:pPr>
            <w:r>
              <w:rPr>
                <w:rFonts w:ascii="Arial" w:cs="Arial" w:eastAsia="Arial" w:hAnsi="Arial"/>
                <w:sz w:val="18"/>
                <w:szCs w:val="18"/>
                <w:color w:val="auto"/>
              </w:rPr>
              <w:t>performance</w:t>
            </w:r>
          </w:p>
        </w:tc>
        <w:tc>
          <w:tcPr>
            <w:tcW w:w="1400" w:type="dxa"/>
            <w:vAlign w:val="bottom"/>
            <w:shd w:val="clear" w:color="auto" w:fill="CDDAE6"/>
          </w:tcPr>
          <w:p>
            <w:pPr>
              <w:spacing w:after="0"/>
              <w:rPr>
                <w:sz w:val="18"/>
                <w:szCs w:val="18"/>
                <w:color w:val="auto"/>
              </w:rPr>
            </w:pPr>
          </w:p>
        </w:tc>
        <w:tc>
          <w:tcPr>
            <w:tcW w:w="1400" w:type="dxa"/>
            <w:vAlign w:val="bottom"/>
            <w:shd w:val="clear" w:color="auto" w:fill="CDDAE6"/>
          </w:tcPr>
          <w:p>
            <w:pPr>
              <w:ind w:left="100"/>
              <w:spacing w:after="0"/>
              <w:rPr>
                <w:sz w:val="20"/>
                <w:szCs w:val="20"/>
                <w:color w:val="auto"/>
              </w:rPr>
            </w:pPr>
            <w:r>
              <w:rPr>
                <w:rFonts w:ascii="Arial" w:cs="Arial" w:eastAsia="Arial" w:hAnsi="Arial"/>
                <w:sz w:val="18"/>
                <w:szCs w:val="18"/>
                <w:color w:val="auto"/>
              </w:rPr>
              <w:t>performance</w:t>
            </w:r>
          </w:p>
        </w:tc>
        <w:tc>
          <w:tcPr>
            <w:tcW w:w="1400" w:type="dxa"/>
            <w:vAlign w:val="bottom"/>
            <w:shd w:val="clear" w:color="auto" w:fill="CDDAE6"/>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00" w:type="dxa"/>
            <w:vAlign w:val="bottom"/>
            <w:tcBorders>
              <w:bottom w:val="single" w:sz="8" w:color="005C7D"/>
            </w:tcBorders>
            <w:shd w:val="clear" w:color="auto" w:fill="CDDAE6"/>
          </w:tcPr>
          <w:p>
            <w:pPr>
              <w:spacing w:after="0"/>
              <w:rPr>
                <w:sz w:val="20"/>
                <w:szCs w:val="20"/>
                <w:color w:val="auto"/>
              </w:rPr>
            </w:pPr>
          </w:p>
        </w:tc>
        <w:tc>
          <w:tcPr>
            <w:tcW w:w="1480" w:type="dxa"/>
            <w:vAlign w:val="bottom"/>
            <w:tcBorders>
              <w:bottom w:val="single" w:sz="8" w:color="005C7D"/>
            </w:tcBorders>
            <w:shd w:val="clear" w:color="auto" w:fill="CDDAE6"/>
          </w:tcPr>
          <w:p>
            <w:pPr>
              <w:spacing w:after="0"/>
              <w:rPr>
                <w:sz w:val="20"/>
                <w:szCs w:val="20"/>
                <w:color w:val="auto"/>
              </w:rPr>
            </w:pPr>
          </w:p>
        </w:tc>
        <w:tc>
          <w:tcPr>
            <w:tcW w:w="1320" w:type="dxa"/>
            <w:vAlign w:val="bottom"/>
            <w:tcBorders>
              <w:bottom w:val="single" w:sz="8" w:color="005C7D"/>
            </w:tcBorders>
            <w:shd w:val="clear" w:color="auto" w:fill="CDDAE6"/>
          </w:tcPr>
          <w:p>
            <w:pPr>
              <w:ind w:left="40"/>
              <w:spacing w:after="0"/>
              <w:rPr>
                <w:sz w:val="20"/>
                <w:szCs w:val="20"/>
                <w:color w:val="auto"/>
              </w:rPr>
            </w:pPr>
            <w:r>
              <w:rPr>
                <w:rFonts w:ascii="Arial" w:cs="Arial" w:eastAsia="Arial" w:hAnsi="Arial"/>
                <w:sz w:val="18"/>
                <w:szCs w:val="18"/>
                <w:color w:val="auto"/>
              </w:rPr>
              <w:t>period.</w:t>
            </w:r>
          </w:p>
        </w:tc>
        <w:tc>
          <w:tcPr>
            <w:tcW w:w="1360" w:type="dxa"/>
            <w:vAlign w:val="bottom"/>
            <w:tcBorders>
              <w:bottom w:val="single" w:sz="8" w:color="005C7D"/>
            </w:tcBorders>
            <w:shd w:val="clear" w:color="auto" w:fill="CDDAE6"/>
          </w:tcPr>
          <w:p>
            <w:pPr>
              <w:ind w:left="100"/>
              <w:spacing w:after="0"/>
              <w:rPr>
                <w:sz w:val="20"/>
                <w:szCs w:val="20"/>
                <w:color w:val="auto"/>
              </w:rPr>
            </w:pPr>
            <w:r>
              <w:rPr>
                <w:rFonts w:ascii="Arial" w:cs="Arial" w:eastAsia="Arial" w:hAnsi="Arial"/>
                <w:sz w:val="18"/>
                <w:szCs w:val="18"/>
                <w:color w:val="auto"/>
              </w:rPr>
              <w:t>period.</w:t>
            </w:r>
          </w:p>
        </w:tc>
        <w:tc>
          <w:tcPr>
            <w:tcW w:w="1400" w:type="dxa"/>
            <w:vAlign w:val="bottom"/>
            <w:tcBorders>
              <w:bottom w:val="single" w:sz="8" w:color="005C7D"/>
            </w:tcBorders>
            <w:shd w:val="clear" w:color="auto" w:fill="CDDAE6"/>
          </w:tcPr>
          <w:p>
            <w:pPr>
              <w:spacing w:after="0"/>
              <w:rPr>
                <w:sz w:val="20"/>
                <w:szCs w:val="20"/>
                <w:color w:val="auto"/>
              </w:rPr>
            </w:pPr>
          </w:p>
        </w:tc>
        <w:tc>
          <w:tcPr>
            <w:tcW w:w="1400" w:type="dxa"/>
            <w:vAlign w:val="bottom"/>
            <w:tcBorders>
              <w:bottom w:val="single" w:sz="8" w:color="005C7D"/>
            </w:tcBorders>
            <w:shd w:val="clear" w:color="auto" w:fill="CDDAE6"/>
          </w:tcPr>
          <w:p>
            <w:pPr>
              <w:ind w:left="100"/>
              <w:spacing w:after="0"/>
              <w:rPr>
                <w:sz w:val="20"/>
                <w:szCs w:val="20"/>
                <w:color w:val="auto"/>
              </w:rPr>
            </w:pPr>
            <w:r>
              <w:rPr>
                <w:rFonts w:ascii="Arial" w:cs="Arial" w:eastAsia="Arial" w:hAnsi="Arial"/>
                <w:sz w:val="18"/>
                <w:szCs w:val="18"/>
                <w:color w:val="auto"/>
              </w:rPr>
              <w:t>period.</w:t>
            </w:r>
          </w:p>
        </w:tc>
        <w:tc>
          <w:tcPr>
            <w:tcW w:w="1400" w:type="dxa"/>
            <w:vAlign w:val="bottom"/>
            <w:tcBorders>
              <w:bottom w:val="single" w:sz="8" w:color="005C7D"/>
            </w:tcBorders>
            <w:shd w:val="clear" w:color="auto" w:fill="CDDAE6"/>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47" w:right="200" w:hanging="347"/>
        <w:spacing w:after="0" w:line="308" w:lineRule="auto"/>
        <w:tabs>
          <w:tab w:leader="none" w:pos="347" w:val="left"/>
        </w:tabs>
        <w:numPr>
          <w:ilvl w:val="0"/>
          <w:numId w:val="86"/>
        </w:numPr>
        <w:rPr>
          <w:rFonts w:ascii="Arial" w:cs="Arial" w:eastAsia="Arial" w:hAnsi="Arial"/>
          <w:sz w:val="14"/>
          <w:szCs w:val="14"/>
          <w:color w:val="auto"/>
        </w:rPr>
      </w:pPr>
      <w:r>
        <w:rPr>
          <w:rFonts w:ascii="Arial" w:cs="Arial" w:eastAsia="Arial" w:hAnsi="Arial"/>
          <w:sz w:val="14"/>
          <w:szCs w:val="14"/>
          <w:color w:val="auto"/>
        </w:rPr>
        <w:t>Qualified Retirement is defined as a termination of employment that satisfies all of the following: (a) the executive terminates employment more than one year after the grant date of the applicable award (or in the case of performance awards, one year after the first day of the applicable performance period), (b) the executive terminates employment on or after attaining age 65 and completing at least five years of service (which must be continuous through the date of termination except for a single break in service that does not exceed one year in length), (c) the executive is not subject to termination for cause by the Company at the time of the employee’s termination and (d) the executive is available for consultation following the termination of employment at the reasonable request of the Company.</w:t>
      </w:r>
    </w:p>
    <w:p>
      <w:pPr>
        <w:spacing w:after="0" w:line="2" w:lineRule="exact"/>
        <w:rPr>
          <w:rFonts w:ascii="Arial" w:cs="Arial" w:eastAsia="Arial" w:hAnsi="Arial"/>
          <w:sz w:val="14"/>
          <w:szCs w:val="14"/>
          <w:color w:val="auto"/>
        </w:rPr>
      </w:pPr>
    </w:p>
    <w:p>
      <w:pPr>
        <w:ind w:left="347" w:right="20" w:hanging="347"/>
        <w:spacing w:after="0" w:line="273" w:lineRule="auto"/>
        <w:tabs>
          <w:tab w:leader="none" w:pos="347"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 connection with a change in control, the Compensation Committee has the discretion to increase this payment (but not above the benefit payable for the Maximum level of performance achievement) to the extent (if any) that the Compensation Committee is able to assess that the Company’s progress towards achievement of the applicable performance measures, at or prior to the change in control, exceeds the Target performance level requirement as adjusted to reflect the reduced service period.</w:t>
      </w:r>
    </w:p>
    <w:p>
      <w:pPr>
        <w:spacing w:after="0" w:line="225" w:lineRule="exact"/>
        <w:rPr>
          <w:sz w:val="20"/>
          <w:szCs w:val="20"/>
          <w:color w:val="auto"/>
        </w:rPr>
      </w:pPr>
    </w:p>
    <w:p>
      <w:pPr>
        <w:ind w:left="7827"/>
        <w:spacing w:after="0"/>
        <w:tabs>
          <w:tab w:leader="none" w:pos="9326"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381000</wp:posOffset>
            </wp:positionV>
            <wp:extent cx="6071870" cy="4318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-107315</wp:posOffset>
            </wp:positionV>
            <wp:extent cx="163195" cy="1543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005C7D"/>
        </w:rPr>
        <w:t>TABULAR EXECUTIVE COMPENSATION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Change in Control or Termination of Employment</w:t>
      </w:r>
    </w:p>
    <w:p>
      <w:pPr>
        <w:spacing w:after="0" w:line="175" w:lineRule="exact"/>
        <w:rPr>
          <w:sz w:val="20"/>
          <w:szCs w:val="20"/>
          <w:color w:val="auto"/>
        </w:rPr>
      </w:pPr>
    </w:p>
    <w:p>
      <w:pPr>
        <w:ind w:right="200"/>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The following table quantifies the payments under our severance arrangements, long-term incentive awards and the Restoration SERP that would be made assuming that a change in control, death or disability occurred on December 30, 2016, the last business day of 2016. Payments under other plans that do not change as a result of a change in control or termination of employment are found elsewhere in this Proxy Statement under “2016 Pension Benefits” beginning on page </w:t>
      </w:r>
      <w:hyperlink w:anchor="page76">
        <w:r>
          <w:rPr>
            <w:rFonts w:ascii="Arial" w:cs="Arial" w:eastAsia="Arial" w:hAnsi="Arial"/>
            <w:sz w:val="16"/>
            <w:szCs w:val="16"/>
            <w:u w:val="single" w:color="auto"/>
            <w:color w:val="0000EE"/>
          </w:rPr>
          <w:t>70</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“2016 Nonqualified Deferred Compensation” on page </w:t>
      </w:r>
      <w:hyperlink w:anchor="page79">
        <w:r>
          <w:rPr>
            <w:rFonts w:ascii="Arial" w:cs="Arial" w:eastAsia="Arial" w:hAnsi="Arial"/>
            <w:sz w:val="16"/>
            <w:szCs w:val="16"/>
            <w:u w:val="single" w:color="auto"/>
            <w:color w:val="0000EE"/>
          </w:rPr>
          <w:t>73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and are not included in this table. In addition, payments that are available generally to salaried employees that do not discriminate in scope, terms or operation in favor of executive officers are also not included in this table.</w:t>
      </w:r>
    </w:p>
    <w:tbl>
      <w:tblPr>
        <w:tblLayout w:type="fixed"/>
        <w:tblInd w:w="0" w:type="dxa"/>
        <w:tblCellMar>
          <w:top w:w="0" w:type="dxa"/>
          <w:left w:w="0" w:type="dxa"/>
          <w:bottom w:w="0" w:type="dxa"/>
          <w:right w:w="0" w:type="dxa"/>
        </w:tblCellMar>
      </w:tblPr>
      <w:tr>
        <w:trPr>
          <w:trHeight w:val="222"/>
        </w:trPr>
        <w:tc>
          <w:tcPr>
            <w:tcW w:w="260" w:type="dxa"/>
            <w:vAlign w:val="bottom"/>
            <w:tcBorders>
              <w:top w:val="single" w:sz="8" w:color="005C7D"/>
            </w:tcBorders>
          </w:tcPr>
          <w:p>
            <w:pPr>
              <w:spacing w:after="0"/>
              <w:rPr>
                <w:sz w:val="19"/>
                <w:szCs w:val="19"/>
                <w:color w:val="auto"/>
              </w:rPr>
            </w:pPr>
          </w:p>
        </w:tc>
        <w:tc>
          <w:tcPr>
            <w:tcW w:w="6140" w:type="dxa"/>
            <w:vAlign w:val="bottom"/>
            <w:tcBorders>
              <w:top w:val="single" w:sz="8" w:color="005C7D"/>
            </w:tcBorders>
          </w:tcPr>
          <w:p>
            <w:pPr>
              <w:spacing w:after="0"/>
              <w:rPr>
                <w:sz w:val="19"/>
                <w:szCs w:val="19"/>
                <w:color w:val="auto"/>
              </w:rPr>
            </w:pPr>
          </w:p>
        </w:tc>
        <w:tc>
          <w:tcPr>
            <w:tcW w:w="1560" w:type="dxa"/>
            <w:vAlign w:val="bottom"/>
            <w:tcBorders>
              <w:top w:val="single" w:sz="8" w:color="005C7D"/>
            </w:tcBorders>
          </w:tcPr>
          <w:p>
            <w:pPr>
              <w:jc w:val="right"/>
              <w:spacing w:after="0"/>
              <w:rPr>
                <w:sz w:val="20"/>
                <w:szCs w:val="20"/>
                <w:color w:val="auto"/>
              </w:rPr>
            </w:pPr>
            <w:r>
              <w:rPr>
                <w:rFonts w:ascii="Arial" w:cs="Arial" w:eastAsia="Arial" w:hAnsi="Arial"/>
                <w:sz w:val="18"/>
                <w:szCs w:val="18"/>
                <w:b w:val="1"/>
                <w:bCs w:val="1"/>
                <w:color w:val="auto"/>
                <w:w w:val="94"/>
              </w:rPr>
              <w:t>Change in Control</w:t>
            </w:r>
          </w:p>
        </w:tc>
        <w:tc>
          <w:tcPr>
            <w:tcW w:w="160" w:type="dxa"/>
            <w:vAlign w:val="bottom"/>
            <w:tcBorders>
              <w:top w:val="single" w:sz="8" w:color="005C7D"/>
            </w:tcBorders>
          </w:tcPr>
          <w:p>
            <w:pPr>
              <w:spacing w:after="0"/>
              <w:rPr>
                <w:sz w:val="19"/>
                <w:szCs w:val="19"/>
                <w:color w:val="auto"/>
              </w:rPr>
            </w:pPr>
          </w:p>
        </w:tc>
        <w:tc>
          <w:tcPr>
            <w:tcW w:w="1440" w:type="dxa"/>
            <w:vAlign w:val="bottom"/>
            <w:tcBorders>
              <w:top w:val="single" w:sz="8" w:color="005C7D"/>
            </w:tcBorders>
            <w:gridSpan w:val="2"/>
          </w:tcPr>
          <w:p>
            <w:pPr>
              <w:ind w:left="60"/>
              <w:spacing w:after="0"/>
              <w:rPr>
                <w:sz w:val="20"/>
                <w:szCs w:val="20"/>
                <w:color w:val="auto"/>
              </w:rPr>
            </w:pPr>
            <w:r>
              <w:rPr>
                <w:rFonts w:ascii="Arial" w:cs="Arial" w:eastAsia="Arial" w:hAnsi="Arial"/>
                <w:sz w:val="18"/>
                <w:szCs w:val="18"/>
                <w:b w:val="1"/>
                <w:bCs w:val="1"/>
                <w:color w:val="auto"/>
              </w:rPr>
              <w:t>Death/Disability</w:t>
            </w:r>
          </w:p>
        </w:tc>
      </w:tr>
      <w:tr>
        <w:trPr>
          <w:trHeight w:val="241"/>
        </w:trPr>
        <w:tc>
          <w:tcPr>
            <w:tcW w:w="6400" w:type="dxa"/>
            <w:vAlign w:val="bottom"/>
            <w:tcBorders>
              <w:bottom w:val="single" w:sz="8" w:color="005C7D"/>
            </w:tcBorders>
            <w:gridSpan w:val="2"/>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1560" w:type="dxa"/>
            <w:vAlign w:val="bottom"/>
            <w:tcBorders>
              <w:bottom w:val="single" w:sz="8" w:color="005C7D"/>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005C7D"/>
            </w:tcBorders>
            <w:gridSpan w:val="2"/>
          </w:tcPr>
          <w:p>
            <w:pPr>
              <w:jc w:val="right"/>
              <w:ind w:right="47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005C7D"/>
            </w:tcBorders>
          </w:tcPr>
          <w:p>
            <w:pPr>
              <w:spacing w:after="0"/>
              <w:rPr>
                <w:sz w:val="20"/>
                <w:szCs w:val="20"/>
                <w:color w:val="auto"/>
              </w:rPr>
            </w:pPr>
          </w:p>
        </w:tc>
      </w:tr>
      <w:tr>
        <w:trPr>
          <w:trHeight w:val="243"/>
        </w:trPr>
        <w:tc>
          <w:tcPr>
            <w:tcW w:w="6400" w:type="dxa"/>
            <w:vAlign w:val="bottom"/>
            <w:gridSpan w:val="2"/>
            <w:shd w:val="clear" w:color="auto" w:fill="CDDAE6"/>
          </w:tcPr>
          <w:p>
            <w:pPr>
              <w:ind w:left="20"/>
              <w:spacing w:after="0"/>
              <w:rPr>
                <w:sz w:val="20"/>
                <w:szCs w:val="20"/>
                <w:color w:val="auto"/>
              </w:rPr>
            </w:pPr>
            <w:r>
              <w:rPr>
                <w:rFonts w:ascii="Arial" w:cs="Arial" w:eastAsia="Arial" w:hAnsi="Arial"/>
                <w:sz w:val="18"/>
                <w:szCs w:val="18"/>
                <w:b w:val="1"/>
                <w:bCs w:val="1"/>
                <w:color w:val="auto"/>
              </w:rPr>
              <w:t>Michael T. Strianese</w:t>
            </w:r>
          </w:p>
        </w:tc>
        <w:tc>
          <w:tcPr>
            <w:tcW w:w="1560" w:type="dxa"/>
            <w:vAlign w:val="bottom"/>
            <w:shd w:val="clear" w:color="auto" w:fill="CDDAE6"/>
          </w:tcPr>
          <w:p>
            <w:pPr>
              <w:spacing w:after="0"/>
              <w:rPr>
                <w:sz w:val="21"/>
                <w:szCs w:val="21"/>
                <w:color w:val="auto"/>
              </w:rPr>
            </w:pPr>
          </w:p>
        </w:tc>
        <w:tc>
          <w:tcPr>
            <w:tcW w:w="160" w:type="dxa"/>
            <w:vAlign w:val="bottom"/>
            <w:shd w:val="clear" w:color="auto" w:fill="CDDAE6"/>
          </w:tcPr>
          <w:p>
            <w:pPr>
              <w:spacing w:after="0"/>
              <w:rPr>
                <w:sz w:val="21"/>
                <w:szCs w:val="21"/>
                <w:color w:val="auto"/>
              </w:rPr>
            </w:pPr>
          </w:p>
        </w:tc>
        <w:tc>
          <w:tcPr>
            <w:tcW w:w="1360" w:type="dxa"/>
            <w:vAlign w:val="bottom"/>
            <w:shd w:val="clear" w:color="auto" w:fill="CDDAE6"/>
          </w:tcPr>
          <w:p>
            <w:pPr>
              <w:spacing w:after="0"/>
              <w:rPr>
                <w:sz w:val="21"/>
                <w:szCs w:val="21"/>
                <w:color w:val="auto"/>
              </w:rPr>
            </w:pPr>
          </w:p>
        </w:tc>
        <w:tc>
          <w:tcPr>
            <w:tcW w:w="80" w:type="dxa"/>
            <w:vAlign w:val="bottom"/>
            <w:shd w:val="clear" w:color="auto" w:fill="CDDAE6"/>
          </w:tcPr>
          <w:p>
            <w:pPr>
              <w:spacing w:after="0"/>
              <w:rPr>
                <w:sz w:val="21"/>
                <w:szCs w:val="21"/>
                <w:color w:val="auto"/>
              </w:rPr>
            </w:pPr>
          </w:p>
        </w:tc>
      </w:tr>
      <w:tr>
        <w:trPr>
          <w:trHeight w:val="284"/>
        </w:trPr>
        <w:tc>
          <w:tcPr>
            <w:tcW w:w="260" w:type="dxa"/>
            <w:vAlign w:val="bottom"/>
          </w:tcPr>
          <w:p>
            <w:pPr>
              <w:spacing w:after="0"/>
              <w:rPr>
                <w:sz w:val="24"/>
                <w:szCs w:val="24"/>
                <w:color w:val="auto"/>
              </w:rPr>
            </w:pPr>
          </w:p>
        </w:tc>
        <w:tc>
          <w:tcPr>
            <w:tcW w:w="6140" w:type="dxa"/>
            <w:vAlign w:val="bottom"/>
          </w:tcPr>
          <w:p>
            <w:pPr>
              <w:ind w:left="40"/>
              <w:spacing w:after="0" w:line="284" w:lineRule="exact"/>
              <w:rPr>
                <w:sz w:val="20"/>
                <w:szCs w:val="20"/>
                <w:color w:val="auto"/>
              </w:rPr>
            </w:pPr>
            <w:r>
              <w:rPr>
                <w:rFonts w:ascii="Arial" w:cs="Arial" w:eastAsia="Arial" w:hAnsi="Arial"/>
                <w:sz w:val="18"/>
                <w:szCs w:val="18"/>
                <w:color w:val="auto"/>
              </w:rPr>
              <w:t>Severance</w:t>
            </w:r>
            <w:r>
              <w:rPr>
                <w:rFonts w:ascii="Arial" w:cs="Arial" w:eastAsia="Arial" w:hAnsi="Arial"/>
                <w:sz w:val="29"/>
                <w:szCs w:val="29"/>
                <w:color w:val="auto"/>
                <w:vertAlign w:val="superscript"/>
              </w:rPr>
              <w:t>(1)(2)</w:t>
            </w:r>
          </w:p>
        </w:tc>
        <w:tc>
          <w:tcPr>
            <w:tcW w:w="1560" w:type="dxa"/>
            <w:vAlign w:val="bottom"/>
          </w:tcPr>
          <w:p>
            <w:pPr>
              <w:jc w:val="right"/>
              <w:spacing w:after="0"/>
              <w:rPr>
                <w:sz w:val="20"/>
                <w:szCs w:val="20"/>
                <w:color w:val="auto"/>
              </w:rPr>
            </w:pPr>
            <w:r>
              <w:rPr>
                <w:rFonts w:ascii="Arial" w:cs="Arial" w:eastAsia="Arial" w:hAnsi="Arial"/>
                <w:sz w:val="18"/>
                <w:szCs w:val="18"/>
                <w:color w:val="auto"/>
              </w:rPr>
              <w:t>8,566,900</w:t>
            </w:r>
          </w:p>
        </w:tc>
        <w:tc>
          <w:tcPr>
            <w:tcW w:w="16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84"/>
        </w:trPr>
        <w:tc>
          <w:tcPr>
            <w:tcW w:w="260" w:type="dxa"/>
            <w:vAlign w:val="bottom"/>
            <w:shd w:val="clear" w:color="auto" w:fill="CDDAE6"/>
          </w:tcPr>
          <w:p>
            <w:pPr>
              <w:spacing w:after="0"/>
              <w:rPr>
                <w:sz w:val="24"/>
                <w:szCs w:val="24"/>
                <w:color w:val="auto"/>
              </w:rPr>
            </w:pPr>
          </w:p>
        </w:tc>
        <w:tc>
          <w:tcPr>
            <w:tcW w:w="6140" w:type="dxa"/>
            <w:vAlign w:val="bottom"/>
            <w:shd w:val="clear" w:color="auto" w:fill="CDDAE6"/>
          </w:tcPr>
          <w:p>
            <w:pPr>
              <w:ind w:left="40"/>
              <w:spacing w:after="0" w:line="284" w:lineRule="exact"/>
              <w:rPr>
                <w:sz w:val="20"/>
                <w:szCs w:val="20"/>
                <w:color w:val="auto"/>
              </w:rPr>
            </w:pPr>
            <w:r>
              <w:rPr>
                <w:rFonts w:ascii="Arial" w:cs="Arial" w:eastAsia="Arial" w:hAnsi="Arial"/>
                <w:sz w:val="18"/>
                <w:szCs w:val="18"/>
                <w:color w:val="auto"/>
              </w:rPr>
              <w:t>Medical Benefits</w:t>
            </w:r>
            <w:r>
              <w:rPr>
                <w:rFonts w:ascii="Arial" w:cs="Arial" w:eastAsia="Arial" w:hAnsi="Arial"/>
                <w:sz w:val="29"/>
                <w:szCs w:val="29"/>
                <w:color w:val="auto"/>
                <w:vertAlign w:val="superscript"/>
              </w:rPr>
              <w:t>(1)(3)</w:t>
            </w:r>
          </w:p>
        </w:tc>
        <w:tc>
          <w:tcPr>
            <w:tcW w:w="1560" w:type="dxa"/>
            <w:vAlign w:val="bottom"/>
            <w:shd w:val="clear" w:color="auto" w:fill="CDDAE6"/>
          </w:tcPr>
          <w:p>
            <w:pPr>
              <w:jc w:val="right"/>
              <w:spacing w:after="0"/>
              <w:rPr>
                <w:sz w:val="20"/>
                <w:szCs w:val="20"/>
                <w:color w:val="auto"/>
              </w:rPr>
            </w:pPr>
            <w:r>
              <w:rPr>
                <w:rFonts w:ascii="Arial" w:cs="Arial" w:eastAsia="Arial" w:hAnsi="Arial"/>
                <w:sz w:val="18"/>
                <w:szCs w:val="18"/>
                <w:color w:val="auto"/>
              </w:rPr>
              <w:t>75,366</w:t>
            </w:r>
          </w:p>
        </w:tc>
        <w:tc>
          <w:tcPr>
            <w:tcW w:w="160" w:type="dxa"/>
            <w:vAlign w:val="bottom"/>
            <w:shd w:val="clear" w:color="auto" w:fill="CDDAE6"/>
          </w:tcPr>
          <w:p>
            <w:pPr>
              <w:spacing w:after="0"/>
              <w:rPr>
                <w:sz w:val="24"/>
                <w:szCs w:val="24"/>
                <w:color w:val="auto"/>
              </w:rPr>
            </w:pPr>
          </w:p>
        </w:tc>
        <w:tc>
          <w:tcPr>
            <w:tcW w:w="1440" w:type="dxa"/>
            <w:vAlign w:val="bottom"/>
            <w:gridSpan w:val="2"/>
            <w:shd w:val="clear" w:color="auto" w:fill="CDDAE6"/>
          </w:tcPr>
          <w:p>
            <w:pPr>
              <w:jc w:val="right"/>
              <w:ind w:right="80"/>
              <w:spacing w:after="0"/>
              <w:rPr>
                <w:sz w:val="20"/>
                <w:szCs w:val="20"/>
                <w:color w:val="auto"/>
              </w:rPr>
            </w:pPr>
            <w:r>
              <w:rPr>
                <w:rFonts w:ascii="Arial" w:cs="Arial" w:eastAsia="Arial" w:hAnsi="Arial"/>
                <w:sz w:val="18"/>
                <w:szCs w:val="18"/>
                <w:color w:val="auto"/>
              </w:rPr>
              <w:t>—</w:t>
            </w:r>
          </w:p>
        </w:tc>
      </w:tr>
      <w:tr>
        <w:trPr>
          <w:trHeight w:val="284"/>
        </w:trPr>
        <w:tc>
          <w:tcPr>
            <w:tcW w:w="260" w:type="dxa"/>
            <w:vAlign w:val="bottom"/>
          </w:tcPr>
          <w:p>
            <w:pPr>
              <w:spacing w:after="0"/>
              <w:rPr>
                <w:sz w:val="24"/>
                <w:szCs w:val="24"/>
                <w:color w:val="auto"/>
              </w:rPr>
            </w:pPr>
          </w:p>
        </w:tc>
        <w:tc>
          <w:tcPr>
            <w:tcW w:w="6140" w:type="dxa"/>
            <w:vAlign w:val="bottom"/>
          </w:tcPr>
          <w:p>
            <w:pPr>
              <w:ind w:left="40"/>
              <w:spacing w:after="0" w:line="284" w:lineRule="exact"/>
              <w:rPr>
                <w:sz w:val="20"/>
                <w:szCs w:val="20"/>
                <w:color w:val="auto"/>
              </w:rPr>
            </w:pPr>
            <w:r>
              <w:rPr>
                <w:rFonts w:ascii="Arial" w:cs="Arial" w:eastAsia="Arial" w:hAnsi="Arial"/>
                <w:sz w:val="18"/>
                <w:szCs w:val="18"/>
                <w:color w:val="auto"/>
              </w:rPr>
              <w:t>Life Insurance Premiums</w:t>
            </w:r>
            <w:r>
              <w:rPr>
                <w:rFonts w:ascii="Arial" w:cs="Arial" w:eastAsia="Arial" w:hAnsi="Arial"/>
                <w:sz w:val="29"/>
                <w:szCs w:val="29"/>
                <w:color w:val="auto"/>
                <w:vertAlign w:val="superscript"/>
              </w:rPr>
              <w:t>(1)(3)</w:t>
            </w:r>
          </w:p>
        </w:tc>
        <w:tc>
          <w:tcPr>
            <w:tcW w:w="1560" w:type="dxa"/>
            <w:vAlign w:val="bottom"/>
          </w:tcPr>
          <w:p>
            <w:pPr>
              <w:jc w:val="right"/>
              <w:spacing w:after="0"/>
              <w:rPr>
                <w:sz w:val="20"/>
                <w:szCs w:val="20"/>
                <w:color w:val="auto"/>
              </w:rPr>
            </w:pPr>
            <w:r>
              <w:rPr>
                <w:rFonts w:ascii="Arial" w:cs="Arial" w:eastAsia="Arial" w:hAnsi="Arial"/>
                <w:sz w:val="18"/>
                <w:szCs w:val="18"/>
                <w:color w:val="auto"/>
              </w:rPr>
              <w:t>85,140</w:t>
            </w:r>
          </w:p>
        </w:tc>
        <w:tc>
          <w:tcPr>
            <w:tcW w:w="16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84"/>
        </w:trPr>
        <w:tc>
          <w:tcPr>
            <w:tcW w:w="260" w:type="dxa"/>
            <w:vAlign w:val="bottom"/>
            <w:shd w:val="clear" w:color="auto" w:fill="CDDAE6"/>
          </w:tcPr>
          <w:p>
            <w:pPr>
              <w:spacing w:after="0"/>
              <w:rPr>
                <w:sz w:val="24"/>
                <w:szCs w:val="24"/>
                <w:color w:val="auto"/>
              </w:rPr>
            </w:pPr>
          </w:p>
        </w:tc>
        <w:tc>
          <w:tcPr>
            <w:tcW w:w="6140" w:type="dxa"/>
            <w:vAlign w:val="bottom"/>
            <w:shd w:val="clear" w:color="auto" w:fill="CDDAE6"/>
          </w:tcPr>
          <w:p>
            <w:pPr>
              <w:ind w:left="40"/>
              <w:spacing w:after="0" w:line="284" w:lineRule="exact"/>
              <w:rPr>
                <w:sz w:val="20"/>
                <w:szCs w:val="20"/>
                <w:color w:val="auto"/>
              </w:rPr>
            </w:pPr>
            <w:r>
              <w:rPr>
                <w:rFonts w:ascii="Arial" w:cs="Arial" w:eastAsia="Arial" w:hAnsi="Arial"/>
                <w:sz w:val="18"/>
                <w:szCs w:val="18"/>
                <w:color w:val="auto"/>
              </w:rPr>
              <w:t>Outplacement Benefits</w:t>
            </w:r>
            <w:r>
              <w:rPr>
                <w:rFonts w:ascii="Arial" w:cs="Arial" w:eastAsia="Arial" w:hAnsi="Arial"/>
                <w:sz w:val="29"/>
                <w:szCs w:val="29"/>
                <w:color w:val="auto"/>
                <w:vertAlign w:val="superscript"/>
              </w:rPr>
              <w:t>(1)(4)</w:t>
            </w:r>
          </w:p>
        </w:tc>
        <w:tc>
          <w:tcPr>
            <w:tcW w:w="1560" w:type="dxa"/>
            <w:vAlign w:val="bottom"/>
            <w:shd w:val="clear" w:color="auto" w:fill="CDDAE6"/>
          </w:tcPr>
          <w:p>
            <w:pPr>
              <w:jc w:val="right"/>
              <w:spacing w:after="0"/>
              <w:rPr>
                <w:sz w:val="20"/>
                <w:szCs w:val="20"/>
                <w:color w:val="auto"/>
              </w:rPr>
            </w:pPr>
            <w:r>
              <w:rPr>
                <w:rFonts w:ascii="Arial" w:cs="Arial" w:eastAsia="Arial" w:hAnsi="Arial"/>
                <w:sz w:val="18"/>
                <w:szCs w:val="18"/>
                <w:color w:val="auto"/>
              </w:rPr>
              <w:t>6,400</w:t>
            </w:r>
          </w:p>
        </w:tc>
        <w:tc>
          <w:tcPr>
            <w:tcW w:w="160" w:type="dxa"/>
            <w:vAlign w:val="bottom"/>
            <w:shd w:val="clear" w:color="auto" w:fill="CDDAE6"/>
          </w:tcPr>
          <w:p>
            <w:pPr>
              <w:spacing w:after="0"/>
              <w:rPr>
                <w:sz w:val="24"/>
                <w:szCs w:val="24"/>
                <w:color w:val="auto"/>
              </w:rPr>
            </w:pPr>
          </w:p>
        </w:tc>
        <w:tc>
          <w:tcPr>
            <w:tcW w:w="1440" w:type="dxa"/>
            <w:vAlign w:val="bottom"/>
            <w:gridSpan w:val="2"/>
            <w:shd w:val="clear" w:color="auto" w:fill="CDDAE6"/>
          </w:tcPr>
          <w:p>
            <w:pPr>
              <w:jc w:val="right"/>
              <w:ind w:right="80"/>
              <w:spacing w:after="0"/>
              <w:rPr>
                <w:sz w:val="20"/>
                <w:szCs w:val="20"/>
                <w:color w:val="auto"/>
              </w:rPr>
            </w:pPr>
            <w:r>
              <w:rPr>
                <w:rFonts w:ascii="Arial" w:cs="Arial" w:eastAsia="Arial" w:hAnsi="Arial"/>
                <w:sz w:val="18"/>
                <w:szCs w:val="18"/>
                <w:color w:val="auto"/>
              </w:rPr>
              <w:t>—</w:t>
            </w:r>
          </w:p>
        </w:tc>
      </w:tr>
      <w:tr>
        <w:trPr>
          <w:trHeight w:val="284"/>
        </w:trPr>
        <w:tc>
          <w:tcPr>
            <w:tcW w:w="260" w:type="dxa"/>
            <w:vAlign w:val="bottom"/>
          </w:tcPr>
          <w:p>
            <w:pPr>
              <w:spacing w:after="0"/>
              <w:rPr>
                <w:sz w:val="24"/>
                <w:szCs w:val="24"/>
                <w:color w:val="auto"/>
              </w:rPr>
            </w:pPr>
          </w:p>
        </w:tc>
        <w:tc>
          <w:tcPr>
            <w:tcW w:w="6140" w:type="dxa"/>
            <w:vAlign w:val="bottom"/>
          </w:tcPr>
          <w:p>
            <w:pPr>
              <w:ind w:left="40"/>
              <w:spacing w:after="0" w:line="284" w:lineRule="exact"/>
              <w:rPr>
                <w:sz w:val="20"/>
                <w:szCs w:val="20"/>
                <w:color w:val="auto"/>
              </w:rPr>
            </w:pPr>
            <w:r>
              <w:rPr>
                <w:rFonts w:ascii="Arial" w:cs="Arial" w:eastAsia="Arial" w:hAnsi="Arial"/>
                <w:sz w:val="18"/>
                <w:szCs w:val="18"/>
                <w:color w:val="auto"/>
              </w:rPr>
              <w:t>Acceleration of Stock Options</w:t>
            </w:r>
            <w:r>
              <w:rPr>
                <w:rFonts w:ascii="Arial" w:cs="Arial" w:eastAsia="Arial" w:hAnsi="Arial"/>
                <w:sz w:val="29"/>
                <w:szCs w:val="29"/>
                <w:color w:val="auto"/>
                <w:vertAlign w:val="superscript"/>
              </w:rPr>
              <w:t>(5)(6)</w:t>
            </w:r>
          </w:p>
        </w:tc>
        <w:tc>
          <w:tcPr>
            <w:tcW w:w="1560" w:type="dxa"/>
            <w:vAlign w:val="bottom"/>
          </w:tcPr>
          <w:p>
            <w:pPr>
              <w:jc w:val="right"/>
              <w:spacing w:after="0"/>
              <w:rPr>
                <w:sz w:val="20"/>
                <w:szCs w:val="20"/>
                <w:color w:val="auto"/>
              </w:rPr>
            </w:pPr>
            <w:r>
              <w:rPr>
                <w:rFonts w:ascii="Arial" w:cs="Arial" w:eastAsia="Arial" w:hAnsi="Arial"/>
                <w:sz w:val="18"/>
                <w:szCs w:val="18"/>
                <w:color w:val="auto"/>
              </w:rPr>
              <w:t>10,606,302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10,606,302</w:t>
            </w:r>
          </w:p>
        </w:tc>
        <w:tc>
          <w:tcPr>
            <w:tcW w:w="80" w:type="dxa"/>
            <w:vAlign w:val="bottom"/>
          </w:tcPr>
          <w:p>
            <w:pPr>
              <w:spacing w:after="0"/>
              <w:rPr>
                <w:sz w:val="24"/>
                <w:szCs w:val="24"/>
                <w:color w:val="auto"/>
              </w:rPr>
            </w:pPr>
          </w:p>
        </w:tc>
      </w:tr>
      <w:tr>
        <w:trPr>
          <w:trHeight w:val="284"/>
        </w:trPr>
        <w:tc>
          <w:tcPr>
            <w:tcW w:w="260" w:type="dxa"/>
            <w:vAlign w:val="bottom"/>
            <w:shd w:val="clear" w:color="auto" w:fill="CDDAE6"/>
          </w:tcPr>
          <w:p>
            <w:pPr>
              <w:spacing w:after="0"/>
              <w:rPr>
                <w:sz w:val="24"/>
                <w:szCs w:val="24"/>
                <w:color w:val="auto"/>
              </w:rPr>
            </w:pPr>
          </w:p>
        </w:tc>
        <w:tc>
          <w:tcPr>
            <w:tcW w:w="6140" w:type="dxa"/>
            <w:vAlign w:val="bottom"/>
            <w:shd w:val="clear" w:color="auto" w:fill="CDDAE6"/>
          </w:tcPr>
          <w:p>
            <w:pPr>
              <w:ind w:left="40"/>
              <w:spacing w:after="0" w:line="284" w:lineRule="exact"/>
              <w:rPr>
                <w:sz w:val="20"/>
                <w:szCs w:val="20"/>
                <w:color w:val="auto"/>
              </w:rPr>
            </w:pPr>
            <w:r>
              <w:rPr>
                <w:rFonts w:ascii="Arial" w:cs="Arial" w:eastAsia="Arial" w:hAnsi="Arial"/>
                <w:sz w:val="18"/>
                <w:szCs w:val="18"/>
                <w:color w:val="auto"/>
              </w:rPr>
              <w:t>Acceleration of RSUs</w:t>
            </w:r>
            <w:r>
              <w:rPr>
                <w:rFonts w:ascii="Arial" w:cs="Arial" w:eastAsia="Arial" w:hAnsi="Arial"/>
                <w:sz w:val="29"/>
                <w:szCs w:val="29"/>
                <w:color w:val="auto"/>
                <w:vertAlign w:val="superscript"/>
              </w:rPr>
              <w:t>(7)(8)</w:t>
            </w:r>
          </w:p>
        </w:tc>
        <w:tc>
          <w:tcPr>
            <w:tcW w:w="1560" w:type="dxa"/>
            <w:vAlign w:val="bottom"/>
            <w:shd w:val="clear" w:color="auto" w:fill="CDDAE6"/>
          </w:tcPr>
          <w:p>
            <w:pPr>
              <w:jc w:val="right"/>
              <w:spacing w:after="0"/>
              <w:rPr>
                <w:sz w:val="20"/>
                <w:szCs w:val="20"/>
                <w:color w:val="auto"/>
              </w:rPr>
            </w:pPr>
            <w:r>
              <w:rPr>
                <w:rFonts w:ascii="Arial" w:cs="Arial" w:eastAsia="Arial" w:hAnsi="Arial"/>
                <w:sz w:val="18"/>
                <w:szCs w:val="18"/>
                <w:color w:val="auto"/>
              </w:rPr>
              <w:t>11,874,043</w:t>
            </w:r>
          </w:p>
        </w:tc>
        <w:tc>
          <w:tcPr>
            <w:tcW w:w="1520" w:type="dxa"/>
            <w:vAlign w:val="bottom"/>
            <w:gridSpan w:val="2"/>
            <w:shd w:val="clear" w:color="auto" w:fill="CDDAE6"/>
          </w:tcPr>
          <w:p>
            <w:pPr>
              <w:jc w:val="right"/>
              <w:spacing w:after="0"/>
              <w:rPr>
                <w:sz w:val="20"/>
                <w:szCs w:val="20"/>
                <w:color w:val="auto"/>
              </w:rPr>
            </w:pPr>
            <w:r>
              <w:rPr>
                <w:rFonts w:ascii="Arial" w:cs="Arial" w:eastAsia="Arial" w:hAnsi="Arial"/>
                <w:sz w:val="18"/>
                <w:szCs w:val="18"/>
                <w:color w:val="auto"/>
              </w:rPr>
              <w:t>11,874,043</w:t>
            </w:r>
          </w:p>
        </w:tc>
        <w:tc>
          <w:tcPr>
            <w:tcW w:w="80" w:type="dxa"/>
            <w:vAlign w:val="bottom"/>
            <w:shd w:val="clear" w:color="auto" w:fill="CDDAE6"/>
          </w:tcPr>
          <w:p>
            <w:pPr>
              <w:spacing w:after="0"/>
              <w:rPr>
                <w:sz w:val="24"/>
                <w:szCs w:val="24"/>
                <w:color w:val="auto"/>
              </w:rPr>
            </w:pPr>
          </w:p>
        </w:tc>
      </w:tr>
      <w:tr>
        <w:trPr>
          <w:trHeight w:val="284"/>
        </w:trPr>
        <w:tc>
          <w:tcPr>
            <w:tcW w:w="260" w:type="dxa"/>
            <w:vAlign w:val="bottom"/>
          </w:tcPr>
          <w:p>
            <w:pPr>
              <w:spacing w:after="0"/>
              <w:rPr>
                <w:sz w:val="24"/>
                <w:szCs w:val="24"/>
                <w:color w:val="auto"/>
              </w:rPr>
            </w:pPr>
          </w:p>
        </w:tc>
        <w:tc>
          <w:tcPr>
            <w:tcW w:w="6140" w:type="dxa"/>
            <w:vAlign w:val="bottom"/>
          </w:tcPr>
          <w:p>
            <w:pPr>
              <w:ind w:left="40"/>
              <w:spacing w:after="0" w:line="284" w:lineRule="exact"/>
              <w:rPr>
                <w:sz w:val="20"/>
                <w:szCs w:val="20"/>
                <w:color w:val="auto"/>
              </w:rPr>
            </w:pPr>
            <w:r>
              <w:rPr>
                <w:rFonts w:ascii="Arial" w:cs="Arial" w:eastAsia="Arial" w:hAnsi="Arial"/>
                <w:sz w:val="18"/>
                <w:szCs w:val="18"/>
                <w:color w:val="auto"/>
              </w:rPr>
              <w:t>Acceleration of Performance Awards</w:t>
            </w:r>
            <w:r>
              <w:rPr>
                <w:rFonts w:ascii="Arial" w:cs="Arial" w:eastAsia="Arial" w:hAnsi="Arial"/>
                <w:sz w:val="29"/>
                <w:szCs w:val="29"/>
                <w:color w:val="auto"/>
                <w:vertAlign w:val="superscript"/>
              </w:rPr>
              <w:t>(9)(10)</w:t>
            </w:r>
          </w:p>
        </w:tc>
        <w:tc>
          <w:tcPr>
            <w:tcW w:w="1560" w:type="dxa"/>
            <w:vAlign w:val="bottom"/>
          </w:tcPr>
          <w:p>
            <w:pPr>
              <w:jc w:val="right"/>
              <w:spacing w:after="0"/>
              <w:rPr>
                <w:sz w:val="20"/>
                <w:szCs w:val="20"/>
                <w:color w:val="auto"/>
              </w:rPr>
            </w:pPr>
            <w:r>
              <w:rPr>
                <w:rFonts w:ascii="Arial" w:cs="Arial" w:eastAsia="Arial" w:hAnsi="Arial"/>
                <w:sz w:val="18"/>
                <w:szCs w:val="18"/>
                <w:color w:val="auto"/>
              </w:rPr>
              <w:t>5,733,427</w:t>
            </w:r>
          </w:p>
        </w:tc>
        <w:tc>
          <w:tcPr>
            <w:tcW w:w="16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64"/>
        </w:trPr>
        <w:tc>
          <w:tcPr>
            <w:tcW w:w="260" w:type="dxa"/>
            <w:vAlign w:val="bottom"/>
            <w:tcBorders>
              <w:bottom w:val="single" w:sz="8" w:color="CDDAE6"/>
            </w:tcBorders>
            <w:shd w:val="clear" w:color="auto" w:fill="CDDAE6"/>
          </w:tcPr>
          <w:p>
            <w:pPr>
              <w:spacing w:after="0"/>
              <w:rPr>
                <w:sz w:val="22"/>
                <w:szCs w:val="22"/>
                <w:color w:val="auto"/>
              </w:rPr>
            </w:pPr>
          </w:p>
        </w:tc>
        <w:tc>
          <w:tcPr>
            <w:tcW w:w="6140" w:type="dxa"/>
            <w:vAlign w:val="bottom"/>
            <w:tcBorders>
              <w:bottom w:val="single" w:sz="8" w:color="CDDAE6"/>
            </w:tcBorders>
            <w:shd w:val="clear" w:color="auto" w:fill="CDDAE6"/>
          </w:tcPr>
          <w:p>
            <w:pPr>
              <w:ind w:left="40"/>
              <w:spacing w:after="0" w:line="256" w:lineRule="exact"/>
              <w:rPr>
                <w:sz w:val="20"/>
                <w:szCs w:val="20"/>
                <w:color w:val="auto"/>
              </w:rPr>
            </w:pPr>
            <w:r>
              <w:rPr>
                <w:rFonts w:ascii="Arial" w:cs="Arial" w:eastAsia="Arial" w:hAnsi="Arial"/>
                <w:sz w:val="18"/>
                <w:szCs w:val="18"/>
                <w:color w:val="auto"/>
              </w:rPr>
              <w:t>Restoration SERP</w:t>
            </w:r>
            <w:r>
              <w:rPr>
                <w:rFonts w:ascii="Arial" w:cs="Arial" w:eastAsia="Arial" w:hAnsi="Arial"/>
                <w:sz w:val="29"/>
                <w:szCs w:val="29"/>
                <w:color w:val="auto"/>
                <w:vertAlign w:val="superscript"/>
              </w:rPr>
              <w:t>(11)</w:t>
            </w:r>
          </w:p>
        </w:tc>
        <w:tc>
          <w:tcPr>
            <w:tcW w:w="1560" w:type="dxa"/>
            <w:vAlign w:val="bottom"/>
            <w:tcBorders>
              <w:bottom w:val="single" w:sz="8" w:color="auto"/>
            </w:tcBorders>
            <w:shd w:val="clear" w:color="auto" w:fill="CDDAE6"/>
          </w:tcPr>
          <w:p>
            <w:pPr>
              <w:jc w:val="right"/>
              <w:spacing w:after="0"/>
              <w:rPr>
                <w:sz w:val="20"/>
                <w:szCs w:val="20"/>
                <w:color w:val="auto"/>
              </w:rPr>
            </w:pPr>
            <w:r>
              <w:rPr>
                <w:rFonts w:ascii="Arial" w:cs="Arial" w:eastAsia="Arial" w:hAnsi="Arial"/>
                <w:sz w:val="18"/>
                <w:szCs w:val="18"/>
                <w:color w:val="auto"/>
              </w:rPr>
              <w:t>1,303,527</w:t>
            </w:r>
          </w:p>
        </w:tc>
        <w:tc>
          <w:tcPr>
            <w:tcW w:w="160" w:type="dxa"/>
            <w:vAlign w:val="bottom"/>
            <w:tcBorders>
              <w:bottom w:val="single" w:sz="8" w:color="CDDAE6"/>
            </w:tcBorders>
            <w:shd w:val="clear" w:color="auto" w:fill="CDDAE6"/>
          </w:tcPr>
          <w:p>
            <w:pPr>
              <w:spacing w:after="0"/>
              <w:rPr>
                <w:sz w:val="22"/>
                <w:szCs w:val="22"/>
                <w:color w:val="auto"/>
              </w:rPr>
            </w:pPr>
          </w:p>
        </w:tc>
        <w:tc>
          <w:tcPr>
            <w:tcW w:w="1360" w:type="dxa"/>
            <w:vAlign w:val="bottom"/>
            <w:tcBorders>
              <w:bottom w:val="single" w:sz="8" w:color="auto"/>
            </w:tcBorders>
            <w:shd w:val="clear" w:color="auto" w:fill="CDDA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DDAE6"/>
            </w:tcBorders>
            <w:shd w:val="clear" w:color="auto" w:fill="CDDAE6"/>
          </w:tcPr>
          <w:p>
            <w:pPr>
              <w:spacing w:after="0"/>
              <w:rPr>
                <w:sz w:val="22"/>
                <w:szCs w:val="22"/>
                <w:color w:val="auto"/>
              </w:rPr>
            </w:pPr>
          </w:p>
        </w:tc>
      </w:tr>
      <w:tr>
        <w:trPr>
          <w:trHeight w:val="230"/>
        </w:trPr>
        <w:tc>
          <w:tcPr>
            <w:tcW w:w="260" w:type="dxa"/>
            <w:vAlign w:val="bottom"/>
          </w:tcPr>
          <w:p>
            <w:pPr>
              <w:spacing w:after="0"/>
              <w:rPr>
                <w:sz w:val="19"/>
                <w:szCs w:val="19"/>
                <w:color w:val="auto"/>
              </w:rPr>
            </w:pPr>
          </w:p>
        </w:tc>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38,251,105</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22,480,345</w:t>
            </w:r>
          </w:p>
        </w:tc>
        <w:tc>
          <w:tcPr>
            <w:tcW w:w="80" w:type="dxa"/>
            <w:vAlign w:val="bottom"/>
          </w:tcPr>
          <w:p>
            <w:pPr>
              <w:spacing w:after="0"/>
              <w:rPr>
                <w:sz w:val="19"/>
                <w:szCs w:val="19"/>
                <w:color w:val="auto"/>
              </w:rPr>
            </w:pPr>
          </w:p>
        </w:tc>
      </w:tr>
      <w:tr>
        <w:trPr>
          <w:trHeight w:val="28"/>
        </w:trPr>
        <w:tc>
          <w:tcPr>
            <w:tcW w:w="6400" w:type="dxa"/>
            <w:vAlign w:val="bottom"/>
            <w:gridSpan w:val="2"/>
          </w:tcPr>
          <w:p>
            <w:pPr>
              <w:spacing w:after="0"/>
              <w:rPr>
                <w:sz w:val="2"/>
                <w:szCs w:val="2"/>
                <w:color w:val="auto"/>
              </w:rPr>
            </w:pPr>
          </w:p>
        </w:tc>
        <w:tc>
          <w:tcPr>
            <w:tcW w:w="15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6400" w:type="dxa"/>
            <w:vAlign w:val="bottom"/>
            <w:gridSpan w:val="2"/>
            <w:shd w:val="clear" w:color="auto" w:fill="CDDAE6"/>
          </w:tcPr>
          <w:p>
            <w:pPr>
              <w:ind w:left="20"/>
              <w:spacing w:after="0"/>
              <w:rPr>
                <w:sz w:val="20"/>
                <w:szCs w:val="20"/>
                <w:color w:val="auto"/>
              </w:rPr>
            </w:pPr>
            <w:r>
              <w:rPr>
                <w:rFonts w:ascii="Arial" w:cs="Arial" w:eastAsia="Arial" w:hAnsi="Arial"/>
                <w:sz w:val="18"/>
                <w:szCs w:val="18"/>
                <w:b w:val="1"/>
                <w:bCs w:val="1"/>
                <w:color w:val="auto"/>
              </w:rPr>
              <w:t>Christopher E. Kubasik</w:t>
            </w:r>
          </w:p>
        </w:tc>
        <w:tc>
          <w:tcPr>
            <w:tcW w:w="1560" w:type="dxa"/>
            <w:vAlign w:val="bottom"/>
            <w:shd w:val="clear" w:color="auto" w:fill="CDDAE6"/>
          </w:tcPr>
          <w:p>
            <w:pPr>
              <w:spacing w:after="0"/>
              <w:rPr>
                <w:sz w:val="21"/>
                <w:szCs w:val="21"/>
                <w:color w:val="auto"/>
              </w:rPr>
            </w:pPr>
          </w:p>
        </w:tc>
        <w:tc>
          <w:tcPr>
            <w:tcW w:w="160" w:type="dxa"/>
            <w:vAlign w:val="bottom"/>
            <w:shd w:val="clear" w:color="auto" w:fill="CDDAE6"/>
          </w:tcPr>
          <w:p>
            <w:pPr>
              <w:spacing w:after="0"/>
              <w:rPr>
                <w:sz w:val="21"/>
                <w:szCs w:val="21"/>
                <w:color w:val="auto"/>
              </w:rPr>
            </w:pPr>
          </w:p>
        </w:tc>
        <w:tc>
          <w:tcPr>
            <w:tcW w:w="1360" w:type="dxa"/>
            <w:vAlign w:val="bottom"/>
            <w:shd w:val="clear" w:color="auto" w:fill="CDDAE6"/>
          </w:tcPr>
          <w:p>
            <w:pPr>
              <w:spacing w:after="0"/>
              <w:rPr>
                <w:sz w:val="21"/>
                <w:szCs w:val="21"/>
                <w:color w:val="auto"/>
              </w:rPr>
            </w:pPr>
          </w:p>
        </w:tc>
        <w:tc>
          <w:tcPr>
            <w:tcW w:w="80" w:type="dxa"/>
            <w:vAlign w:val="bottom"/>
            <w:shd w:val="clear" w:color="auto" w:fill="CDDAE6"/>
          </w:tcPr>
          <w:p>
            <w:pPr>
              <w:spacing w:after="0"/>
              <w:rPr>
                <w:sz w:val="21"/>
                <w:szCs w:val="21"/>
                <w:color w:val="auto"/>
              </w:rPr>
            </w:pPr>
          </w:p>
        </w:tc>
      </w:tr>
      <w:tr>
        <w:trPr>
          <w:trHeight w:val="284"/>
        </w:trPr>
        <w:tc>
          <w:tcPr>
            <w:tcW w:w="260" w:type="dxa"/>
            <w:vAlign w:val="bottom"/>
          </w:tcPr>
          <w:p>
            <w:pPr>
              <w:spacing w:after="0"/>
              <w:rPr>
                <w:sz w:val="24"/>
                <w:szCs w:val="24"/>
                <w:color w:val="auto"/>
              </w:rPr>
            </w:pPr>
          </w:p>
        </w:tc>
        <w:tc>
          <w:tcPr>
            <w:tcW w:w="6140" w:type="dxa"/>
            <w:vAlign w:val="bottom"/>
          </w:tcPr>
          <w:p>
            <w:pPr>
              <w:ind w:left="40"/>
              <w:spacing w:after="0" w:line="284" w:lineRule="exact"/>
              <w:rPr>
                <w:sz w:val="20"/>
                <w:szCs w:val="20"/>
                <w:color w:val="auto"/>
              </w:rPr>
            </w:pPr>
            <w:r>
              <w:rPr>
                <w:rFonts w:ascii="Arial" w:cs="Arial" w:eastAsia="Arial" w:hAnsi="Arial"/>
                <w:sz w:val="18"/>
                <w:szCs w:val="18"/>
                <w:color w:val="auto"/>
              </w:rPr>
              <w:t>Severance</w:t>
            </w:r>
            <w:r>
              <w:rPr>
                <w:rFonts w:ascii="Arial" w:cs="Arial" w:eastAsia="Arial" w:hAnsi="Arial"/>
                <w:sz w:val="29"/>
                <w:szCs w:val="29"/>
                <w:color w:val="auto"/>
                <w:vertAlign w:val="superscript"/>
              </w:rPr>
              <w:t>(1)(2)</w:t>
            </w:r>
          </w:p>
        </w:tc>
        <w:tc>
          <w:tcPr>
            <w:tcW w:w="1560" w:type="dxa"/>
            <w:vAlign w:val="bottom"/>
          </w:tcPr>
          <w:p>
            <w:pPr>
              <w:jc w:val="right"/>
              <w:spacing w:after="0"/>
              <w:rPr>
                <w:sz w:val="20"/>
                <w:szCs w:val="20"/>
                <w:color w:val="auto"/>
              </w:rPr>
            </w:pPr>
            <w:r>
              <w:rPr>
                <w:rFonts w:ascii="Arial" w:cs="Arial" w:eastAsia="Arial" w:hAnsi="Arial"/>
                <w:sz w:val="18"/>
                <w:szCs w:val="18"/>
                <w:color w:val="auto"/>
              </w:rPr>
              <w:t>5,422,500</w:t>
            </w:r>
          </w:p>
        </w:tc>
        <w:tc>
          <w:tcPr>
            <w:tcW w:w="16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84"/>
        </w:trPr>
        <w:tc>
          <w:tcPr>
            <w:tcW w:w="260" w:type="dxa"/>
            <w:vAlign w:val="bottom"/>
            <w:shd w:val="clear" w:color="auto" w:fill="CDDAE6"/>
          </w:tcPr>
          <w:p>
            <w:pPr>
              <w:spacing w:after="0"/>
              <w:rPr>
                <w:sz w:val="24"/>
                <w:szCs w:val="24"/>
                <w:color w:val="auto"/>
              </w:rPr>
            </w:pPr>
          </w:p>
        </w:tc>
        <w:tc>
          <w:tcPr>
            <w:tcW w:w="6140" w:type="dxa"/>
            <w:vAlign w:val="bottom"/>
            <w:shd w:val="clear" w:color="auto" w:fill="CDDAE6"/>
          </w:tcPr>
          <w:p>
            <w:pPr>
              <w:ind w:left="40"/>
              <w:spacing w:after="0" w:line="284" w:lineRule="exact"/>
              <w:rPr>
                <w:sz w:val="20"/>
                <w:szCs w:val="20"/>
                <w:color w:val="auto"/>
              </w:rPr>
            </w:pPr>
            <w:r>
              <w:rPr>
                <w:rFonts w:ascii="Arial" w:cs="Arial" w:eastAsia="Arial" w:hAnsi="Arial"/>
                <w:sz w:val="18"/>
                <w:szCs w:val="18"/>
                <w:color w:val="auto"/>
              </w:rPr>
              <w:t>Medical Benefits</w:t>
            </w:r>
            <w:r>
              <w:rPr>
                <w:rFonts w:ascii="Arial" w:cs="Arial" w:eastAsia="Arial" w:hAnsi="Arial"/>
                <w:sz w:val="29"/>
                <w:szCs w:val="29"/>
                <w:color w:val="auto"/>
                <w:vertAlign w:val="superscript"/>
              </w:rPr>
              <w:t>(1)(3)</w:t>
            </w:r>
          </w:p>
        </w:tc>
        <w:tc>
          <w:tcPr>
            <w:tcW w:w="1560" w:type="dxa"/>
            <w:vAlign w:val="bottom"/>
            <w:shd w:val="clear" w:color="auto" w:fill="CDDAE6"/>
          </w:tcPr>
          <w:p>
            <w:pPr>
              <w:jc w:val="right"/>
              <w:spacing w:after="0"/>
              <w:rPr>
                <w:sz w:val="20"/>
                <w:szCs w:val="20"/>
                <w:color w:val="auto"/>
              </w:rPr>
            </w:pPr>
            <w:r>
              <w:rPr>
                <w:rFonts w:ascii="Arial" w:cs="Arial" w:eastAsia="Arial" w:hAnsi="Arial"/>
                <w:sz w:val="18"/>
                <w:szCs w:val="18"/>
                <w:color w:val="auto"/>
              </w:rPr>
              <w:t>116,589</w:t>
            </w:r>
          </w:p>
        </w:tc>
        <w:tc>
          <w:tcPr>
            <w:tcW w:w="160" w:type="dxa"/>
            <w:vAlign w:val="bottom"/>
            <w:shd w:val="clear" w:color="auto" w:fill="CDDAE6"/>
          </w:tcPr>
          <w:p>
            <w:pPr>
              <w:spacing w:after="0"/>
              <w:rPr>
                <w:sz w:val="24"/>
                <w:szCs w:val="24"/>
                <w:color w:val="auto"/>
              </w:rPr>
            </w:pPr>
          </w:p>
        </w:tc>
        <w:tc>
          <w:tcPr>
            <w:tcW w:w="1440" w:type="dxa"/>
            <w:vAlign w:val="bottom"/>
            <w:gridSpan w:val="2"/>
            <w:shd w:val="clear" w:color="auto" w:fill="CDDAE6"/>
          </w:tcPr>
          <w:p>
            <w:pPr>
              <w:jc w:val="right"/>
              <w:ind w:right="80"/>
              <w:spacing w:after="0"/>
              <w:rPr>
                <w:sz w:val="20"/>
                <w:szCs w:val="20"/>
                <w:color w:val="auto"/>
              </w:rPr>
            </w:pPr>
            <w:r>
              <w:rPr>
                <w:rFonts w:ascii="Arial" w:cs="Arial" w:eastAsia="Arial" w:hAnsi="Arial"/>
                <w:sz w:val="18"/>
                <w:szCs w:val="18"/>
                <w:color w:val="auto"/>
              </w:rPr>
              <w:t>—</w:t>
            </w:r>
          </w:p>
        </w:tc>
      </w:tr>
      <w:tr>
        <w:trPr>
          <w:trHeight w:val="284"/>
        </w:trPr>
        <w:tc>
          <w:tcPr>
            <w:tcW w:w="260" w:type="dxa"/>
            <w:vAlign w:val="bottom"/>
          </w:tcPr>
          <w:p>
            <w:pPr>
              <w:spacing w:after="0"/>
              <w:rPr>
                <w:sz w:val="24"/>
                <w:szCs w:val="24"/>
                <w:color w:val="auto"/>
              </w:rPr>
            </w:pPr>
          </w:p>
        </w:tc>
        <w:tc>
          <w:tcPr>
            <w:tcW w:w="6140" w:type="dxa"/>
            <w:vAlign w:val="bottom"/>
          </w:tcPr>
          <w:p>
            <w:pPr>
              <w:ind w:left="40"/>
              <w:spacing w:after="0" w:line="284" w:lineRule="exact"/>
              <w:rPr>
                <w:sz w:val="20"/>
                <w:szCs w:val="20"/>
                <w:color w:val="auto"/>
              </w:rPr>
            </w:pPr>
            <w:r>
              <w:rPr>
                <w:rFonts w:ascii="Arial" w:cs="Arial" w:eastAsia="Arial" w:hAnsi="Arial"/>
                <w:sz w:val="18"/>
                <w:szCs w:val="18"/>
                <w:color w:val="auto"/>
              </w:rPr>
              <w:t>Life Insurance Premiums</w:t>
            </w:r>
            <w:r>
              <w:rPr>
                <w:rFonts w:ascii="Arial" w:cs="Arial" w:eastAsia="Arial" w:hAnsi="Arial"/>
                <w:sz w:val="29"/>
                <w:szCs w:val="29"/>
                <w:color w:val="auto"/>
                <w:vertAlign w:val="superscript"/>
              </w:rPr>
              <w:t>(1)(3)</w:t>
            </w:r>
          </w:p>
        </w:tc>
        <w:tc>
          <w:tcPr>
            <w:tcW w:w="1560" w:type="dxa"/>
            <w:vAlign w:val="bottom"/>
          </w:tcPr>
          <w:p>
            <w:pPr>
              <w:jc w:val="right"/>
              <w:spacing w:after="0"/>
              <w:rPr>
                <w:sz w:val="20"/>
                <w:szCs w:val="20"/>
                <w:color w:val="auto"/>
              </w:rPr>
            </w:pPr>
            <w:r>
              <w:rPr>
                <w:rFonts w:ascii="Arial" w:cs="Arial" w:eastAsia="Arial" w:hAnsi="Arial"/>
                <w:sz w:val="18"/>
                <w:szCs w:val="18"/>
                <w:color w:val="auto"/>
              </w:rPr>
              <w:t>84,552</w:t>
            </w:r>
          </w:p>
        </w:tc>
        <w:tc>
          <w:tcPr>
            <w:tcW w:w="16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84"/>
        </w:trPr>
        <w:tc>
          <w:tcPr>
            <w:tcW w:w="260" w:type="dxa"/>
            <w:vAlign w:val="bottom"/>
            <w:shd w:val="clear" w:color="auto" w:fill="CDDAE6"/>
          </w:tcPr>
          <w:p>
            <w:pPr>
              <w:spacing w:after="0"/>
              <w:rPr>
                <w:sz w:val="24"/>
                <w:szCs w:val="24"/>
                <w:color w:val="auto"/>
              </w:rPr>
            </w:pPr>
          </w:p>
        </w:tc>
        <w:tc>
          <w:tcPr>
            <w:tcW w:w="6140" w:type="dxa"/>
            <w:vAlign w:val="bottom"/>
            <w:shd w:val="clear" w:color="auto" w:fill="CDDAE6"/>
          </w:tcPr>
          <w:p>
            <w:pPr>
              <w:ind w:left="40"/>
              <w:spacing w:after="0" w:line="284" w:lineRule="exact"/>
              <w:rPr>
                <w:sz w:val="20"/>
                <w:szCs w:val="20"/>
                <w:color w:val="auto"/>
              </w:rPr>
            </w:pPr>
            <w:r>
              <w:rPr>
                <w:rFonts w:ascii="Arial" w:cs="Arial" w:eastAsia="Arial" w:hAnsi="Arial"/>
                <w:sz w:val="18"/>
                <w:szCs w:val="18"/>
                <w:color w:val="auto"/>
              </w:rPr>
              <w:t>Outplacement Benefits</w:t>
            </w:r>
            <w:r>
              <w:rPr>
                <w:rFonts w:ascii="Arial" w:cs="Arial" w:eastAsia="Arial" w:hAnsi="Arial"/>
                <w:sz w:val="29"/>
                <w:szCs w:val="29"/>
                <w:color w:val="auto"/>
                <w:vertAlign w:val="superscript"/>
              </w:rPr>
              <w:t>(1)(4)</w:t>
            </w:r>
          </w:p>
        </w:tc>
        <w:tc>
          <w:tcPr>
            <w:tcW w:w="1560" w:type="dxa"/>
            <w:vAlign w:val="bottom"/>
            <w:shd w:val="clear" w:color="auto" w:fill="CDDAE6"/>
          </w:tcPr>
          <w:p>
            <w:pPr>
              <w:jc w:val="right"/>
              <w:spacing w:after="0"/>
              <w:rPr>
                <w:sz w:val="20"/>
                <w:szCs w:val="20"/>
                <w:color w:val="auto"/>
              </w:rPr>
            </w:pPr>
            <w:r>
              <w:rPr>
                <w:rFonts w:ascii="Arial" w:cs="Arial" w:eastAsia="Arial" w:hAnsi="Arial"/>
                <w:sz w:val="18"/>
                <w:szCs w:val="18"/>
                <w:color w:val="auto"/>
              </w:rPr>
              <w:t>6,400</w:t>
            </w:r>
          </w:p>
        </w:tc>
        <w:tc>
          <w:tcPr>
            <w:tcW w:w="160" w:type="dxa"/>
            <w:vAlign w:val="bottom"/>
            <w:shd w:val="clear" w:color="auto" w:fill="CDDAE6"/>
          </w:tcPr>
          <w:p>
            <w:pPr>
              <w:spacing w:after="0"/>
              <w:rPr>
                <w:sz w:val="24"/>
                <w:szCs w:val="24"/>
                <w:color w:val="auto"/>
              </w:rPr>
            </w:pPr>
          </w:p>
        </w:tc>
        <w:tc>
          <w:tcPr>
            <w:tcW w:w="1440" w:type="dxa"/>
            <w:vAlign w:val="bottom"/>
            <w:gridSpan w:val="2"/>
            <w:shd w:val="clear" w:color="auto" w:fill="CDDAE6"/>
          </w:tcPr>
          <w:p>
            <w:pPr>
              <w:jc w:val="right"/>
              <w:ind w:right="80"/>
              <w:spacing w:after="0"/>
              <w:rPr>
                <w:sz w:val="20"/>
                <w:szCs w:val="20"/>
                <w:color w:val="auto"/>
              </w:rPr>
            </w:pPr>
            <w:r>
              <w:rPr>
                <w:rFonts w:ascii="Arial" w:cs="Arial" w:eastAsia="Arial" w:hAnsi="Arial"/>
                <w:sz w:val="18"/>
                <w:szCs w:val="18"/>
                <w:color w:val="auto"/>
              </w:rPr>
              <w:t>—</w:t>
            </w:r>
          </w:p>
        </w:tc>
      </w:tr>
      <w:tr>
        <w:trPr>
          <w:trHeight w:val="284"/>
        </w:trPr>
        <w:tc>
          <w:tcPr>
            <w:tcW w:w="260" w:type="dxa"/>
            <w:vAlign w:val="bottom"/>
          </w:tcPr>
          <w:p>
            <w:pPr>
              <w:spacing w:after="0"/>
              <w:rPr>
                <w:sz w:val="24"/>
                <w:szCs w:val="24"/>
                <w:color w:val="auto"/>
              </w:rPr>
            </w:pPr>
          </w:p>
        </w:tc>
        <w:tc>
          <w:tcPr>
            <w:tcW w:w="6140" w:type="dxa"/>
            <w:vAlign w:val="bottom"/>
          </w:tcPr>
          <w:p>
            <w:pPr>
              <w:ind w:left="40"/>
              <w:spacing w:after="0" w:line="284" w:lineRule="exact"/>
              <w:rPr>
                <w:sz w:val="20"/>
                <w:szCs w:val="20"/>
                <w:color w:val="auto"/>
              </w:rPr>
            </w:pPr>
            <w:r>
              <w:rPr>
                <w:rFonts w:ascii="Arial" w:cs="Arial" w:eastAsia="Arial" w:hAnsi="Arial"/>
                <w:sz w:val="18"/>
                <w:szCs w:val="18"/>
                <w:color w:val="auto"/>
              </w:rPr>
              <w:t>Acceleration of Stock Options</w:t>
            </w:r>
            <w:r>
              <w:rPr>
                <w:rFonts w:ascii="Arial" w:cs="Arial" w:eastAsia="Arial" w:hAnsi="Arial"/>
                <w:sz w:val="29"/>
                <w:szCs w:val="29"/>
                <w:color w:val="auto"/>
                <w:vertAlign w:val="superscript"/>
              </w:rPr>
              <w:t>(5)(6)</w:t>
            </w:r>
          </w:p>
        </w:tc>
        <w:tc>
          <w:tcPr>
            <w:tcW w:w="1560" w:type="dxa"/>
            <w:vAlign w:val="bottom"/>
          </w:tcPr>
          <w:p>
            <w:pPr>
              <w:jc w:val="right"/>
              <w:spacing w:after="0"/>
              <w:rPr>
                <w:sz w:val="20"/>
                <w:szCs w:val="20"/>
                <w:color w:val="auto"/>
              </w:rPr>
            </w:pPr>
            <w:r>
              <w:rPr>
                <w:rFonts w:ascii="Arial" w:cs="Arial" w:eastAsia="Arial" w:hAnsi="Arial"/>
                <w:sz w:val="18"/>
                <w:szCs w:val="18"/>
                <w:color w:val="auto"/>
              </w:rPr>
              <w:t>2,978,213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2,978,213</w:t>
            </w:r>
          </w:p>
        </w:tc>
        <w:tc>
          <w:tcPr>
            <w:tcW w:w="80" w:type="dxa"/>
            <w:vAlign w:val="bottom"/>
          </w:tcPr>
          <w:p>
            <w:pPr>
              <w:spacing w:after="0"/>
              <w:rPr>
                <w:sz w:val="24"/>
                <w:szCs w:val="24"/>
                <w:color w:val="auto"/>
              </w:rPr>
            </w:pPr>
          </w:p>
        </w:tc>
      </w:tr>
      <w:tr>
        <w:trPr>
          <w:trHeight w:val="284"/>
        </w:trPr>
        <w:tc>
          <w:tcPr>
            <w:tcW w:w="260" w:type="dxa"/>
            <w:vAlign w:val="bottom"/>
            <w:shd w:val="clear" w:color="auto" w:fill="CDDAE6"/>
          </w:tcPr>
          <w:p>
            <w:pPr>
              <w:spacing w:after="0"/>
              <w:rPr>
                <w:sz w:val="24"/>
                <w:szCs w:val="24"/>
                <w:color w:val="auto"/>
              </w:rPr>
            </w:pPr>
          </w:p>
        </w:tc>
        <w:tc>
          <w:tcPr>
            <w:tcW w:w="6140" w:type="dxa"/>
            <w:vAlign w:val="bottom"/>
            <w:shd w:val="clear" w:color="auto" w:fill="CDDAE6"/>
          </w:tcPr>
          <w:p>
            <w:pPr>
              <w:ind w:left="40"/>
              <w:spacing w:after="0" w:line="284" w:lineRule="exact"/>
              <w:rPr>
                <w:sz w:val="20"/>
                <w:szCs w:val="20"/>
                <w:color w:val="auto"/>
              </w:rPr>
            </w:pPr>
            <w:r>
              <w:rPr>
                <w:rFonts w:ascii="Arial" w:cs="Arial" w:eastAsia="Arial" w:hAnsi="Arial"/>
                <w:sz w:val="18"/>
                <w:szCs w:val="18"/>
                <w:color w:val="auto"/>
              </w:rPr>
              <w:t>Acceleration of RSUs</w:t>
            </w:r>
            <w:r>
              <w:rPr>
                <w:rFonts w:ascii="Arial" w:cs="Arial" w:eastAsia="Arial" w:hAnsi="Arial"/>
                <w:sz w:val="29"/>
                <w:szCs w:val="29"/>
                <w:color w:val="auto"/>
                <w:vertAlign w:val="superscript"/>
              </w:rPr>
              <w:t>(7)(8)</w:t>
            </w:r>
          </w:p>
        </w:tc>
        <w:tc>
          <w:tcPr>
            <w:tcW w:w="1560" w:type="dxa"/>
            <w:vAlign w:val="bottom"/>
            <w:shd w:val="clear" w:color="auto" w:fill="CDDAE6"/>
          </w:tcPr>
          <w:p>
            <w:pPr>
              <w:jc w:val="right"/>
              <w:spacing w:after="0"/>
              <w:rPr>
                <w:sz w:val="20"/>
                <w:szCs w:val="20"/>
                <w:color w:val="auto"/>
              </w:rPr>
            </w:pPr>
            <w:r>
              <w:rPr>
                <w:rFonts w:ascii="Arial" w:cs="Arial" w:eastAsia="Arial" w:hAnsi="Arial"/>
                <w:sz w:val="18"/>
                <w:szCs w:val="18"/>
                <w:color w:val="auto"/>
              </w:rPr>
              <w:t>1,279,867</w:t>
            </w:r>
          </w:p>
        </w:tc>
        <w:tc>
          <w:tcPr>
            <w:tcW w:w="1520" w:type="dxa"/>
            <w:vAlign w:val="bottom"/>
            <w:gridSpan w:val="2"/>
            <w:shd w:val="clear" w:color="auto" w:fill="CDDAE6"/>
          </w:tcPr>
          <w:p>
            <w:pPr>
              <w:jc w:val="right"/>
              <w:spacing w:after="0"/>
              <w:rPr>
                <w:sz w:val="20"/>
                <w:szCs w:val="20"/>
                <w:color w:val="auto"/>
              </w:rPr>
            </w:pPr>
            <w:r>
              <w:rPr>
                <w:rFonts w:ascii="Arial" w:cs="Arial" w:eastAsia="Arial" w:hAnsi="Arial"/>
                <w:sz w:val="18"/>
                <w:szCs w:val="18"/>
                <w:color w:val="auto"/>
              </w:rPr>
              <w:t>1,279,867</w:t>
            </w:r>
          </w:p>
        </w:tc>
        <w:tc>
          <w:tcPr>
            <w:tcW w:w="80" w:type="dxa"/>
            <w:vAlign w:val="bottom"/>
            <w:shd w:val="clear" w:color="auto" w:fill="CDDAE6"/>
          </w:tcPr>
          <w:p>
            <w:pPr>
              <w:spacing w:after="0"/>
              <w:rPr>
                <w:sz w:val="24"/>
                <w:szCs w:val="24"/>
                <w:color w:val="auto"/>
              </w:rPr>
            </w:pPr>
          </w:p>
        </w:tc>
      </w:tr>
      <w:tr>
        <w:trPr>
          <w:trHeight w:val="284"/>
        </w:trPr>
        <w:tc>
          <w:tcPr>
            <w:tcW w:w="260" w:type="dxa"/>
            <w:vAlign w:val="bottom"/>
          </w:tcPr>
          <w:p>
            <w:pPr>
              <w:spacing w:after="0"/>
              <w:rPr>
                <w:sz w:val="24"/>
                <w:szCs w:val="24"/>
                <w:color w:val="auto"/>
              </w:rPr>
            </w:pPr>
          </w:p>
        </w:tc>
        <w:tc>
          <w:tcPr>
            <w:tcW w:w="6140" w:type="dxa"/>
            <w:vAlign w:val="bottom"/>
          </w:tcPr>
          <w:p>
            <w:pPr>
              <w:ind w:left="40"/>
              <w:spacing w:after="0" w:line="284" w:lineRule="exact"/>
              <w:rPr>
                <w:sz w:val="20"/>
                <w:szCs w:val="20"/>
                <w:color w:val="auto"/>
              </w:rPr>
            </w:pPr>
            <w:r>
              <w:rPr>
                <w:rFonts w:ascii="Arial" w:cs="Arial" w:eastAsia="Arial" w:hAnsi="Arial"/>
                <w:sz w:val="18"/>
                <w:szCs w:val="18"/>
                <w:color w:val="auto"/>
              </w:rPr>
              <w:t>Acceleration of Performance Awards</w:t>
            </w:r>
            <w:r>
              <w:rPr>
                <w:rFonts w:ascii="Arial" w:cs="Arial" w:eastAsia="Arial" w:hAnsi="Arial"/>
                <w:sz w:val="29"/>
                <w:szCs w:val="29"/>
                <w:color w:val="auto"/>
                <w:vertAlign w:val="superscript"/>
              </w:rPr>
              <w:t>(9)(10)</w:t>
            </w:r>
          </w:p>
        </w:tc>
        <w:tc>
          <w:tcPr>
            <w:tcW w:w="1560" w:type="dxa"/>
            <w:vAlign w:val="bottom"/>
          </w:tcPr>
          <w:p>
            <w:pPr>
              <w:jc w:val="right"/>
              <w:spacing w:after="0"/>
              <w:rPr>
                <w:sz w:val="20"/>
                <w:szCs w:val="20"/>
                <w:color w:val="auto"/>
              </w:rPr>
            </w:pPr>
            <w:r>
              <w:rPr>
                <w:rFonts w:ascii="Arial" w:cs="Arial" w:eastAsia="Arial" w:hAnsi="Arial"/>
                <w:sz w:val="18"/>
                <w:szCs w:val="18"/>
                <w:color w:val="auto"/>
              </w:rPr>
              <w:t>497,698</w:t>
            </w:r>
          </w:p>
        </w:tc>
        <w:tc>
          <w:tcPr>
            <w:tcW w:w="16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64"/>
        </w:trPr>
        <w:tc>
          <w:tcPr>
            <w:tcW w:w="260" w:type="dxa"/>
            <w:vAlign w:val="bottom"/>
            <w:tcBorders>
              <w:bottom w:val="single" w:sz="8" w:color="CDDAE6"/>
            </w:tcBorders>
            <w:shd w:val="clear" w:color="auto" w:fill="CDDAE6"/>
          </w:tcPr>
          <w:p>
            <w:pPr>
              <w:spacing w:after="0"/>
              <w:rPr>
                <w:sz w:val="22"/>
                <w:szCs w:val="22"/>
                <w:color w:val="auto"/>
              </w:rPr>
            </w:pPr>
          </w:p>
        </w:tc>
        <w:tc>
          <w:tcPr>
            <w:tcW w:w="6140" w:type="dxa"/>
            <w:vAlign w:val="bottom"/>
            <w:tcBorders>
              <w:bottom w:val="single" w:sz="8" w:color="CDDAE6"/>
            </w:tcBorders>
            <w:shd w:val="clear" w:color="auto" w:fill="CDDAE6"/>
          </w:tcPr>
          <w:p>
            <w:pPr>
              <w:ind w:left="40"/>
              <w:spacing w:after="0" w:line="256" w:lineRule="exact"/>
              <w:rPr>
                <w:sz w:val="20"/>
                <w:szCs w:val="20"/>
                <w:color w:val="auto"/>
              </w:rPr>
            </w:pPr>
            <w:r>
              <w:rPr>
                <w:rFonts w:ascii="Arial" w:cs="Arial" w:eastAsia="Arial" w:hAnsi="Arial"/>
                <w:sz w:val="18"/>
                <w:szCs w:val="18"/>
                <w:color w:val="auto"/>
              </w:rPr>
              <w:t>Restoration SERP</w:t>
            </w:r>
            <w:r>
              <w:rPr>
                <w:rFonts w:ascii="Arial" w:cs="Arial" w:eastAsia="Arial" w:hAnsi="Arial"/>
                <w:sz w:val="29"/>
                <w:szCs w:val="29"/>
                <w:color w:val="auto"/>
                <w:vertAlign w:val="superscript"/>
              </w:rPr>
              <w:t>(11)(12)</w:t>
            </w:r>
          </w:p>
        </w:tc>
        <w:tc>
          <w:tcPr>
            <w:tcW w:w="1560" w:type="dxa"/>
            <w:vAlign w:val="bottom"/>
            <w:tcBorders>
              <w:bottom w:val="single" w:sz="8" w:color="auto"/>
            </w:tcBorders>
            <w:shd w:val="clear" w:color="auto" w:fill="CDDAE6"/>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DDAE6"/>
            </w:tcBorders>
            <w:shd w:val="clear" w:color="auto" w:fill="CDDAE6"/>
          </w:tcPr>
          <w:p>
            <w:pPr>
              <w:spacing w:after="0"/>
              <w:rPr>
                <w:sz w:val="22"/>
                <w:szCs w:val="22"/>
                <w:color w:val="auto"/>
              </w:rPr>
            </w:pPr>
          </w:p>
        </w:tc>
        <w:tc>
          <w:tcPr>
            <w:tcW w:w="1360" w:type="dxa"/>
            <w:vAlign w:val="bottom"/>
            <w:tcBorders>
              <w:bottom w:val="single" w:sz="8" w:color="auto"/>
            </w:tcBorders>
            <w:shd w:val="clear" w:color="auto" w:fill="CDDA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DDAE6"/>
            </w:tcBorders>
            <w:shd w:val="clear" w:color="auto" w:fill="CDDAE6"/>
          </w:tcPr>
          <w:p>
            <w:pPr>
              <w:spacing w:after="0"/>
              <w:rPr>
                <w:sz w:val="22"/>
                <w:szCs w:val="22"/>
                <w:color w:val="auto"/>
              </w:rPr>
            </w:pPr>
          </w:p>
        </w:tc>
      </w:tr>
      <w:tr>
        <w:trPr>
          <w:trHeight w:val="230"/>
        </w:trPr>
        <w:tc>
          <w:tcPr>
            <w:tcW w:w="260" w:type="dxa"/>
            <w:vAlign w:val="bottom"/>
          </w:tcPr>
          <w:p>
            <w:pPr>
              <w:spacing w:after="0"/>
              <w:rPr>
                <w:sz w:val="19"/>
                <w:szCs w:val="19"/>
                <w:color w:val="auto"/>
              </w:rPr>
            </w:pPr>
          </w:p>
        </w:tc>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10,385,819</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4,258,080</w:t>
            </w:r>
          </w:p>
        </w:tc>
        <w:tc>
          <w:tcPr>
            <w:tcW w:w="80" w:type="dxa"/>
            <w:vAlign w:val="bottom"/>
          </w:tcPr>
          <w:p>
            <w:pPr>
              <w:spacing w:after="0"/>
              <w:rPr>
                <w:sz w:val="19"/>
                <w:szCs w:val="19"/>
                <w:color w:val="auto"/>
              </w:rPr>
            </w:pPr>
          </w:p>
        </w:tc>
      </w:tr>
      <w:tr>
        <w:trPr>
          <w:trHeight w:val="28"/>
        </w:trPr>
        <w:tc>
          <w:tcPr>
            <w:tcW w:w="6400" w:type="dxa"/>
            <w:vAlign w:val="bottom"/>
            <w:gridSpan w:val="2"/>
          </w:tcPr>
          <w:p>
            <w:pPr>
              <w:spacing w:after="0"/>
              <w:rPr>
                <w:sz w:val="2"/>
                <w:szCs w:val="2"/>
                <w:color w:val="auto"/>
              </w:rPr>
            </w:pPr>
          </w:p>
        </w:tc>
        <w:tc>
          <w:tcPr>
            <w:tcW w:w="15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6400" w:type="dxa"/>
            <w:vAlign w:val="bottom"/>
            <w:gridSpan w:val="2"/>
            <w:shd w:val="clear" w:color="auto" w:fill="CDDAE6"/>
          </w:tcPr>
          <w:p>
            <w:pPr>
              <w:ind w:left="20"/>
              <w:spacing w:after="0"/>
              <w:rPr>
                <w:sz w:val="20"/>
                <w:szCs w:val="20"/>
                <w:color w:val="auto"/>
              </w:rPr>
            </w:pPr>
            <w:r>
              <w:rPr>
                <w:rFonts w:ascii="Arial" w:cs="Arial" w:eastAsia="Arial" w:hAnsi="Arial"/>
                <w:sz w:val="18"/>
                <w:szCs w:val="18"/>
                <w:b w:val="1"/>
                <w:bCs w:val="1"/>
                <w:color w:val="auto"/>
              </w:rPr>
              <w:t>Ralph G. D’Ambrosio</w:t>
            </w:r>
          </w:p>
        </w:tc>
        <w:tc>
          <w:tcPr>
            <w:tcW w:w="1560" w:type="dxa"/>
            <w:vAlign w:val="bottom"/>
            <w:shd w:val="clear" w:color="auto" w:fill="CDDAE6"/>
          </w:tcPr>
          <w:p>
            <w:pPr>
              <w:spacing w:after="0"/>
              <w:rPr>
                <w:sz w:val="21"/>
                <w:szCs w:val="21"/>
                <w:color w:val="auto"/>
              </w:rPr>
            </w:pPr>
          </w:p>
        </w:tc>
        <w:tc>
          <w:tcPr>
            <w:tcW w:w="160" w:type="dxa"/>
            <w:vAlign w:val="bottom"/>
            <w:shd w:val="clear" w:color="auto" w:fill="CDDAE6"/>
          </w:tcPr>
          <w:p>
            <w:pPr>
              <w:spacing w:after="0"/>
              <w:rPr>
                <w:sz w:val="21"/>
                <w:szCs w:val="21"/>
                <w:color w:val="auto"/>
              </w:rPr>
            </w:pPr>
          </w:p>
        </w:tc>
        <w:tc>
          <w:tcPr>
            <w:tcW w:w="1360" w:type="dxa"/>
            <w:vAlign w:val="bottom"/>
            <w:shd w:val="clear" w:color="auto" w:fill="CDDAE6"/>
          </w:tcPr>
          <w:p>
            <w:pPr>
              <w:spacing w:after="0"/>
              <w:rPr>
                <w:sz w:val="21"/>
                <w:szCs w:val="21"/>
                <w:color w:val="auto"/>
              </w:rPr>
            </w:pPr>
          </w:p>
        </w:tc>
        <w:tc>
          <w:tcPr>
            <w:tcW w:w="80" w:type="dxa"/>
            <w:vAlign w:val="bottom"/>
            <w:shd w:val="clear" w:color="auto" w:fill="CDDAE6"/>
          </w:tcPr>
          <w:p>
            <w:pPr>
              <w:spacing w:after="0"/>
              <w:rPr>
                <w:sz w:val="21"/>
                <w:szCs w:val="21"/>
                <w:color w:val="auto"/>
              </w:rPr>
            </w:pPr>
          </w:p>
        </w:tc>
      </w:tr>
      <w:tr>
        <w:trPr>
          <w:trHeight w:val="284"/>
        </w:trPr>
        <w:tc>
          <w:tcPr>
            <w:tcW w:w="260" w:type="dxa"/>
            <w:vAlign w:val="bottom"/>
          </w:tcPr>
          <w:p>
            <w:pPr>
              <w:spacing w:after="0"/>
              <w:rPr>
                <w:sz w:val="24"/>
                <w:szCs w:val="24"/>
                <w:color w:val="auto"/>
              </w:rPr>
            </w:pPr>
          </w:p>
        </w:tc>
        <w:tc>
          <w:tcPr>
            <w:tcW w:w="6140" w:type="dxa"/>
            <w:vAlign w:val="bottom"/>
          </w:tcPr>
          <w:p>
            <w:pPr>
              <w:ind w:left="40"/>
              <w:spacing w:after="0" w:line="284" w:lineRule="exact"/>
              <w:rPr>
                <w:sz w:val="20"/>
                <w:szCs w:val="20"/>
                <w:color w:val="auto"/>
              </w:rPr>
            </w:pPr>
            <w:r>
              <w:rPr>
                <w:rFonts w:ascii="Arial" w:cs="Arial" w:eastAsia="Arial" w:hAnsi="Arial"/>
                <w:sz w:val="18"/>
                <w:szCs w:val="18"/>
                <w:color w:val="auto"/>
              </w:rPr>
              <w:t>Severance</w:t>
            </w:r>
            <w:r>
              <w:rPr>
                <w:rFonts w:ascii="Arial" w:cs="Arial" w:eastAsia="Arial" w:hAnsi="Arial"/>
                <w:sz w:val="29"/>
                <w:szCs w:val="29"/>
                <w:color w:val="auto"/>
                <w:vertAlign w:val="superscript"/>
              </w:rPr>
              <w:t>(1)(2)</w:t>
            </w:r>
          </w:p>
        </w:tc>
        <w:tc>
          <w:tcPr>
            <w:tcW w:w="1560" w:type="dxa"/>
            <w:vAlign w:val="bottom"/>
          </w:tcPr>
          <w:p>
            <w:pPr>
              <w:jc w:val="right"/>
              <w:spacing w:after="0"/>
              <w:rPr>
                <w:sz w:val="20"/>
                <w:szCs w:val="20"/>
                <w:color w:val="auto"/>
              </w:rPr>
            </w:pPr>
            <w:r>
              <w:rPr>
                <w:rFonts w:ascii="Arial" w:cs="Arial" w:eastAsia="Arial" w:hAnsi="Arial"/>
                <w:sz w:val="18"/>
                <w:szCs w:val="18"/>
                <w:color w:val="auto"/>
              </w:rPr>
              <w:t>3,419,300</w:t>
            </w:r>
          </w:p>
        </w:tc>
        <w:tc>
          <w:tcPr>
            <w:tcW w:w="16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84"/>
        </w:trPr>
        <w:tc>
          <w:tcPr>
            <w:tcW w:w="260" w:type="dxa"/>
            <w:vAlign w:val="bottom"/>
            <w:shd w:val="clear" w:color="auto" w:fill="CDDAE6"/>
          </w:tcPr>
          <w:p>
            <w:pPr>
              <w:spacing w:after="0"/>
              <w:rPr>
                <w:sz w:val="24"/>
                <w:szCs w:val="24"/>
                <w:color w:val="auto"/>
              </w:rPr>
            </w:pPr>
          </w:p>
        </w:tc>
        <w:tc>
          <w:tcPr>
            <w:tcW w:w="6140" w:type="dxa"/>
            <w:vAlign w:val="bottom"/>
            <w:shd w:val="clear" w:color="auto" w:fill="CDDAE6"/>
          </w:tcPr>
          <w:p>
            <w:pPr>
              <w:ind w:left="40"/>
              <w:spacing w:after="0" w:line="284" w:lineRule="exact"/>
              <w:rPr>
                <w:sz w:val="20"/>
                <w:szCs w:val="20"/>
                <w:color w:val="auto"/>
              </w:rPr>
            </w:pPr>
            <w:r>
              <w:rPr>
                <w:rFonts w:ascii="Arial" w:cs="Arial" w:eastAsia="Arial" w:hAnsi="Arial"/>
                <w:sz w:val="18"/>
                <w:szCs w:val="18"/>
                <w:color w:val="auto"/>
              </w:rPr>
              <w:t>Medical Benefits</w:t>
            </w:r>
            <w:r>
              <w:rPr>
                <w:rFonts w:ascii="Arial" w:cs="Arial" w:eastAsia="Arial" w:hAnsi="Arial"/>
                <w:sz w:val="29"/>
                <w:szCs w:val="29"/>
                <w:color w:val="auto"/>
                <w:vertAlign w:val="superscript"/>
              </w:rPr>
              <w:t>(1)(3)</w:t>
            </w:r>
          </w:p>
        </w:tc>
        <w:tc>
          <w:tcPr>
            <w:tcW w:w="1560" w:type="dxa"/>
            <w:vAlign w:val="bottom"/>
            <w:shd w:val="clear" w:color="auto" w:fill="CDDAE6"/>
          </w:tcPr>
          <w:p>
            <w:pPr>
              <w:jc w:val="right"/>
              <w:spacing w:after="0"/>
              <w:rPr>
                <w:sz w:val="20"/>
                <w:szCs w:val="20"/>
                <w:color w:val="auto"/>
              </w:rPr>
            </w:pPr>
            <w:r>
              <w:rPr>
                <w:rFonts w:ascii="Arial" w:cs="Arial" w:eastAsia="Arial" w:hAnsi="Arial"/>
                <w:sz w:val="18"/>
                <w:szCs w:val="18"/>
                <w:color w:val="auto"/>
              </w:rPr>
              <w:t>105,264</w:t>
            </w:r>
          </w:p>
        </w:tc>
        <w:tc>
          <w:tcPr>
            <w:tcW w:w="160" w:type="dxa"/>
            <w:vAlign w:val="bottom"/>
            <w:shd w:val="clear" w:color="auto" w:fill="CDDAE6"/>
          </w:tcPr>
          <w:p>
            <w:pPr>
              <w:spacing w:after="0"/>
              <w:rPr>
                <w:sz w:val="24"/>
                <w:szCs w:val="24"/>
                <w:color w:val="auto"/>
              </w:rPr>
            </w:pPr>
          </w:p>
        </w:tc>
        <w:tc>
          <w:tcPr>
            <w:tcW w:w="1440" w:type="dxa"/>
            <w:vAlign w:val="bottom"/>
            <w:gridSpan w:val="2"/>
            <w:shd w:val="clear" w:color="auto" w:fill="CDDAE6"/>
          </w:tcPr>
          <w:p>
            <w:pPr>
              <w:jc w:val="right"/>
              <w:ind w:right="80"/>
              <w:spacing w:after="0"/>
              <w:rPr>
                <w:sz w:val="20"/>
                <w:szCs w:val="20"/>
                <w:color w:val="auto"/>
              </w:rPr>
            </w:pPr>
            <w:r>
              <w:rPr>
                <w:rFonts w:ascii="Arial" w:cs="Arial" w:eastAsia="Arial" w:hAnsi="Arial"/>
                <w:sz w:val="18"/>
                <w:szCs w:val="18"/>
                <w:color w:val="auto"/>
              </w:rPr>
              <w:t>—</w:t>
            </w:r>
          </w:p>
        </w:tc>
      </w:tr>
      <w:tr>
        <w:trPr>
          <w:trHeight w:val="284"/>
        </w:trPr>
        <w:tc>
          <w:tcPr>
            <w:tcW w:w="260" w:type="dxa"/>
            <w:vAlign w:val="bottom"/>
          </w:tcPr>
          <w:p>
            <w:pPr>
              <w:spacing w:after="0"/>
              <w:rPr>
                <w:sz w:val="24"/>
                <w:szCs w:val="24"/>
                <w:color w:val="auto"/>
              </w:rPr>
            </w:pPr>
          </w:p>
        </w:tc>
        <w:tc>
          <w:tcPr>
            <w:tcW w:w="6140" w:type="dxa"/>
            <w:vAlign w:val="bottom"/>
          </w:tcPr>
          <w:p>
            <w:pPr>
              <w:ind w:left="40"/>
              <w:spacing w:after="0" w:line="284" w:lineRule="exact"/>
              <w:rPr>
                <w:sz w:val="20"/>
                <w:szCs w:val="20"/>
                <w:color w:val="auto"/>
              </w:rPr>
            </w:pPr>
            <w:r>
              <w:rPr>
                <w:rFonts w:ascii="Arial" w:cs="Arial" w:eastAsia="Arial" w:hAnsi="Arial"/>
                <w:sz w:val="18"/>
                <w:szCs w:val="18"/>
                <w:color w:val="auto"/>
              </w:rPr>
              <w:t>Life Insurance Premiums</w:t>
            </w:r>
            <w:r>
              <w:rPr>
                <w:rFonts w:ascii="Arial" w:cs="Arial" w:eastAsia="Arial" w:hAnsi="Arial"/>
                <w:sz w:val="29"/>
                <w:szCs w:val="29"/>
                <w:color w:val="auto"/>
                <w:vertAlign w:val="superscript"/>
              </w:rPr>
              <w:t>(1)(3)</w:t>
            </w:r>
          </w:p>
        </w:tc>
        <w:tc>
          <w:tcPr>
            <w:tcW w:w="1560" w:type="dxa"/>
            <w:vAlign w:val="bottom"/>
          </w:tcPr>
          <w:p>
            <w:pPr>
              <w:jc w:val="right"/>
              <w:spacing w:after="0"/>
              <w:rPr>
                <w:sz w:val="20"/>
                <w:szCs w:val="20"/>
                <w:color w:val="auto"/>
              </w:rPr>
            </w:pPr>
            <w:r>
              <w:rPr>
                <w:rFonts w:ascii="Arial" w:cs="Arial" w:eastAsia="Arial" w:hAnsi="Arial"/>
                <w:sz w:val="18"/>
                <w:szCs w:val="18"/>
                <w:color w:val="auto"/>
              </w:rPr>
              <w:t>36,432</w:t>
            </w:r>
          </w:p>
        </w:tc>
        <w:tc>
          <w:tcPr>
            <w:tcW w:w="16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84"/>
        </w:trPr>
        <w:tc>
          <w:tcPr>
            <w:tcW w:w="260" w:type="dxa"/>
            <w:vAlign w:val="bottom"/>
            <w:shd w:val="clear" w:color="auto" w:fill="CDDAE6"/>
          </w:tcPr>
          <w:p>
            <w:pPr>
              <w:spacing w:after="0"/>
              <w:rPr>
                <w:sz w:val="24"/>
                <w:szCs w:val="24"/>
                <w:color w:val="auto"/>
              </w:rPr>
            </w:pPr>
          </w:p>
        </w:tc>
        <w:tc>
          <w:tcPr>
            <w:tcW w:w="6140" w:type="dxa"/>
            <w:vAlign w:val="bottom"/>
            <w:shd w:val="clear" w:color="auto" w:fill="CDDAE6"/>
          </w:tcPr>
          <w:p>
            <w:pPr>
              <w:ind w:left="40"/>
              <w:spacing w:after="0" w:line="284" w:lineRule="exact"/>
              <w:rPr>
                <w:sz w:val="20"/>
                <w:szCs w:val="20"/>
                <w:color w:val="auto"/>
              </w:rPr>
            </w:pPr>
            <w:r>
              <w:rPr>
                <w:rFonts w:ascii="Arial" w:cs="Arial" w:eastAsia="Arial" w:hAnsi="Arial"/>
                <w:sz w:val="18"/>
                <w:szCs w:val="18"/>
                <w:color w:val="auto"/>
              </w:rPr>
              <w:t>Outplacement Benefits</w:t>
            </w:r>
            <w:r>
              <w:rPr>
                <w:rFonts w:ascii="Arial" w:cs="Arial" w:eastAsia="Arial" w:hAnsi="Arial"/>
                <w:sz w:val="29"/>
                <w:szCs w:val="29"/>
                <w:color w:val="auto"/>
                <w:vertAlign w:val="superscript"/>
              </w:rPr>
              <w:t>(1)(4)</w:t>
            </w:r>
          </w:p>
        </w:tc>
        <w:tc>
          <w:tcPr>
            <w:tcW w:w="1560" w:type="dxa"/>
            <w:vAlign w:val="bottom"/>
            <w:shd w:val="clear" w:color="auto" w:fill="CDDAE6"/>
          </w:tcPr>
          <w:p>
            <w:pPr>
              <w:jc w:val="right"/>
              <w:spacing w:after="0"/>
              <w:rPr>
                <w:sz w:val="20"/>
                <w:szCs w:val="20"/>
                <w:color w:val="auto"/>
              </w:rPr>
            </w:pPr>
            <w:r>
              <w:rPr>
                <w:rFonts w:ascii="Arial" w:cs="Arial" w:eastAsia="Arial" w:hAnsi="Arial"/>
                <w:sz w:val="18"/>
                <w:szCs w:val="18"/>
                <w:color w:val="auto"/>
              </w:rPr>
              <w:t>6,400</w:t>
            </w:r>
          </w:p>
        </w:tc>
        <w:tc>
          <w:tcPr>
            <w:tcW w:w="160" w:type="dxa"/>
            <w:vAlign w:val="bottom"/>
            <w:shd w:val="clear" w:color="auto" w:fill="CDDAE6"/>
          </w:tcPr>
          <w:p>
            <w:pPr>
              <w:spacing w:after="0"/>
              <w:rPr>
                <w:sz w:val="24"/>
                <w:szCs w:val="24"/>
                <w:color w:val="auto"/>
              </w:rPr>
            </w:pPr>
          </w:p>
        </w:tc>
        <w:tc>
          <w:tcPr>
            <w:tcW w:w="1440" w:type="dxa"/>
            <w:vAlign w:val="bottom"/>
            <w:gridSpan w:val="2"/>
            <w:shd w:val="clear" w:color="auto" w:fill="CDDAE6"/>
          </w:tcPr>
          <w:p>
            <w:pPr>
              <w:jc w:val="right"/>
              <w:ind w:right="80"/>
              <w:spacing w:after="0"/>
              <w:rPr>
                <w:sz w:val="20"/>
                <w:szCs w:val="20"/>
                <w:color w:val="auto"/>
              </w:rPr>
            </w:pPr>
            <w:r>
              <w:rPr>
                <w:rFonts w:ascii="Arial" w:cs="Arial" w:eastAsia="Arial" w:hAnsi="Arial"/>
                <w:sz w:val="18"/>
                <w:szCs w:val="18"/>
                <w:color w:val="auto"/>
              </w:rPr>
              <w:t>—</w:t>
            </w:r>
          </w:p>
        </w:tc>
      </w:tr>
      <w:tr>
        <w:trPr>
          <w:trHeight w:val="284"/>
        </w:trPr>
        <w:tc>
          <w:tcPr>
            <w:tcW w:w="260" w:type="dxa"/>
            <w:vAlign w:val="bottom"/>
          </w:tcPr>
          <w:p>
            <w:pPr>
              <w:spacing w:after="0"/>
              <w:rPr>
                <w:sz w:val="24"/>
                <w:szCs w:val="24"/>
                <w:color w:val="auto"/>
              </w:rPr>
            </w:pPr>
          </w:p>
        </w:tc>
        <w:tc>
          <w:tcPr>
            <w:tcW w:w="6140" w:type="dxa"/>
            <w:vAlign w:val="bottom"/>
          </w:tcPr>
          <w:p>
            <w:pPr>
              <w:ind w:left="40"/>
              <w:spacing w:after="0" w:line="284" w:lineRule="exact"/>
              <w:rPr>
                <w:sz w:val="20"/>
                <w:szCs w:val="20"/>
                <w:color w:val="auto"/>
              </w:rPr>
            </w:pPr>
            <w:r>
              <w:rPr>
                <w:rFonts w:ascii="Arial" w:cs="Arial" w:eastAsia="Arial" w:hAnsi="Arial"/>
                <w:sz w:val="18"/>
                <w:szCs w:val="18"/>
                <w:color w:val="auto"/>
              </w:rPr>
              <w:t>Acceleration of Stock Options</w:t>
            </w:r>
            <w:r>
              <w:rPr>
                <w:rFonts w:ascii="Arial" w:cs="Arial" w:eastAsia="Arial" w:hAnsi="Arial"/>
                <w:sz w:val="29"/>
                <w:szCs w:val="29"/>
                <w:color w:val="auto"/>
                <w:vertAlign w:val="superscript"/>
              </w:rPr>
              <w:t>(5)(6)</w:t>
            </w:r>
          </w:p>
        </w:tc>
        <w:tc>
          <w:tcPr>
            <w:tcW w:w="1560" w:type="dxa"/>
            <w:vAlign w:val="bottom"/>
          </w:tcPr>
          <w:p>
            <w:pPr>
              <w:jc w:val="right"/>
              <w:spacing w:after="0"/>
              <w:rPr>
                <w:sz w:val="20"/>
                <w:szCs w:val="20"/>
                <w:color w:val="auto"/>
              </w:rPr>
            </w:pPr>
            <w:r>
              <w:rPr>
                <w:rFonts w:ascii="Arial" w:cs="Arial" w:eastAsia="Arial" w:hAnsi="Arial"/>
                <w:sz w:val="18"/>
                <w:szCs w:val="18"/>
                <w:color w:val="auto"/>
              </w:rPr>
              <w:t>2,769,723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2,769,723</w:t>
            </w:r>
          </w:p>
        </w:tc>
        <w:tc>
          <w:tcPr>
            <w:tcW w:w="80" w:type="dxa"/>
            <w:vAlign w:val="bottom"/>
          </w:tcPr>
          <w:p>
            <w:pPr>
              <w:spacing w:after="0"/>
              <w:rPr>
                <w:sz w:val="24"/>
                <w:szCs w:val="24"/>
                <w:color w:val="auto"/>
              </w:rPr>
            </w:pPr>
          </w:p>
        </w:tc>
      </w:tr>
      <w:tr>
        <w:trPr>
          <w:trHeight w:val="284"/>
        </w:trPr>
        <w:tc>
          <w:tcPr>
            <w:tcW w:w="260" w:type="dxa"/>
            <w:vAlign w:val="bottom"/>
            <w:shd w:val="clear" w:color="auto" w:fill="CDDAE6"/>
          </w:tcPr>
          <w:p>
            <w:pPr>
              <w:spacing w:after="0"/>
              <w:rPr>
                <w:sz w:val="24"/>
                <w:szCs w:val="24"/>
                <w:color w:val="auto"/>
              </w:rPr>
            </w:pPr>
          </w:p>
        </w:tc>
        <w:tc>
          <w:tcPr>
            <w:tcW w:w="6140" w:type="dxa"/>
            <w:vAlign w:val="bottom"/>
            <w:shd w:val="clear" w:color="auto" w:fill="CDDAE6"/>
          </w:tcPr>
          <w:p>
            <w:pPr>
              <w:ind w:left="40"/>
              <w:spacing w:after="0" w:line="284" w:lineRule="exact"/>
              <w:rPr>
                <w:sz w:val="20"/>
                <w:szCs w:val="20"/>
                <w:color w:val="auto"/>
              </w:rPr>
            </w:pPr>
            <w:r>
              <w:rPr>
                <w:rFonts w:ascii="Arial" w:cs="Arial" w:eastAsia="Arial" w:hAnsi="Arial"/>
                <w:sz w:val="18"/>
                <w:szCs w:val="18"/>
                <w:color w:val="auto"/>
              </w:rPr>
              <w:t>Acceleration of RSUs</w:t>
            </w:r>
            <w:r>
              <w:rPr>
                <w:rFonts w:ascii="Arial" w:cs="Arial" w:eastAsia="Arial" w:hAnsi="Arial"/>
                <w:sz w:val="29"/>
                <w:szCs w:val="29"/>
                <w:color w:val="auto"/>
                <w:vertAlign w:val="superscript"/>
              </w:rPr>
              <w:t>(7)(8)</w:t>
            </w:r>
          </w:p>
        </w:tc>
        <w:tc>
          <w:tcPr>
            <w:tcW w:w="1560" w:type="dxa"/>
            <w:vAlign w:val="bottom"/>
            <w:shd w:val="clear" w:color="auto" w:fill="CDDAE6"/>
          </w:tcPr>
          <w:p>
            <w:pPr>
              <w:jc w:val="right"/>
              <w:spacing w:after="0"/>
              <w:rPr>
                <w:sz w:val="20"/>
                <w:szCs w:val="20"/>
                <w:color w:val="auto"/>
              </w:rPr>
            </w:pPr>
            <w:r>
              <w:rPr>
                <w:rFonts w:ascii="Arial" w:cs="Arial" w:eastAsia="Arial" w:hAnsi="Arial"/>
                <w:sz w:val="18"/>
                <w:szCs w:val="18"/>
                <w:color w:val="auto"/>
              </w:rPr>
              <w:t>3,102,902</w:t>
            </w:r>
          </w:p>
        </w:tc>
        <w:tc>
          <w:tcPr>
            <w:tcW w:w="1520" w:type="dxa"/>
            <w:vAlign w:val="bottom"/>
            <w:gridSpan w:val="2"/>
            <w:shd w:val="clear" w:color="auto" w:fill="CDDAE6"/>
          </w:tcPr>
          <w:p>
            <w:pPr>
              <w:jc w:val="right"/>
              <w:spacing w:after="0"/>
              <w:rPr>
                <w:sz w:val="20"/>
                <w:szCs w:val="20"/>
                <w:color w:val="auto"/>
              </w:rPr>
            </w:pPr>
            <w:r>
              <w:rPr>
                <w:rFonts w:ascii="Arial" w:cs="Arial" w:eastAsia="Arial" w:hAnsi="Arial"/>
                <w:sz w:val="18"/>
                <w:szCs w:val="18"/>
                <w:color w:val="auto"/>
              </w:rPr>
              <w:t>3,102,902</w:t>
            </w:r>
          </w:p>
        </w:tc>
        <w:tc>
          <w:tcPr>
            <w:tcW w:w="80" w:type="dxa"/>
            <w:vAlign w:val="bottom"/>
            <w:shd w:val="clear" w:color="auto" w:fill="CDDAE6"/>
          </w:tcPr>
          <w:p>
            <w:pPr>
              <w:spacing w:after="0"/>
              <w:rPr>
                <w:sz w:val="24"/>
                <w:szCs w:val="24"/>
                <w:color w:val="auto"/>
              </w:rPr>
            </w:pPr>
          </w:p>
        </w:tc>
      </w:tr>
      <w:tr>
        <w:trPr>
          <w:trHeight w:val="284"/>
        </w:trPr>
        <w:tc>
          <w:tcPr>
            <w:tcW w:w="260" w:type="dxa"/>
            <w:vAlign w:val="bottom"/>
          </w:tcPr>
          <w:p>
            <w:pPr>
              <w:spacing w:after="0"/>
              <w:rPr>
                <w:sz w:val="24"/>
                <w:szCs w:val="24"/>
                <w:color w:val="auto"/>
              </w:rPr>
            </w:pPr>
          </w:p>
        </w:tc>
        <w:tc>
          <w:tcPr>
            <w:tcW w:w="6140" w:type="dxa"/>
            <w:vAlign w:val="bottom"/>
          </w:tcPr>
          <w:p>
            <w:pPr>
              <w:ind w:left="40"/>
              <w:spacing w:after="0" w:line="284" w:lineRule="exact"/>
              <w:rPr>
                <w:sz w:val="20"/>
                <w:szCs w:val="20"/>
                <w:color w:val="auto"/>
              </w:rPr>
            </w:pPr>
            <w:r>
              <w:rPr>
                <w:rFonts w:ascii="Arial" w:cs="Arial" w:eastAsia="Arial" w:hAnsi="Arial"/>
                <w:sz w:val="18"/>
                <w:szCs w:val="18"/>
                <w:color w:val="auto"/>
              </w:rPr>
              <w:t>Acceleration of Performance Awards</w:t>
            </w:r>
            <w:r>
              <w:rPr>
                <w:rFonts w:ascii="Arial" w:cs="Arial" w:eastAsia="Arial" w:hAnsi="Arial"/>
                <w:sz w:val="29"/>
                <w:szCs w:val="29"/>
                <w:color w:val="auto"/>
                <w:vertAlign w:val="superscript"/>
              </w:rPr>
              <w:t>(9)(10)</w:t>
            </w:r>
          </w:p>
        </w:tc>
        <w:tc>
          <w:tcPr>
            <w:tcW w:w="1560" w:type="dxa"/>
            <w:vAlign w:val="bottom"/>
          </w:tcPr>
          <w:p>
            <w:pPr>
              <w:jc w:val="right"/>
              <w:spacing w:after="0"/>
              <w:rPr>
                <w:sz w:val="20"/>
                <w:szCs w:val="20"/>
                <w:color w:val="auto"/>
              </w:rPr>
            </w:pPr>
            <w:r>
              <w:rPr>
                <w:rFonts w:ascii="Arial" w:cs="Arial" w:eastAsia="Arial" w:hAnsi="Arial"/>
                <w:sz w:val="18"/>
                <w:szCs w:val="18"/>
                <w:color w:val="auto"/>
              </w:rPr>
              <w:t>1,147,685</w:t>
            </w:r>
          </w:p>
        </w:tc>
        <w:tc>
          <w:tcPr>
            <w:tcW w:w="16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64"/>
        </w:trPr>
        <w:tc>
          <w:tcPr>
            <w:tcW w:w="260" w:type="dxa"/>
            <w:vAlign w:val="bottom"/>
            <w:tcBorders>
              <w:bottom w:val="single" w:sz="8" w:color="CDDAE6"/>
            </w:tcBorders>
            <w:shd w:val="clear" w:color="auto" w:fill="CDDAE6"/>
          </w:tcPr>
          <w:p>
            <w:pPr>
              <w:spacing w:after="0"/>
              <w:rPr>
                <w:sz w:val="22"/>
                <w:szCs w:val="22"/>
                <w:color w:val="auto"/>
              </w:rPr>
            </w:pPr>
          </w:p>
        </w:tc>
        <w:tc>
          <w:tcPr>
            <w:tcW w:w="6140" w:type="dxa"/>
            <w:vAlign w:val="bottom"/>
            <w:tcBorders>
              <w:bottom w:val="single" w:sz="8" w:color="CDDAE6"/>
            </w:tcBorders>
            <w:shd w:val="clear" w:color="auto" w:fill="CDDAE6"/>
          </w:tcPr>
          <w:p>
            <w:pPr>
              <w:ind w:left="40"/>
              <w:spacing w:after="0" w:line="256" w:lineRule="exact"/>
              <w:rPr>
                <w:sz w:val="20"/>
                <w:szCs w:val="20"/>
                <w:color w:val="auto"/>
              </w:rPr>
            </w:pPr>
            <w:r>
              <w:rPr>
                <w:rFonts w:ascii="Arial" w:cs="Arial" w:eastAsia="Arial" w:hAnsi="Arial"/>
                <w:sz w:val="18"/>
                <w:szCs w:val="18"/>
                <w:color w:val="auto"/>
              </w:rPr>
              <w:t>Restoration SERP</w:t>
            </w:r>
            <w:r>
              <w:rPr>
                <w:rFonts w:ascii="Arial" w:cs="Arial" w:eastAsia="Arial" w:hAnsi="Arial"/>
                <w:sz w:val="29"/>
                <w:szCs w:val="29"/>
                <w:color w:val="auto"/>
                <w:vertAlign w:val="superscript"/>
              </w:rPr>
              <w:t>(11)</w:t>
            </w:r>
          </w:p>
        </w:tc>
        <w:tc>
          <w:tcPr>
            <w:tcW w:w="1560" w:type="dxa"/>
            <w:vAlign w:val="bottom"/>
            <w:tcBorders>
              <w:bottom w:val="single" w:sz="8" w:color="auto"/>
            </w:tcBorders>
            <w:shd w:val="clear" w:color="auto" w:fill="CDDAE6"/>
          </w:tcPr>
          <w:p>
            <w:pPr>
              <w:jc w:val="right"/>
              <w:spacing w:after="0"/>
              <w:rPr>
                <w:sz w:val="20"/>
                <w:szCs w:val="20"/>
                <w:color w:val="auto"/>
              </w:rPr>
            </w:pPr>
            <w:r>
              <w:rPr>
                <w:rFonts w:ascii="Arial" w:cs="Arial" w:eastAsia="Arial" w:hAnsi="Arial"/>
                <w:sz w:val="18"/>
                <w:szCs w:val="18"/>
                <w:color w:val="auto"/>
              </w:rPr>
              <w:t>25,987</w:t>
            </w:r>
          </w:p>
        </w:tc>
        <w:tc>
          <w:tcPr>
            <w:tcW w:w="160" w:type="dxa"/>
            <w:vAlign w:val="bottom"/>
            <w:tcBorders>
              <w:bottom w:val="single" w:sz="8" w:color="CDDAE6"/>
            </w:tcBorders>
            <w:shd w:val="clear" w:color="auto" w:fill="CDDAE6"/>
          </w:tcPr>
          <w:p>
            <w:pPr>
              <w:spacing w:after="0"/>
              <w:rPr>
                <w:sz w:val="22"/>
                <w:szCs w:val="22"/>
                <w:color w:val="auto"/>
              </w:rPr>
            </w:pPr>
          </w:p>
        </w:tc>
        <w:tc>
          <w:tcPr>
            <w:tcW w:w="1360" w:type="dxa"/>
            <w:vAlign w:val="bottom"/>
            <w:tcBorders>
              <w:bottom w:val="single" w:sz="8" w:color="auto"/>
            </w:tcBorders>
            <w:shd w:val="clear" w:color="auto" w:fill="CDDA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DDAE6"/>
            </w:tcBorders>
            <w:shd w:val="clear" w:color="auto" w:fill="CDDAE6"/>
          </w:tcPr>
          <w:p>
            <w:pPr>
              <w:spacing w:after="0"/>
              <w:rPr>
                <w:sz w:val="22"/>
                <w:szCs w:val="22"/>
                <w:color w:val="auto"/>
              </w:rPr>
            </w:pPr>
          </w:p>
        </w:tc>
      </w:tr>
      <w:tr>
        <w:trPr>
          <w:trHeight w:val="230"/>
        </w:trPr>
        <w:tc>
          <w:tcPr>
            <w:tcW w:w="260" w:type="dxa"/>
            <w:vAlign w:val="bottom"/>
          </w:tcPr>
          <w:p>
            <w:pPr>
              <w:spacing w:after="0"/>
              <w:rPr>
                <w:sz w:val="19"/>
                <w:szCs w:val="19"/>
                <w:color w:val="auto"/>
              </w:rPr>
            </w:pPr>
          </w:p>
        </w:tc>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10,613,693</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5,872,625</w:t>
            </w:r>
          </w:p>
        </w:tc>
        <w:tc>
          <w:tcPr>
            <w:tcW w:w="80" w:type="dxa"/>
            <w:vAlign w:val="bottom"/>
          </w:tcPr>
          <w:p>
            <w:pPr>
              <w:spacing w:after="0"/>
              <w:rPr>
                <w:sz w:val="19"/>
                <w:szCs w:val="19"/>
                <w:color w:val="auto"/>
              </w:rPr>
            </w:pPr>
          </w:p>
        </w:tc>
      </w:tr>
      <w:tr>
        <w:trPr>
          <w:trHeight w:val="21"/>
        </w:trPr>
        <w:tc>
          <w:tcPr>
            <w:tcW w:w="2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260" w:type="dxa"/>
            <w:vAlign w:val="bottom"/>
            <w:tcBorders>
              <w:bottom w:val="single" w:sz="8" w:color="005C7D"/>
            </w:tcBorders>
          </w:tcPr>
          <w:p>
            <w:pPr>
              <w:spacing w:after="0" w:line="20" w:lineRule="exact"/>
              <w:rPr>
                <w:sz w:val="1"/>
                <w:szCs w:val="1"/>
                <w:color w:val="auto"/>
              </w:rPr>
            </w:pPr>
          </w:p>
        </w:tc>
        <w:tc>
          <w:tcPr>
            <w:tcW w:w="6140" w:type="dxa"/>
            <w:vAlign w:val="bottom"/>
            <w:tcBorders>
              <w:bottom w:val="single" w:sz="8" w:color="005C7D"/>
            </w:tcBorders>
          </w:tcPr>
          <w:p>
            <w:pPr>
              <w:spacing w:after="0" w:line="20" w:lineRule="exact"/>
              <w:rPr>
                <w:sz w:val="1"/>
                <w:szCs w:val="1"/>
                <w:color w:val="auto"/>
              </w:rPr>
            </w:pPr>
          </w:p>
        </w:tc>
        <w:tc>
          <w:tcPr>
            <w:tcW w:w="1560" w:type="dxa"/>
            <w:vAlign w:val="bottom"/>
            <w:tcBorders>
              <w:bottom w:val="single" w:sz="8" w:color="005C7D"/>
            </w:tcBorders>
          </w:tcPr>
          <w:p>
            <w:pPr>
              <w:spacing w:after="0" w:line="20" w:lineRule="exact"/>
              <w:rPr>
                <w:sz w:val="1"/>
                <w:szCs w:val="1"/>
                <w:color w:val="auto"/>
              </w:rPr>
            </w:pPr>
          </w:p>
        </w:tc>
        <w:tc>
          <w:tcPr>
            <w:tcW w:w="160" w:type="dxa"/>
            <w:vAlign w:val="bottom"/>
            <w:tcBorders>
              <w:bottom w:val="single" w:sz="8" w:color="005C7D"/>
            </w:tcBorders>
          </w:tcPr>
          <w:p>
            <w:pPr>
              <w:spacing w:after="0" w:line="20" w:lineRule="exact"/>
              <w:rPr>
                <w:sz w:val="1"/>
                <w:szCs w:val="1"/>
                <w:color w:val="auto"/>
              </w:rPr>
            </w:pPr>
          </w:p>
        </w:tc>
        <w:tc>
          <w:tcPr>
            <w:tcW w:w="1360" w:type="dxa"/>
            <w:vAlign w:val="bottom"/>
            <w:tcBorders>
              <w:bottom w:val="single" w:sz="8" w:color="005C7D"/>
            </w:tcBorders>
          </w:tcPr>
          <w:p>
            <w:pPr>
              <w:spacing w:after="0" w:line="20" w:lineRule="exact"/>
              <w:rPr>
                <w:sz w:val="1"/>
                <w:szCs w:val="1"/>
                <w:color w:val="auto"/>
              </w:rPr>
            </w:pPr>
          </w:p>
        </w:tc>
        <w:tc>
          <w:tcPr>
            <w:tcW w:w="80" w:type="dxa"/>
            <w:vAlign w:val="bottom"/>
            <w:tcBorders>
              <w:bottom w:val="single" w:sz="8" w:color="005C7D"/>
            </w:tcBorders>
          </w:tcPr>
          <w:p>
            <w:pPr>
              <w:spacing w:after="0" w:line="20" w:lineRule="exact"/>
              <w:rPr>
                <w:sz w:val="1"/>
                <w:szCs w:val="1"/>
                <w:color w:val="auto"/>
              </w:rPr>
            </w:pPr>
          </w:p>
        </w:tc>
      </w:tr>
      <w:tr>
        <w:trPr>
          <w:trHeight w:val="507"/>
        </w:trPr>
        <w:tc>
          <w:tcPr>
            <w:tcW w:w="260" w:type="dxa"/>
            <w:vAlign w:val="bottom"/>
          </w:tcPr>
          <w:p>
            <w:pPr>
              <w:ind w:left="40"/>
              <w:spacing w:after="0"/>
              <w:rPr>
                <w:sz w:val="20"/>
                <w:szCs w:val="20"/>
                <w:color w:val="auto"/>
              </w:rPr>
            </w:pPr>
            <w:r>
              <w:rPr>
                <w:rFonts w:ascii="Arial" w:cs="Arial" w:eastAsia="Arial" w:hAnsi="Arial"/>
                <w:sz w:val="18"/>
                <w:szCs w:val="18"/>
                <w:color w:val="005C7D"/>
                <w:w w:val="99"/>
              </w:rPr>
              <w:t>76</w:t>
            </w:r>
          </w:p>
        </w:tc>
        <w:tc>
          <w:tcPr>
            <w:tcW w:w="6140" w:type="dxa"/>
            <w:vAlign w:val="bottom"/>
          </w:tcPr>
          <w:p>
            <w:pPr>
              <w:ind w:left="420"/>
              <w:spacing w:after="0"/>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54"/>
        </w:trPr>
        <w:tc>
          <w:tcPr>
            <w:tcW w:w="2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8"/>
        </w:trPr>
        <w:tc>
          <w:tcPr>
            <w:tcW w:w="260" w:type="dxa"/>
            <w:vAlign w:val="bottom"/>
            <w:shd w:val="clear" w:color="auto" w:fill="000000"/>
          </w:tcPr>
          <w:p>
            <w:pPr>
              <w:spacing w:after="0"/>
              <w:rPr>
                <w:sz w:val="5"/>
                <w:szCs w:val="5"/>
                <w:color w:val="auto"/>
              </w:rPr>
            </w:pPr>
          </w:p>
        </w:tc>
        <w:tc>
          <w:tcPr>
            <w:tcW w:w="6140" w:type="dxa"/>
            <w:vAlign w:val="bottom"/>
            <w:shd w:val="clear" w:color="auto" w:fill="000000"/>
          </w:tcPr>
          <w:p>
            <w:pPr>
              <w:spacing w:after="0"/>
              <w:rPr>
                <w:sz w:val="5"/>
                <w:szCs w:val="5"/>
                <w:color w:val="auto"/>
              </w:rPr>
            </w:pPr>
          </w:p>
        </w:tc>
        <w:tc>
          <w:tcPr>
            <w:tcW w:w="15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3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-530860</wp:posOffset>
            </wp:positionV>
            <wp:extent cx="154305" cy="1543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2" w:name="page83"/>
    <w:bookmarkEnd w:id="82"/>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5987"/>
        <w:spacing w:after="0"/>
        <w:rPr>
          <w:sz w:val="20"/>
          <w:szCs w:val="20"/>
          <w:color w:val="auto"/>
        </w:rPr>
      </w:pPr>
      <w:r>
        <w:rPr>
          <w:rFonts w:ascii="Arial" w:cs="Arial" w:eastAsia="Arial" w:hAnsi="Arial"/>
          <w:sz w:val="13"/>
          <w:szCs w:val="13"/>
          <w:color w:val="005C7D"/>
        </w:rPr>
        <w:t>TABULAR EXECUTIVE COMPENSATION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607187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7" w:lineRule="exact"/>
        <w:rPr>
          <w:sz w:val="20"/>
          <w:szCs w:val="20"/>
          <w:color w:val="auto"/>
        </w:rPr>
      </w:pPr>
    </w:p>
    <w:tbl>
      <w:tblPr>
        <w:tblLayout w:type="fixed"/>
        <w:tblInd w:w="7" w:type="dxa"/>
        <w:tblCellMar>
          <w:top w:w="0" w:type="dxa"/>
          <w:left w:w="0" w:type="dxa"/>
          <w:bottom w:w="0" w:type="dxa"/>
          <w:right w:w="0" w:type="dxa"/>
        </w:tblCellMar>
      </w:tblPr>
      <w:tr>
        <w:trPr>
          <w:trHeight w:val="225"/>
        </w:trPr>
        <w:tc>
          <w:tcPr>
            <w:tcW w:w="2680" w:type="dxa"/>
            <w:vAlign w:val="bottom"/>
            <w:tcBorders>
              <w:top w:val="single" w:sz="8" w:color="005C7D"/>
            </w:tcBorders>
          </w:tcPr>
          <w:p>
            <w:pPr>
              <w:spacing w:after="0"/>
              <w:rPr>
                <w:sz w:val="19"/>
                <w:szCs w:val="19"/>
                <w:color w:val="auto"/>
              </w:rPr>
            </w:pPr>
          </w:p>
        </w:tc>
        <w:tc>
          <w:tcPr>
            <w:tcW w:w="3720" w:type="dxa"/>
            <w:vAlign w:val="bottom"/>
            <w:tcBorders>
              <w:top w:val="single" w:sz="8" w:color="005C7D"/>
            </w:tcBorders>
          </w:tcPr>
          <w:p>
            <w:pPr>
              <w:spacing w:after="0"/>
              <w:rPr>
                <w:sz w:val="19"/>
                <w:szCs w:val="19"/>
                <w:color w:val="auto"/>
              </w:rPr>
            </w:pPr>
          </w:p>
        </w:tc>
        <w:tc>
          <w:tcPr>
            <w:tcW w:w="1560" w:type="dxa"/>
            <w:vAlign w:val="bottom"/>
            <w:tcBorders>
              <w:top w:val="single" w:sz="8" w:color="005C7D"/>
            </w:tcBorders>
          </w:tcPr>
          <w:p>
            <w:pPr>
              <w:jc w:val="right"/>
              <w:spacing w:after="0"/>
              <w:rPr>
                <w:sz w:val="20"/>
                <w:szCs w:val="20"/>
                <w:color w:val="auto"/>
              </w:rPr>
            </w:pPr>
            <w:r>
              <w:rPr>
                <w:rFonts w:ascii="Arial" w:cs="Arial" w:eastAsia="Arial" w:hAnsi="Arial"/>
                <w:sz w:val="18"/>
                <w:szCs w:val="18"/>
                <w:b w:val="1"/>
                <w:bCs w:val="1"/>
                <w:color w:val="auto"/>
                <w:w w:val="94"/>
              </w:rPr>
              <w:t>Change in Control</w:t>
            </w:r>
          </w:p>
        </w:tc>
        <w:tc>
          <w:tcPr>
            <w:tcW w:w="160" w:type="dxa"/>
            <w:vAlign w:val="bottom"/>
            <w:tcBorders>
              <w:top w:val="single" w:sz="8" w:color="005C7D"/>
            </w:tcBorders>
          </w:tcPr>
          <w:p>
            <w:pPr>
              <w:spacing w:after="0"/>
              <w:rPr>
                <w:sz w:val="19"/>
                <w:szCs w:val="19"/>
                <w:color w:val="auto"/>
              </w:rPr>
            </w:pPr>
          </w:p>
        </w:tc>
        <w:tc>
          <w:tcPr>
            <w:tcW w:w="1440" w:type="dxa"/>
            <w:vAlign w:val="bottom"/>
            <w:tcBorders>
              <w:top w:val="single" w:sz="8" w:color="005C7D"/>
            </w:tcBorders>
            <w:gridSpan w:val="2"/>
          </w:tcPr>
          <w:p>
            <w:pPr>
              <w:ind w:left="60"/>
              <w:spacing w:after="0"/>
              <w:rPr>
                <w:sz w:val="20"/>
                <w:szCs w:val="20"/>
                <w:color w:val="auto"/>
              </w:rPr>
            </w:pPr>
            <w:r>
              <w:rPr>
                <w:rFonts w:ascii="Arial" w:cs="Arial" w:eastAsia="Arial" w:hAnsi="Arial"/>
                <w:sz w:val="18"/>
                <w:szCs w:val="18"/>
                <w:b w:val="1"/>
                <w:bCs w:val="1"/>
                <w:color w:val="auto"/>
              </w:rPr>
              <w:t>Death/Disability</w:t>
            </w:r>
          </w:p>
        </w:tc>
      </w:tr>
      <w:tr>
        <w:trPr>
          <w:trHeight w:val="241"/>
        </w:trPr>
        <w:tc>
          <w:tcPr>
            <w:tcW w:w="6400" w:type="dxa"/>
            <w:vAlign w:val="bottom"/>
            <w:tcBorders>
              <w:bottom w:val="single" w:sz="8" w:color="005C7D"/>
            </w:tcBorders>
            <w:gridSpan w:val="2"/>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1560" w:type="dxa"/>
            <w:vAlign w:val="bottom"/>
            <w:tcBorders>
              <w:bottom w:val="single" w:sz="8" w:color="005C7D"/>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005C7D"/>
            </w:tcBorders>
            <w:gridSpan w:val="2"/>
          </w:tcPr>
          <w:p>
            <w:pPr>
              <w:jc w:val="right"/>
              <w:ind w:right="47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005C7D"/>
            </w:tcBorders>
          </w:tcPr>
          <w:p>
            <w:pPr>
              <w:spacing w:after="0"/>
              <w:rPr>
                <w:sz w:val="20"/>
                <w:szCs w:val="20"/>
                <w:color w:val="auto"/>
              </w:rPr>
            </w:pPr>
          </w:p>
        </w:tc>
      </w:tr>
      <w:tr>
        <w:trPr>
          <w:trHeight w:val="243"/>
        </w:trPr>
        <w:tc>
          <w:tcPr>
            <w:tcW w:w="6400" w:type="dxa"/>
            <w:vAlign w:val="bottom"/>
            <w:gridSpan w:val="2"/>
            <w:shd w:val="clear" w:color="auto" w:fill="CDDAE6"/>
          </w:tcPr>
          <w:p>
            <w:pPr>
              <w:ind w:left="20"/>
              <w:spacing w:after="0"/>
              <w:rPr>
                <w:sz w:val="20"/>
                <w:szCs w:val="20"/>
                <w:color w:val="auto"/>
              </w:rPr>
            </w:pPr>
            <w:r>
              <w:rPr>
                <w:rFonts w:ascii="Arial" w:cs="Arial" w:eastAsia="Arial" w:hAnsi="Arial"/>
                <w:sz w:val="18"/>
                <w:szCs w:val="18"/>
                <w:b w:val="1"/>
                <w:bCs w:val="1"/>
                <w:color w:val="auto"/>
              </w:rPr>
              <w:t>Curtis Brunson</w:t>
            </w:r>
          </w:p>
        </w:tc>
        <w:tc>
          <w:tcPr>
            <w:tcW w:w="1560" w:type="dxa"/>
            <w:vAlign w:val="bottom"/>
            <w:shd w:val="clear" w:color="auto" w:fill="CDDAE6"/>
          </w:tcPr>
          <w:p>
            <w:pPr>
              <w:spacing w:after="0"/>
              <w:rPr>
                <w:sz w:val="21"/>
                <w:szCs w:val="21"/>
                <w:color w:val="auto"/>
              </w:rPr>
            </w:pPr>
          </w:p>
        </w:tc>
        <w:tc>
          <w:tcPr>
            <w:tcW w:w="160" w:type="dxa"/>
            <w:vAlign w:val="bottom"/>
            <w:shd w:val="clear" w:color="auto" w:fill="CDDAE6"/>
          </w:tcPr>
          <w:p>
            <w:pPr>
              <w:spacing w:after="0"/>
              <w:rPr>
                <w:sz w:val="21"/>
                <w:szCs w:val="21"/>
                <w:color w:val="auto"/>
              </w:rPr>
            </w:pPr>
          </w:p>
        </w:tc>
        <w:tc>
          <w:tcPr>
            <w:tcW w:w="1360" w:type="dxa"/>
            <w:vAlign w:val="bottom"/>
            <w:shd w:val="clear" w:color="auto" w:fill="CDDAE6"/>
          </w:tcPr>
          <w:p>
            <w:pPr>
              <w:spacing w:after="0"/>
              <w:rPr>
                <w:sz w:val="21"/>
                <w:szCs w:val="21"/>
                <w:color w:val="auto"/>
              </w:rPr>
            </w:pPr>
          </w:p>
        </w:tc>
        <w:tc>
          <w:tcPr>
            <w:tcW w:w="80" w:type="dxa"/>
            <w:vAlign w:val="bottom"/>
            <w:shd w:val="clear" w:color="auto" w:fill="CDDAE6"/>
          </w:tcPr>
          <w:p>
            <w:pPr>
              <w:spacing w:after="0"/>
              <w:rPr>
                <w:sz w:val="21"/>
                <w:szCs w:val="21"/>
                <w:color w:val="auto"/>
              </w:rPr>
            </w:pPr>
          </w:p>
        </w:tc>
      </w:tr>
      <w:tr>
        <w:trPr>
          <w:trHeight w:val="284"/>
        </w:trPr>
        <w:tc>
          <w:tcPr>
            <w:tcW w:w="6400" w:type="dxa"/>
            <w:vAlign w:val="bottom"/>
            <w:gridSpan w:val="2"/>
          </w:tcPr>
          <w:p>
            <w:pPr>
              <w:ind w:left="300"/>
              <w:spacing w:after="0" w:line="284" w:lineRule="exact"/>
              <w:rPr>
                <w:sz w:val="20"/>
                <w:szCs w:val="20"/>
                <w:color w:val="auto"/>
              </w:rPr>
            </w:pPr>
            <w:r>
              <w:rPr>
                <w:rFonts w:ascii="Arial" w:cs="Arial" w:eastAsia="Arial" w:hAnsi="Arial"/>
                <w:sz w:val="18"/>
                <w:szCs w:val="18"/>
                <w:color w:val="auto"/>
              </w:rPr>
              <w:t>Severance</w:t>
            </w:r>
            <w:r>
              <w:rPr>
                <w:rFonts w:ascii="Arial" w:cs="Arial" w:eastAsia="Arial" w:hAnsi="Arial"/>
                <w:sz w:val="29"/>
                <w:szCs w:val="29"/>
                <w:color w:val="auto"/>
                <w:vertAlign w:val="superscript"/>
              </w:rPr>
              <w:t>(1)(2)</w:t>
            </w:r>
          </w:p>
        </w:tc>
        <w:tc>
          <w:tcPr>
            <w:tcW w:w="1560" w:type="dxa"/>
            <w:vAlign w:val="bottom"/>
          </w:tcPr>
          <w:p>
            <w:pPr>
              <w:jc w:val="right"/>
              <w:spacing w:after="0"/>
              <w:rPr>
                <w:sz w:val="20"/>
                <w:szCs w:val="20"/>
                <w:color w:val="auto"/>
              </w:rPr>
            </w:pPr>
            <w:r>
              <w:rPr>
                <w:rFonts w:ascii="Arial" w:cs="Arial" w:eastAsia="Arial" w:hAnsi="Arial"/>
                <w:sz w:val="18"/>
                <w:szCs w:val="18"/>
                <w:color w:val="auto"/>
              </w:rPr>
              <w:t>3,404,400</w:t>
            </w:r>
          </w:p>
        </w:tc>
        <w:tc>
          <w:tcPr>
            <w:tcW w:w="16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84"/>
        </w:trPr>
        <w:tc>
          <w:tcPr>
            <w:tcW w:w="6400" w:type="dxa"/>
            <w:vAlign w:val="bottom"/>
            <w:gridSpan w:val="2"/>
            <w:shd w:val="clear" w:color="auto" w:fill="CDDAE6"/>
          </w:tcPr>
          <w:p>
            <w:pPr>
              <w:ind w:left="300"/>
              <w:spacing w:after="0" w:line="284" w:lineRule="exact"/>
              <w:rPr>
                <w:sz w:val="20"/>
                <w:szCs w:val="20"/>
                <w:color w:val="auto"/>
              </w:rPr>
            </w:pPr>
            <w:r>
              <w:rPr>
                <w:rFonts w:ascii="Arial" w:cs="Arial" w:eastAsia="Arial" w:hAnsi="Arial"/>
                <w:sz w:val="18"/>
                <w:szCs w:val="18"/>
                <w:color w:val="auto"/>
              </w:rPr>
              <w:t>Medical Benefits</w:t>
            </w:r>
            <w:r>
              <w:rPr>
                <w:rFonts w:ascii="Arial" w:cs="Arial" w:eastAsia="Arial" w:hAnsi="Arial"/>
                <w:sz w:val="29"/>
                <w:szCs w:val="29"/>
                <w:color w:val="auto"/>
                <w:vertAlign w:val="superscript"/>
              </w:rPr>
              <w:t>(1)(3)</w:t>
            </w:r>
          </w:p>
        </w:tc>
        <w:tc>
          <w:tcPr>
            <w:tcW w:w="1560" w:type="dxa"/>
            <w:vAlign w:val="bottom"/>
            <w:shd w:val="clear" w:color="auto" w:fill="CDDAE6"/>
          </w:tcPr>
          <w:p>
            <w:pPr>
              <w:jc w:val="right"/>
              <w:spacing w:after="0"/>
              <w:rPr>
                <w:sz w:val="20"/>
                <w:szCs w:val="20"/>
                <w:color w:val="auto"/>
              </w:rPr>
            </w:pPr>
            <w:r>
              <w:rPr>
                <w:rFonts w:ascii="Arial" w:cs="Arial" w:eastAsia="Arial" w:hAnsi="Arial"/>
                <w:sz w:val="18"/>
                <w:szCs w:val="18"/>
                <w:color w:val="auto"/>
              </w:rPr>
              <w:t>75,366</w:t>
            </w:r>
          </w:p>
        </w:tc>
        <w:tc>
          <w:tcPr>
            <w:tcW w:w="160" w:type="dxa"/>
            <w:vAlign w:val="bottom"/>
            <w:shd w:val="clear" w:color="auto" w:fill="CDDAE6"/>
          </w:tcPr>
          <w:p>
            <w:pPr>
              <w:spacing w:after="0"/>
              <w:rPr>
                <w:sz w:val="24"/>
                <w:szCs w:val="24"/>
                <w:color w:val="auto"/>
              </w:rPr>
            </w:pPr>
          </w:p>
        </w:tc>
        <w:tc>
          <w:tcPr>
            <w:tcW w:w="1440" w:type="dxa"/>
            <w:vAlign w:val="bottom"/>
            <w:gridSpan w:val="2"/>
            <w:shd w:val="clear" w:color="auto" w:fill="CDDAE6"/>
          </w:tcPr>
          <w:p>
            <w:pPr>
              <w:jc w:val="right"/>
              <w:ind w:right="80"/>
              <w:spacing w:after="0"/>
              <w:rPr>
                <w:sz w:val="20"/>
                <w:szCs w:val="20"/>
                <w:color w:val="auto"/>
              </w:rPr>
            </w:pPr>
            <w:r>
              <w:rPr>
                <w:rFonts w:ascii="Arial" w:cs="Arial" w:eastAsia="Arial" w:hAnsi="Arial"/>
                <w:sz w:val="18"/>
                <w:szCs w:val="18"/>
                <w:color w:val="auto"/>
              </w:rPr>
              <w:t>—</w:t>
            </w:r>
          </w:p>
        </w:tc>
      </w:tr>
      <w:tr>
        <w:trPr>
          <w:trHeight w:val="284"/>
        </w:trPr>
        <w:tc>
          <w:tcPr>
            <w:tcW w:w="6400" w:type="dxa"/>
            <w:vAlign w:val="bottom"/>
            <w:gridSpan w:val="2"/>
          </w:tcPr>
          <w:p>
            <w:pPr>
              <w:ind w:left="300"/>
              <w:spacing w:after="0" w:line="284" w:lineRule="exact"/>
              <w:rPr>
                <w:sz w:val="20"/>
                <w:szCs w:val="20"/>
                <w:color w:val="auto"/>
              </w:rPr>
            </w:pPr>
            <w:r>
              <w:rPr>
                <w:rFonts w:ascii="Arial" w:cs="Arial" w:eastAsia="Arial" w:hAnsi="Arial"/>
                <w:sz w:val="18"/>
                <w:szCs w:val="18"/>
                <w:color w:val="auto"/>
              </w:rPr>
              <w:t>Life Insurance Premiums</w:t>
            </w:r>
            <w:r>
              <w:rPr>
                <w:rFonts w:ascii="Arial" w:cs="Arial" w:eastAsia="Arial" w:hAnsi="Arial"/>
                <w:sz w:val="29"/>
                <w:szCs w:val="29"/>
                <w:color w:val="auto"/>
                <w:vertAlign w:val="superscript"/>
              </w:rPr>
              <w:t>(1)(3)</w:t>
            </w:r>
          </w:p>
        </w:tc>
        <w:tc>
          <w:tcPr>
            <w:tcW w:w="1560" w:type="dxa"/>
            <w:vAlign w:val="bottom"/>
          </w:tcPr>
          <w:p>
            <w:pPr>
              <w:jc w:val="right"/>
              <w:spacing w:after="0"/>
              <w:rPr>
                <w:sz w:val="20"/>
                <w:szCs w:val="20"/>
                <w:color w:val="auto"/>
              </w:rPr>
            </w:pPr>
            <w:r>
              <w:rPr>
                <w:rFonts w:ascii="Arial" w:cs="Arial" w:eastAsia="Arial" w:hAnsi="Arial"/>
                <w:sz w:val="18"/>
                <w:szCs w:val="18"/>
                <w:color w:val="auto"/>
              </w:rPr>
              <w:t>78,954</w:t>
            </w:r>
          </w:p>
        </w:tc>
        <w:tc>
          <w:tcPr>
            <w:tcW w:w="16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84"/>
        </w:trPr>
        <w:tc>
          <w:tcPr>
            <w:tcW w:w="6400" w:type="dxa"/>
            <w:vAlign w:val="bottom"/>
            <w:gridSpan w:val="2"/>
            <w:shd w:val="clear" w:color="auto" w:fill="CDDAE6"/>
          </w:tcPr>
          <w:p>
            <w:pPr>
              <w:ind w:left="300"/>
              <w:spacing w:after="0" w:line="284" w:lineRule="exact"/>
              <w:rPr>
                <w:sz w:val="20"/>
                <w:szCs w:val="20"/>
                <w:color w:val="auto"/>
              </w:rPr>
            </w:pPr>
            <w:r>
              <w:rPr>
                <w:rFonts w:ascii="Arial" w:cs="Arial" w:eastAsia="Arial" w:hAnsi="Arial"/>
                <w:sz w:val="18"/>
                <w:szCs w:val="18"/>
                <w:color w:val="auto"/>
              </w:rPr>
              <w:t>Outplacement Benefits</w:t>
            </w:r>
            <w:r>
              <w:rPr>
                <w:rFonts w:ascii="Arial" w:cs="Arial" w:eastAsia="Arial" w:hAnsi="Arial"/>
                <w:sz w:val="29"/>
                <w:szCs w:val="29"/>
                <w:color w:val="auto"/>
                <w:vertAlign w:val="superscript"/>
              </w:rPr>
              <w:t>(1)(4)</w:t>
            </w:r>
          </w:p>
        </w:tc>
        <w:tc>
          <w:tcPr>
            <w:tcW w:w="1560" w:type="dxa"/>
            <w:vAlign w:val="bottom"/>
            <w:shd w:val="clear" w:color="auto" w:fill="CDDAE6"/>
          </w:tcPr>
          <w:p>
            <w:pPr>
              <w:jc w:val="right"/>
              <w:spacing w:after="0"/>
              <w:rPr>
                <w:sz w:val="20"/>
                <w:szCs w:val="20"/>
                <w:color w:val="auto"/>
              </w:rPr>
            </w:pPr>
            <w:r>
              <w:rPr>
                <w:rFonts w:ascii="Arial" w:cs="Arial" w:eastAsia="Arial" w:hAnsi="Arial"/>
                <w:sz w:val="18"/>
                <w:szCs w:val="18"/>
                <w:color w:val="auto"/>
              </w:rPr>
              <w:t>6,400</w:t>
            </w:r>
          </w:p>
        </w:tc>
        <w:tc>
          <w:tcPr>
            <w:tcW w:w="160" w:type="dxa"/>
            <w:vAlign w:val="bottom"/>
            <w:shd w:val="clear" w:color="auto" w:fill="CDDAE6"/>
          </w:tcPr>
          <w:p>
            <w:pPr>
              <w:spacing w:after="0"/>
              <w:rPr>
                <w:sz w:val="24"/>
                <w:szCs w:val="24"/>
                <w:color w:val="auto"/>
              </w:rPr>
            </w:pPr>
          </w:p>
        </w:tc>
        <w:tc>
          <w:tcPr>
            <w:tcW w:w="1440" w:type="dxa"/>
            <w:vAlign w:val="bottom"/>
            <w:gridSpan w:val="2"/>
            <w:shd w:val="clear" w:color="auto" w:fill="CDDAE6"/>
          </w:tcPr>
          <w:p>
            <w:pPr>
              <w:jc w:val="right"/>
              <w:ind w:right="80"/>
              <w:spacing w:after="0"/>
              <w:rPr>
                <w:sz w:val="20"/>
                <w:szCs w:val="20"/>
                <w:color w:val="auto"/>
              </w:rPr>
            </w:pPr>
            <w:r>
              <w:rPr>
                <w:rFonts w:ascii="Arial" w:cs="Arial" w:eastAsia="Arial" w:hAnsi="Arial"/>
                <w:sz w:val="18"/>
                <w:szCs w:val="18"/>
                <w:color w:val="auto"/>
              </w:rPr>
              <w:t>—</w:t>
            </w:r>
          </w:p>
        </w:tc>
      </w:tr>
      <w:tr>
        <w:trPr>
          <w:trHeight w:val="284"/>
        </w:trPr>
        <w:tc>
          <w:tcPr>
            <w:tcW w:w="6400" w:type="dxa"/>
            <w:vAlign w:val="bottom"/>
            <w:gridSpan w:val="2"/>
          </w:tcPr>
          <w:p>
            <w:pPr>
              <w:ind w:left="300"/>
              <w:spacing w:after="0" w:line="284" w:lineRule="exact"/>
              <w:rPr>
                <w:sz w:val="20"/>
                <w:szCs w:val="20"/>
                <w:color w:val="auto"/>
              </w:rPr>
            </w:pPr>
            <w:r>
              <w:rPr>
                <w:rFonts w:ascii="Arial" w:cs="Arial" w:eastAsia="Arial" w:hAnsi="Arial"/>
                <w:sz w:val="18"/>
                <w:szCs w:val="18"/>
                <w:color w:val="auto"/>
              </w:rPr>
              <w:t>Acceleration of Stock Options</w:t>
            </w:r>
            <w:r>
              <w:rPr>
                <w:rFonts w:ascii="Arial" w:cs="Arial" w:eastAsia="Arial" w:hAnsi="Arial"/>
                <w:sz w:val="29"/>
                <w:szCs w:val="29"/>
                <w:color w:val="auto"/>
                <w:vertAlign w:val="superscript"/>
              </w:rPr>
              <w:t>(5)(6)</w:t>
            </w:r>
          </w:p>
        </w:tc>
        <w:tc>
          <w:tcPr>
            <w:tcW w:w="1560" w:type="dxa"/>
            <w:vAlign w:val="bottom"/>
          </w:tcPr>
          <w:p>
            <w:pPr>
              <w:jc w:val="right"/>
              <w:spacing w:after="0"/>
              <w:rPr>
                <w:sz w:val="20"/>
                <w:szCs w:val="20"/>
                <w:color w:val="auto"/>
              </w:rPr>
            </w:pPr>
            <w:r>
              <w:rPr>
                <w:rFonts w:ascii="Arial" w:cs="Arial" w:eastAsia="Arial" w:hAnsi="Arial"/>
                <w:sz w:val="18"/>
                <w:szCs w:val="18"/>
                <w:color w:val="auto"/>
              </w:rPr>
              <w:t>2,863,729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2,863,729</w:t>
            </w:r>
          </w:p>
        </w:tc>
        <w:tc>
          <w:tcPr>
            <w:tcW w:w="80" w:type="dxa"/>
            <w:vAlign w:val="bottom"/>
          </w:tcPr>
          <w:p>
            <w:pPr>
              <w:spacing w:after="0"/>
              <w:rPr>
                <w:sz w:val="24"/>
                <w:szCs w:val="24"/>
                <w:color w:val="auto"/>
              </w:rPr>
            </w:pPr>
          </w:p>
        </w:tc>
      </w:tr>
      <w:tr>
        <w:trPr>
          <w:trHeight w:val="284"/>
        </w:trPr>
        <w:tc>
          <w:tcPr>
            <w:tcW w:w="6400" w:type="dxa"/>
            <w:vAlign w:val="bottom"/>
            <w:gridSpan w:val="2"/>
            <w:shd w:val="clear" w:color="auto" w:fill="CDDAE6"/>
          </w:tcPr>
          <w:p>
            <w:pPr>
              <w:ind w:left="300"/>
              <w:spacing w:after="0" w:line="284" w:lineRule="exact"/>
              <w:rPr>
                <w:sz w:val="20"/>
                <w:szCs w:val="20"/>
                <w:color w:val="auto"/>
              </w:rPr>
            </w:pPr>
            <w:r>
              <w:rPr>
                <w:rFonts w:ascii="Arial" w:cs="Arial" w:eastAsia="Arial" w:hAnsi="Arial"/>
                <w:sz w:val="18"/>
                <w:szCs w:val="18"/>
                <w:color w:val="auto"/>
              </w:rPr>
              <w:t>Acceleration of RSUs</w:t>
            </w:r>
            <w:r>
              <w:rPr>
                <w:rFonts w:ascii="Arial" w:cs="Arial" w:eastAsia="Arial" w:hAnsi="Arial"/>
                <w:sz w:val="29"/>
                <w:szCs w:val="29"/>
                <w:color w:val="auto"/>
                <w:vertAlign w:val="superscript"/>
              </w:rPr>
              <w:t>(7)(8)</w:t>
            </w:r>
          </w:p>
        </w:tc>
        <w:tc>
          <w:tcPr>
            <w:tcW w:w="1560" w:type="dxa"/>
            <w:vAlign w:val="bottom"/>
            <w:shd w:val="clear" w:color="auto" w:fill="CDDAE6"/>
          </w:tcPr>
          <w:p>
            <w:pPr>
              <w:jc w:val="right"/>
              <w:spacing w:after="0"/>
              <w:rPr>
                <w:sz w:val="20"/>
                <w:szCs w:val="20"/>
                <w:color w:val="auto"/>
              </w:rPr>
            </w:pPr>
            <w:r>
              <w:rPr>
                <w:rFonts w:ascii="Arial" w:cs="Arial" w:eastAsia="Arial" w:hAnsi="Arial"/>
                <w:sz w:val="18"/>
                <w:szCs w:val="18"/>
                <w:color w:val="auto"/>
              </w:rPr>
              <w:t>1,079,878</w:t>
            </w:r>
          </w:p>
        </w:tc>
        <w:tc>
          <w:tcPr>
            <w:tcW w:w="1520" w:type="dxa"/>
            <w:vAlign w:val="bottom"/>
            <w:gridSpan w:val="2"/>
            <w:shd w:val="clear" w:color="auto" w:fill="CDDAE6"/>
          </w:tcPr>
          <w:p>
            <w:pPr>
              <w:jc w:val="right"/>
              <w:spacing w:after="0"/>
              <w:rPr>
                <w:sz w:val="20"/>
                <w:szCs w:val="20"/>
                <w:color w:val="auto"/>
              </w:rPr>
            </w:pPr>
            <w:r>
              <w:rPr>
                <w:rFonts w:ascii="Arial" w:cs="Arial" w:eastAsia="Arial" w:hAnsi="Arial"/>
                <w:sz w:val="18"/>
                <w:szCs w:val="18"/>
                <w:color w:val="auto"/>
              </w:rPr>
              <w:t>1,079,878</w:t>
            </w:r>
          </w:p>
        </w:tc>
        <w:tc>
          <w:tcPr>
            <w:tcW w:w="80" w:type="dxa"/>
            <w:vAlign w:val="bottom"/>
            <w:shd w:val="clear" w:color="auto" w:fill="CDDAE6"/>
          </w:tcPr>
          <w:p>
            <w:pPr>
              <w:spacing w:after="0"/>
              <w:rPr>
                <w:sz w:val="24"/>
                <w:szCs w:val="24"/>
                <w:color w:val="auto"/>
              </w:rPr>
            </w:pPr>
          </w:p>
        </w:tc>
      </w:tr>
      <w:tr>
        <w:trPr>
          <w:trHeight w:val="284"/>
        </w:trPr>
        <w:tc>
          <w:tcPr>
            <w:tcW w:w="6400" w:type="dxa"/>
            <w:vAlign w:val="bottom"/>
            <w:gridSpan w:val="2"/>
          </w:tcPr>
          <w:p>
            <w:pPr>
              <w:ind w:left="300"/>
              <w:spacing w:after="0" w:line="284" w:lineRule="exact"/>
              <w:rPr>
                <w:sz w:val="20"/>
                <w:szCs w:val="20"/>
                <w:color w:val="auto"/>
              </w:rPr>
            </w:pPr>
            <w:r>
              <w:rPr>
                <w:rFonts w:ascii="Arial" w:cs="Arial" w:eastAsia="Arial" w:hAnsi="Arial"/>
                <w:sz w:val="18"/>
                <w:szCs w:val="18"/>
                <w:color w:val="auto"/>
              </w:rPr>
              <w:t>Acceleration of Performance Awards</w:t>
            </w:r>
            <w:r>
              <w:rPr>
                <w:rFonts w:ascii="Arial" w:cs="Arial" w:eastAsia="Arial" w:hAnsi="Arial"/>
                <w:sz w:val="29"/>
                <w:szCs w:val="29"/>
                <w:color w:val="auto"/>
                <w:vertAlign w:val="superscript"/>
              </w:rPr>
              <w:t>(9)(10)</w:t>
            </w:r>
          </w:p>
        </w:tc>
        <w:tc>
          <w:tcPr>
            <w:tcW w:w="1560" w:type="dxa"/>
            <w:vAlign w:val="bottom"/>
          </w:tcPr>
          <w:p>
            <w:pPr>
              <w:jc w:val="right"/>
              <w:spacing w:after="0"/>
              <w:rPr>
                <w:sz w:val="20"/>
                <w:szCs w:val="20"/>
                <w:color w:val="auto"/>
              </w:rPr>
            </w:pPr>
            <w:r>
              <w:rPr>
                <w:rFonts w:ascii="Arial" w:cs="Arial" w:eastAsia="Arial" w:hAnsi="Arial"/>
                <w:sz w:val="18"/>
                <w:szCs w:val="18"/>
                <w:color w:val="auto"/>
              </w:rPr>
              <w:t>1,218,461</w:t>
            </w:r>
          </w:p>
        </w:tc>
        <w:tc>
          <w:tcPr>
            <w:tcW w:w="16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64"/>
        </w:trPr>
        <w:tc>
          <w:tcPr>
            <w:tcW w:w="6400" w:type="dxa"/>
            <w:vAlign w:val="bottom"/>
            <w:tcBorders>
              <w:bottom w:val="single" w:sz="8" w:color="CDDAE6"/>
            </w:tcBorders>
            <w:gridSpan w:val="2"/>
            <w:shd w:val="clear" w:color="auto" w:fill="CDDAE6"/>
          </w:tcPr>
          <w:p>
            <w:pPr>
              <w:ind w:left="300"/>
              <w:spacing w:after="0" w:line="256" w:lineRule="exact"/>
              <w:rPr>
                <w:sz w:val="20"/>
                <w:szCs w:val="20"/>
                <w:color w:val="auto"/>
              </w:rPr>
            </w:pPr>
            <w:r>
              <w:rPr>
                <w:rFonts w:ascii="Arial" w:cs="Arial" w:eastAsia="Arial" w:hAnsi="Arial"/>
                <w:sz w:val="18"/>
                <w:szCs w:val="18"/>
                <w:color w:val="auto"/>
              </w:rPr>
              <w:t>Restoration SERP</w:t>
            </w:r>
            <w:r>
              <w:rPr>
                <w:rFonts w:ascii="Arial" w:cs="Arial" w:eastAsia="Arial" w:hAnsi="Arial"/>
                <w:sz w:val="29"/>
                <w:szCs w:val="29"/>
                <w:color w:val="auto"/>
                <w:vertAlign w:val="superscript"/>
              </w:rPr>
              <w:t>(11)</w:t>
            </w:r>
          </w:p>
        </w:tc>
        <w:tc>
          <w:tcPr>
            <w:tcW w:w="1560" w:type="dxa"/>
            <w:vAlign w:val="bottom"/>
            <w:tcBorders>
              <w:bottom w:val="single" w:sz="8" w:color="auto"/>
            </w:tcBorders>
            <w:shd w:val="clear" w:color="auto" w:fill="CDDAE6"/>
          </w:tcPr>
          <w:p>
            <w:pPr>
              <w:jc w:val="right"/>
              <w:spacing w:after="0"/>
              <w:rPr>
                <w:sz w:val="20"/>
                <w:szCs w:val="20"/>
                <w:color w:val="auto"/>
              </w:rPr>
            </w:pPr>
            <w:r>
              <w:rPr>
                <w:rFonts w:ascii="Arial" w:cs="Arial" w:eastAsia="Arial" w:hAnsi="Arial"/>
                <w:sz w:val="18"/>
                <w:szCs w:val="18"/>
                <w:color w:val="auto"/>
              </w:rPr>
              <w:t>204,997</w:t>
            </w:r>
          </w:p>
        </w:tc>
        <w:tc>
          <w:tcPr>
            <w:tcW w:w="160" w:type="dxa"/>
            <w:vAlign w:val="bottom"/>
            <w:tcBorders>
              <w:bottom w:val="single" w:sz="8" w:color="CDDAE6"/>
            </w:tcBorders>
            <w:shd w:val="clear" w:color="auto" w:fill="CDDAE6"/>
          </w:tcPr>
          <w:p>
            <w:pPr>
              <w:spacing w:after="0"/>
              <w:rPr>
                <w:sz w:val="22"/>
                <w:szCs w:val="22"/>
                <w:color w:val="auto"/>
              </w:rPr>
            </w:pPr>
          </w:p>
        </w:tc>
        <w:tc>
          <w:tcPr>
            <w:tcW w:w="1360" w:type="dxa"/>
            <w:vAlign w:val="bottom"/>
            <w:tcBorders>
              <w:bottom w:val="single" w:sz="8" w:color="auto"/>
            </w:tcBorders>
            <w:shd w:val="clear" w:color="auto" w:fill="CDDA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DDAE6"/>
            </w:tcBorders>
            <w:shd w:val="clear" w:color="auto" w:fill="CDDAE6"/>
          </w:tcPr>
          <w:p>
            <w:pPr>
              <w:spacing w:after="0"/>
              <w:rPr>
                <w:sz w:val="22"/>
                <w:szCs w:val="22"/>
                <w:color w:val="auto"/>
              </w:rPr>
            </w:pPr>
          </w:p>
        </w:tc>
      </w:tr>
      <w:tr>
        <w:trPr>
          <w:trHeight w:val="230"/>
        </w:trPr>
        <w:tc>
          <w:tcPr>
            <w:tcW w:w="640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8,932,185</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3,943,607</w:t>
            </w:r>
          </w:p>
        </w:tc>
        <w:tc>
          <w:tcPr>
            <w:tcW w:w="80" w:type="dxa"/>
            <w:vAlign w:val="bottom"/>
          </w:tcPr>
          <w:p>
            <w:pPr>
              <w:spacing w:after="0"/>
              <w:rPr>
                <w:sz w:val="19"/>
                <w:szCs w:val="19"/>
                <w:color w:val="auto"/>
              </w:rPr>
            </w:pPr>
          </w:p>
        </w:tc>
      </w:tr>
      <w:tr>
        <w:trPr>
          <w:trHeight w:val="28"/>
        </w:trPr>
        <w:tc>
          <w:tcPr>
            <w:tcW w:w="26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5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6400" w:type="dxa"/>
            <w:vAlign w:val="bottom"/>
            <w:gridSpan w:val="2"/>
            <w:shd w:val="clear" w:color="auto" w:fill="CDDAE6"/>
          </w:tcPr>
          <w:p>
            <w:pPr>
              <w:ind w:left="20"/>
              <w:spacing w:after="0"/>
              <w:rPr>
                <w:sz w:val="20"/>
                <w:szCs w:val="20"/>
                <w:color w:val="auto"/>
              </w:rPr>
            </w:pPr>
            <w:r>
              <w:rPr>
                <w:rFonts w:ascii="Arial" w:cs="Arial" w:eastAsia="Arial" w:hAnsi="Arial"/>
                <w:sz w:val="18"/>
                <w:szCs w:val="18"/>
                <w:b w:val="1"/>
                <w:bCs w:val="1"/>
                <w:color w:val="auto"/>
              </w:rPr>
              <w:t>Steve Kantor</w:t>
            </w:r>
          </w:p>
        </w:tc>
        <w:tc>
          <w:tcPr>
            <w:tcW w:w="1560" w:type="dxa"/>
            <w:vAlign w:val="bottom"/>
            <w:shd w:val="clear" w:color="auto" w:fill="CDDAE6"/>
          </w:tcPr>
          <w:p>
            <w:pPr>
              <w:spacing w:after="0"/>
              <w:rPr>
                <w:sz w:val="21"/>
                <w:szCs w:val="21"/>
                <w:color w:val="auto"/>
              </w:rPr>
            </w:pPr>
          </w:p>
        </w:tc>
        <w:tc>
          <w:tcPr>
            <w:tcW w:w="160" w:type="dxa"/>
            <w:vAlign w:val="bottom"/>
            <w:shd w:val="clear" w:color="auto" w:fill="CDDAE6"/>
          </w:tcPr>
          <w:p>
            <w:pPr>
              <w:spacing w:after="0"/>
              <w:rPr>
                <w:sz w:val="21"/>
                <w:szCs w:val="21"/>
                <w:color w:val="auto"/>
              </w:rPr>
            </w:pPr>
          </w:p>
        </w:tc>
        <w:tc>
          <w:tcPr>
            <w:tcW w:w="1360" w:type="dxa"/>
            <w:vAlign w:val="bottom"/>
            <w:shd w:val="clear" w:color="auto" w:fill="CDDAE6"/>
          </w:tcPr>
          <w:p>
            <w:pPr>
              <w:spacing w:after="0"/>
              <w:rPr>
                <w:sz w:val="21"/>
                <w:szCs w:val="21"/>
                <w:color w:val="auto"/>
              </w:rPr>
            </w:pPr>
          </w:p>
        </w:tc>
        <w:tc>
          <w:tcPr>
            <w:tcW w:w="80" w:type="dxa"/>
            <w:vAlign w:val="bottom"/>
            <w:shd w:val="clear" w:color="auto" w:fill="CDDAE6"/>
          </w:tcPr>
          <w:p>
            <w:pPr>
              <w:spacing w:after="0"/>
              <w:rPr>
                <w:sz w:val="21"/>
                <w:szCs w:val="21"/>
                <w:color w:val="auto"/>
              </w:rPr>
            </w:pPr>
          </w:p>
        </w:tc>
      </w:tr>
      <w:tr>
        <w:trPr>
          <w:trHeight w:val="284"/>
        </w:trPr>
        <w:tc>
          <w:tcPr>
            <w:tcW w:w="6400" w:type="dxa"/>
            <w:vAlign w:val="bottom"/>
            <w:gridSpan w:val="2"/>
          </w:tcPr>
          <w:p>
            <w:pPr>
              <w:ind w:left="300"/>
              <w:spacing w:after="0" w:line="284" w:lineRule="exact"/>
              <w:rPr>
                <w:sz w:val="20"/>
                <w:szCs w:val="20"/>
                <w:color w:val="auto"/>
              </w:rPr>
            </w:pPr>
            <w:r>
              <w:rPr>
                <w:rFonts w:ascii="Arial" w:cs="Arial" w:eastAsia="Arial" w:hAnsi="Arial"/>
                <w:sz w:val="18"/>
                <w:szCs w:val="18"/>
                <w:color w:val="auto"/>
              </w:rPr>
              <w:t>Severance</w:t>
            </w:r>
            <w:r>
              <w:rPr>
                <w:rFonts w:ascii="Arial" w:cs="Arial" w:eastAsia="Arial" w:hAnsi="Arial"/>
                <w:sz w:val="29"/>
                <w:szCs w:val="29"/>
                <w:color w:val="auto"/>
                <w:vertAlign w:val="superscript"/>
              </w:rPr>
              <w:t>(1)(2)</w:t>
            </w:r>
          </w:p>
        </w:tc>
        <w:tc>
          <w:tcPr>
            <w:tcW w:w="1560" w:type="dxa"/>
            <w:vAlign w:val="bottom"/>
          </w:tcPr>
          <w:p>
            <w:pPr>
              <w:jc w:val="right"/>
              <w:spacing w:after="0"/>
              <w:rPr>
                <w:sz w:val="20"/>
                <w:szCs w:val="20"/>
                <w:color w:val="auto"/>
              </w:rPr>
            </w:pPr>
            <w:r>
              <w:rPr>
                <w:rFonts w:ascii="Arial" w:cs="Arial" w:eastAsia="Arial" w:hAnsi="Arial"/>
                <w:sz w:val="18"/>
                <w:szCs w:val="18"/>
                <w:color w:val="auto"/>
              </w:rPr>
              <w:t>3,870,833</w:t>
            </w:r>
          </w:p>
        </w:tc>
        <w:tc>
          <w:tcPr>
            <w:tcW w:w="16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84"/>
        </w:trPr>
        <w:tc>
          <w:tcPr>
            <w:tcW w:w="6400" w:type="dxa"/>
            <w:vAlign w:val="bottom"/>
            <w:gridSpan w:val="2"/>
            <w:shd w:val="clear" w:color="auto" w:fill="CDDAE6"/>
          </w:tcPr>
          <w:p>
            <w:pPr>
              <w:ind w:left="300"/>
              <w:spacing w:after="0" w:line="284" w:lineRule="exact"/>
              <w:rPr>
                <w:sz w:val="20"/>
                <w:szCs w:val="20"/>
                <w:color w:val="auto"/>
              </w:rPr>
            </w:pPr>
            <w:r>
              <w:rPr>
                <w:rFonts w:ascii="Arial" w:cs="Arial" w:eastAsia="Arial" w:hAnsi="Arial"/>
                <w:sz w:val="18"/>
                <w:szCs w:val="18"/>
                <w:color w:val="auto"/>
              </w:rPr>
              <w:t>Medical Benefits</w:t>
            </w:r>
            <w:r>
              <w:rPr>
                <w:rFonts w:ascii="Arial" w:cs="Arial" w:eastAsia="Arial" w:hAnsi="Arial"/>
                <w:sz w:val="29"/>
                <w:szCs w:val="29"/>
                <w:color w:val="auto"/>
                <w:vertAlign w:val="superscript"/>
              </w:rPr>
              <w:t>(1)(3)</w:t>
            </w:r>
          </w:p>
        </w:tc>
        <w:tc>
          <w:tcPr>
            <w:tcW w:w="1560" w:type="dxa"/>
            <w:vAlign w:val="bottom"/>
            <w:shd w:val="clear" w:color="auto" w:fill="CDDAE6"/>
          </w:tcPr>
          <w:p>
            <w:pPr>
              <w:jc w:val="right"/>
              <w:spacing w:after="0"/>
              <w:rPr>
                <w:sz w:val="20"/>
                <w:szCs w:val="20"/>
                <w:color w:val="auto"/>
              </w:rPr>
            </w:pPr>
            <w:r>
              <w:rPr>
                <w:rFonts w:ascii="Arial" w:cs="Arial" w:eastAsia="Arial" w:hAnsi="Arial"/>
                <w:sz w:val="18"/>
                <w:szCs w:val="18"/>
                <w:color w:val="auto"/>
              </w:rPr>
              <w:t>83,955</w:t>
            </w:r>
          </w:p>
        </w:tc>
        <w:tc>
          <w:tcPr>
            <w:tcW w:w="160" w:type="dxa"/>
            <w:vAlign w:val="bottom"/>
            <w:shd w:val="clear" w:color="auto" w:fill="CDDAE6"/>
          </w:tcPr>
          <w:p>
            <w:pPr>
              <w:spacing w:after="0"/>
              <w:rPr>
                <w:sz w:val="24"/>
                <w:szCs w:val="24"/>
                <w:color w:val="auto"/>
              </w:rPr>
            </w:pPr>
          </w:p>
        </w:tc>
        <w:tc>
          <w:tcPr>
            <w:tcW w:w="1440" w:type="dxa"/>
            <w:vAlign w:val="bottom"/>
            <w:gridSpan w:val="2"/>
            <w:shd w:val="clear" w:color="auto" w:fill="CDDAE6"/>
          </w:tcPr>
          <w:p>
            <w:pPr>
              <w:jc w:val="right"/>
              <w:ind w:right="80"/>
              <w:spacing w:after="0"/>
              <w:rPr>
                <w:sz w:val="20"/>
                <w:szCs w:val="20"/>
                <w:color w:val="auto"/>
              </w:rPr>
            </w:pPr>
            <w:r>
              <w:rPr>
                <w:rFonts w:ascii="Arial" w:cs="Arial" w:eastAsia="Arial" w:hAnsi="Arial"/>
                <w:sz w:val="18"/>
                <w:szCs w:val="18"/>
                <w:color w:val="auto"/>
              </w:rPr>
              <w:t>—</w:t>
            </w:r>
          </w:p>
        </w:tc>
      </w:tr>
      <w:tr>
        <w:trPr>
          <w:trHeight w:val="284"/>
        </w:trPr>
        <w:tc>
          <w:tcPr>
            <w:tcW w:w="6400" w:type="dxa"/>
            <w:vAlign w:val="bottom"/>
            <w:gridSpan w:val="2"/>
          </w:tcPr>
          <w:p>
            <w:pPr>
              <w:ind w:left="300"/>
              <w:spacing w:after="0" w:line="284" w:lineRule="exact"/>
              <w:rPr>
                <w:sz w:val="20"/>
                <w:szCs w:val="20"/>
                <w:color w:val="auto"/>
              </w:rPr>
            </w:pPr>
            <w:r>
              <w:rPr>
                <w:rFonts w:ascii="Arial" w:cs="Arial" w:eastAsia="Arial" w:hAnsi="Arial"/>
                <w:sz w:val="18"/>
                <w:szCs w:val="18"/>
                <w:color w:val="auto"/>
              </w:rPr>
              <w:t>Life Insurance Premiums</w:t>
            </w:r>
            <w:r>
              <w:rPr>
                <w:rFonts w:ascii="Arial" w:cs="Arial" w:eastAsia="Arial" w:hAnsi="Arial"/>
                <w:sz w:val="29"/>
                <w:szCs w:val="29"/>
                <w:color w:val="auto"/>
                <w:vertAlign w:val="superscript"/>
              </w:rPr>
              <w:t>(1)(3)</w:t>
            </w:r>
          </w:p>
        </w:tc>
        <w:tc>
          <w:tcPr>
            <w:tcW w:w="1560" w:type="dxa"/>
            <w:vAlign w:val="bottom"/>
          </w:tcPr>
          <w:p>
            <w:pPr>
              <w:jc w:val="right"/>
              <w:spacing w:after="0"/>
              <w:rPr>
                <w:sz w:val="20"/>
                <w:szCs w:val="20"/>
                <w:color w:val="auto"/>
              </w:rPr>
            </w:pPr>
            <w:r>
              <w:rPr>
                <w:rFonts w:ascii="Arial" w:cs="Arial" w:eastAsia="Arial" w:hAnsi="Arial"/>
                <w:sz w:val="18"/>
                <w:szCs w:val="18"/>
                <w:color w:val="auto"/>
              </w:rPr>
              <w:t>111,478</w:t>
            </w:r>
          </w:p>
        </w:tc>
        <w:tc>
          <w:tcPr>
            <w:tcW w:w="16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84"/>
        </w:trPr>
        <w:tc>
          <w:tcPr>
            <w:tcW w:w="6400" w:type="dxa"/>
            <w:vAlign w:val="bottom"/>
            <w:gridSpan w:val="2"/>
            <w:shd w:val="clear" w:color="auto" w:fill="CDDAE6"/>
          </w:tcPr>
          <w:p>
            <w:pPr>
              <w:ind w:left="300"/>
              <w:spacing w:after="0" w:line="284" w:lineRule="exact"/>
              <w:rPr>
                <w:sz w:val="20"/>
                <w:szCs w:val="20"/>
                <w:color w:val="auto"/>
              </w:rPr>
            </w:pPr>
            <w:r>
              <w:rPr>
                <w:rFonts w:ascii="Arial" w:cs="Arial" w:eastAsia="Arial" w:hAnsi="Arial"/>
                <w:sz w:val="18"/>
                <w:szCs w:val="18"/>
                <w:color w:val="auto"/>
              </w:rPr>
              <w:t>Outplacement Benefits</w:t>
            </w:r>
            <w:r>
              <w:rPr>
                <w:rFonts w:ascii="Arial" w:cs="Arial" w:eastAsia="Arial" w:hAnsi="Arial"/>
                <w:sz w:val="29"/>
                <w:szCs w:val="29"/>
                <w:color w:val="auto"/>
                <w:vertAlign w:val="superscript"/>
              </w:rPr>
              <w:t>(1)(4)</w:t>
            </w:r>
          </w:p>
        </w:tc>
        <w:tc>
          <w:tcPr>
            <w:tcW w:w="1560" w:type="dxa"/>
            <w:vAlign w:val="bottom"/>
            <w:shd w:val="clear" w:color="auto" w:fill="CDDAE6"/>
          </w:tcPr>
          <w:p>
            <w:pPr>
              <w:jc w:val="right"/>
              <w:spacing w:after="0"/>
              <w:rPr>
                <w:sz w:val="20"/>
                <w:szCs w:val="20"/>
                <w:color w:val="auto"/>
              </w:rPr>
            </w:pPr>
            <w:r>
              <w:rPr>
                <w:rFonts w:ascii="Arial" w:cs="Arial" w:eastAsia="Arial" w:hAnsi="Arial"/>
                <w:sz w:val="18"/>
                <w:szCs w:val="18"/>
                <w:color w:val="auto"/>
              </w:rPr>
              <w:t>6,400</w:t>
            </w:r>
          </w:p>
        </w:tc>
        <w:tc>
          <w:tcPr>
            <w:tcW w:w="160" w:type="dxa"/>
            <w:vAlign w:val="bottom"/>
            <w:shd w:val="clear" w:color="auto" w:fill="CDDAE6"/>
          </w:tcPr>
          <w:p>
            <w:pPr>
              <w:spacing w:after="0"/>
              <w:rPr>
                <w:sz w:val="24"/>
                <w:szCs w:val="24"/>
                <w:color w:val="auto"/>
              </w:rPr>
            </w:pPr>
          </w:p>
        </w:tc>
        <w:tc>
          <w:tcPr>
            <w:tcW w:w="1440" w:type="dxa"/>
            <w:vAlign w:val="bottom"/>
            <w:gridSpan w:val="2"/>
            <w:shd w:val="clear" w:color="auto" w:fill="CDDAE6"/>
          </w:tcPr>
          <w:p>
            <w:pPr>
              <w:jc w:val="right"/>
              <w:ind w:right="80"/>
              <w:spacing w:after="0"/>
              <w:rPr>
                <w:sz w:val="20"/>
                <w:szCs w:val="20"/>
                <w:color w:val="auto"/>
              </w:rPr>
            </w:pPr>
            <w:r>
              <w:rPr>
                <w:rFonts w:ascii="Arial" w:cs="Arial" w:eastAsia="Arial" w:hAnsi="Arial"/>
                <w:sz w:val="18"/>
                <w:szCs w:val="18"/>
                <w:color w:val="auto"/>
              </w:rPr>
              <w:t>—</w:t>
            </w:r>
          </w:p>
        </w:tc>
      </w:tr>
      <w:tr>
        <w:trPr>
          <w:trHeight w:val="284"/>
        </w:trPr>
        <w:tc>
          <w:tcPr>
            <w:tcW w:w="6400" w:type="dxa"/>
            <w:vAlign w:val="bottom"/>
            <w:gridSpan w:val="2"/>
          </w:tcPr>
          <w:p>
            <w:pPr>
              <w:ind w:left="300"/>
              <w:spacing w:after="0" w:line="284" w:lineRule="exact"/>
              <w:rPr>
                <w:sz w:val="20"/>
                <w:szCs w:val="20"/>
                <w:color w:val="auto"/>
              </w:rPr>
            </w:pPr>
            <w:r>
              <w:rPr>
                <w:rFonts w:ascii="Arial" w:cs="Arial" w:eastAsia="Arial" w:hAnsi="Arial"/>
                <w:sz w:val="18"/>
                <w:szCs w:val="18"/>
                <w:color w:val="auto"/>
              </w:rPr>
              <w:t>Acceleration of Stock Options</w:t>
            </w:r>
            <w:r>
              <w:rPr>
                <w:rFonts w:ascii="Arial" w:cs="Arial" w:eastAsia="Arial" w:hAnsi="Arial"/>
                <w:sz w:val="29"/>
                <w:szCs w:val="29"/>
                <w:color w:val="auto"/>
                <w:vertAlign w:val="superscript"/>
              </w:rPr>
              <w:t>(5)(6)</w:t>
            </w:r>
          </w:p>
        </w:tc>
        <w:tc>
          <w:tcPr>
            <w:tcW w:w="1560" w:type="dxa"/>
            <w:vAlign w:val="bottom"/>
          </w:tcPr>
          <w:p>
            <w:pPr>
              <w:jc w:val="right"/>
              <w:spacing w:after="0"/>
              <w:rPr>
                <w:sz w:val="20"/>
                <w:szCs w:val="20"/>
                <w:color w:val="auto"/>
              </w:rPr>
            </w:pPr>
            <w:r>
              <w:rPr>
                <w:rFonts w:ascii="Arial" w:cs="Arial" w:eastAsia="Arial" w:hAnsi="Arial"/>
                <w:sz w:val="18"/>
                <w:szCs w:val="18"/>
                <w:color w:val="auto"/>
              </w:rPr>
              <w:t>1,750,082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1,750,082</w:t>
            </w:r>
          </w:p>
        </w:tc>
        <w:tc>
          <w:tcPr>
            <w:tcW w:w="80" w:type="dxa"/>
            <w:vAlign w:val="bottom"/>
          </w:tcPr>
          <w:p>
            <w:pPr>
              <w:spacing w:after="0"/>
              <w:rPr>
                <w:sz w:val="24"/>
                <w:szCs w:val="24"/>
                <w:color w:val="auto"/>
              </w:rPr>
            </w:pPr>
          </w:p>
        </w:tc>
      </w:tr>
      <w:tr>
        <w:trPr>
          <w:trHeight w:val="284"/>
        </w:trPr>
        <w:tc>
          <w:tcPr>
            <w:tcW w:w="6400" w:type="dxa"/>
            <w:vAlign w:val="bottom"/>
            <w:gridSpan w:val="2"/>
            <w:shd w:val="clear" w:color="auto" w:fill="CDDAE6"/>
          </w:tcPr>
          <w:p>
            <w:pPr>
              <w:ind w:left="300"/>
              <w:spacing w:after="0" w:line="284" w:lineRule="exact"/>
              <w:rPr>
                <w:sz w:val="20"/>
                <w:szCs w:val="20"/>
                <w:color w:val="auto"/>
              </w:rPr>
            </w:pPr>
            <w:r>
              <w:rPr>
                <w:rFonts w:ascii="Arial" w:cs="Arial" w:eastAsia="Arial" w:hAnsi="Arial"/>
                <w:sz w:val="18"/>
                <w:szCs w:val="18"/>
                <w:color w:val="auto"/>
              </w:rPr>
              <w:t>Acceleration of RSUs</w:t>
            </w:r>
            <w:r>
              <w:rPr>
                <w:rFonts w:ascii="Arial" w:cs="Arial" w:eastAsia="Arial" w:hAnsi="Arial"/>
                <w:sz w:val="29"/>
                <w:szCs w:val="29"/>
                <w:color w:val="auto"/>
                <w:vertAlign w:val="superscript"/>
              </w:rPr>
              <w:t>(7)(8)</w:t>
            </w:r>
          </w:p>
        </w:tc>
        <w:tc>
          <w:tcPr>
            <w:tcW w:w="1560" w:type="dxa"/>
            <w:vAlign w:val="bottom"/>
            <w:shd w:val="clear" w:color="auto" w:fill="CDDAE6"/>
          </w:tcPr>
          <w:p>
            <w:pPr>
              <w:jc w:val="right"/>
              <w:spacing w:after="0"/>
              <w:rPr>
                <w:sz w:val="20"/>
                <w:szCs w:val="20"/>
                <w:color w:val="auto"/>
              </w:rPr>
            </w:pPr>
            <w:r>
              <w:rPr>
                <w:rFonts w:ascii="Arial" w:cs="Arial" w:eastAsia="Arial" w:hAnsi="Arial"/>
                <w:sz w:val="18"/>
                <w:szCs w:val="18"/>
                <w:color w:val="auto"/>
              </w:rPr>
              <w:t>659,917</w:t>
            </w:r>
          </w:p>
        </w:tc>
        <w:tc>
          <w:tcPr>
            <w:tcW w:w="1520" w:type="dxa"/>
            <w:vAlign w:val="bottom"/>
            <w:gridSpan w:val="2"/>
            <w:shd w:val="clear" w:color="auto" w:fill="CDDAE6"/>
          </w:tcPr>
          <w:p>
            <w:pPr>
              <w:jc w:val="right"/>
              <w:spacing w:after="0"/>
              <w:rPr>
                <w:sz w:val="20"/>
                <w:szCs w:val="20"/>
                <w:color w:val="auto"/>
              </w:rPr>
            </w:pPr>
            <w:r>
              <w:rPr>
                <w:rFonts w:ascii="Arial" w:cs="Arial" w:eastAsia="Arial" w:hAnsi="Arial"/>
                <w:sz w:val="18"/>
                <w:szCs w:val="18"/>
                <w:color w:val="auto"/>
              </w:rPr>
              <w:t>659,917</w:t>
            </w:r>
          </w:p>
        </w:tc>
        <w:tc>
          <w:tcPr>
            <w:tcW w:w="80" w:type="dxa"/>
            <w:vAlign w:val="bottom"/>
            <w:shd w:val="clear" w:color="auto" w:fill="CDDAE6"/>
          </w:tcPr>
          <w:p>
            <w:pPr>
              <w:spacing w:after="0"/>
              <w:rPr>
                <w:sz w:val="24"/>
                <w:szCs w:val="24"/>
                <w:color w:val="auto"/>
              </w:rPr>
            </w:pPr>
          </w:p>
        </w:tc>
      </w:tr>
      <w:tr>
        <w:trPr>
          <w:trHeight w:val="284"/>
        </w:trPr>
        <w:tc>
          <w:tcPr>
            <w:tcW w:w="6400" w:type="dxa"/>
            <w:vAlign w:val="bottom"/>
            <w:gridSpan w:val="2"/>
          </w:tcPr>
          <w:p>
            <w:pPr>
              <w:ind w:left="300"/>
              <w:spacing w:after="0" w:line="284" w:lineRule="exact"/>
              <w:rPr>
                <w:sz w:val="20"/>
                <w:szCs w:val="20"/>
                <w:color w:val="auto"/>
              </w:rPr>
            </w:pPr>
            <w:r>
              <w:rPr>
                <w:rFonts w:ascii="Arial" w:cs="Arial" w:eastAsia="Arial" w:hAnsi="Arial"/>
                <w:sz w:val="18"/>
                <w:szCs w:val="18"/>
                <w:color w:val="auto"/>
              </w:rPr>
              <w:t>Acceleration of Performance Awards</w:t>
            </w:r>
            <w:r>
              <w:rPr>
                <w:rFonts w:ascii="Arial" w:cs="Arial" w:eastAsia="Arial" w:hAnsi="Arial"/>
                <w:sz w:val="29"/>
                <w:szCs w:val="29"/>
                <w:color w:val="auto"/>
                <w:vertAlign w:val="superscript"/>
              </w:rPr>
              <w:t>(9)(10)</w:t>
            </w:r>
          </w:p>
        </w:tc>
        <w:tc>
          <w:tcPr>
            <w:tcW w:w="1560" w:type="dxa"/>
            <w:vAlign w:val="bottom"/>
          </w:tcPr>
          <w:p>
            <w:pPr>
              <w:jc w:val="right"/>
              <w:spacing w:after="0"/>
              <w:rPr>
                <w:sz w:val="20"/>
                <w:szCs w:val="20"/>
                <w:color w:val="auto"/>
              </w:rPr>
            </w:pPr>
            <w:r>
              <w:rPr>
                <w:rFonts w:ascii="Arial" w:cs="Arial" w:eastAsia="Arial" w:hAnsi="Arial"/>
                <w:sz w:val="18"/>
                <w:szCs w:val="18"/>
                <w:color w:val="auto"/>
              </w:rPr>
              <w:t>744,624</w:t>
            </w:r>
          </w:p>
        </w:tc>
        <w:tc>
          <w:tcPr>
            <w:tcW w:w="16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64"/>
        </w:trPr>
        <w:tc>
          <w:tcPr>
            <w:tcW w:w="6400" w:type="dxa"/>
            <w:vAlign w:val="bottom"/>
            <w:tcBorders>
              <w:bottom w:val="single" w:sz="8" w:color="CDDAE6"/>
            </w:tcBorders>
            <w:gridSpan w:val="2"/>
            <w:shd w:val="clear" w:color="auto" w:fill="CDDAE6"/>
          </w:tcPr>
          <w:p>
            <w:pPr>
              <w:ind w:left="300"/>
              <w:spacing w:after="0" w:line="256" w:lineRule="exact"/>
              <w:rPr>
                <w:sz w:val="20"/>
                <w:szCs w:val="20"/>
                <w:color w:val="auto"/>
              </w:rPr>
            </w:pPr>
            <w:r>
              <w:rPr>
                <w:rFonts w:ascii="Arial" w:cs="Arial" w:eastAsia="Arial" w:hAnsi="Arial"/>
                <w:sz w:val="18"/>
                <w:szCs w:val="18"/>
                <w:color w:val="auto"/>
              </w:rPr>
              <w:t>Restoration SERP</w:t>
            </w:r>
            <w:r>
              <w:rPr>
                <w:rFonts w:ascii="Arial" w:cs="Arial" w:eastAsia="Arial" w:hAnsi="Arial"/>
                <w:sz w:val="29"/>
                <w:szCs w:val="29"/>
                <w:color w:val="auto"/>
                <w:vertAlign w:val="superscript"/>
              </w:rPr>
              <w:t>(11)</w:t>
            </w:r>
          </w:p>
        </w:tc>
        <w:tc>
          <w:tcPr>
            <w:tcW w:w="1560" w:type="dxa"/>
            <w:vAlign w:val="bottom"/>
            <w:tcBorders>
              <w:bottom w:val="single" w:sz="8" w:color="auto"/>
            </w:tcBorders>
            <w:shd w:val="clear" w:color="auto" w:fill="CDDAE6"/>
          </w:tcPr>
          <w:p>
            <w:pPr>
              <w:jc w:val="right"/>
              <w:spacing w:after="0"/>
              <w:rPr>
                <w:sz w:val="20"/>
                <w:szCs w:val="20"/>
                <w:color w:val="auto"/>
              </w:rPr>
            </w:pPr>
            <w:r>
              <w:rPr>
                <w:rFonts w:ascii="Arial" w:cs="Arial" w:eastAsia="Arial" w:hAnsi="Arial"/>
                <w:sz w:val="18"/>
                <w:szCs w:val="18"/>
                <w:color w:val="auto"/>
              </w:rPr>
              <w:t>251,056</w:t>
            </w:r>
          </w:p>
        </w:tc>
        <w:tc>
          <w:tcPr>
            <w:tcW w:w="160" w:type="dxa"/>
            <w:vAlign w:val="bottom"/>
            <w:tcBorders>
              <w:bottom w:val="single" w:sz="8" w:color="CDDAE6"/>
            </w:tcBorders>
            <w:shd w:val="clear" w:color="auto" w:fill="CDDAE6"/>
          </w:tcPr>
          <w:p>
            <w:pPr>
              <w:spacing w:after="0"/>
              <w:rPr>
                <w:sz w:val="22"/>
                <w:szCs w:val="22"/>
                <w:color w:val="auto"/>
              </w:rPr>
            </w:pPr>
          </w:p>
        </w:tc>
        <w:tc>
          <w:tcPr>
            <w:tcW w:w="1360" w:type="dxa"/>
            <w:vAlign w:val="bottom"/>
            <w:tcBorders>
              <w:bottom w:val="single" w:sz="8" w:color="auto"/>
            </w:tcBorders>
            <w:shd w:val="clear" w:color="auto" w:fill="CDDA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DDAE6"/>
            </w:tcBorders>
            <w:shd w:val="clear" w:color="auto" w:fill="CDDAE6"/>
          </w:tcPr>
          <w:p>
            <w:pPr>
              <w:spacing w:after="0"/>
              <w:rPr>
                <w:sz w:val="22"/>
                <w:szCs w:val="22"/>
                <w:color w:val="auto"/>
              </w:rPr>
            </w:pPr>
          </w:p>
        </w:tc>
      </w:tr>
      <w:tr>
        <w:trPr>
          <w:trHeight w:val="230"/>
        </w:trPr>
        <w:tc>
          <w:tcPr>
            <w:tcW w:w="640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7,478,345</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2,409,999</w:t>
            </w:r>
          </w:p>
        </w:tc>
        <w:tc>
          <w:tcPr>
            <w:tcW w:w="80" w:type="dxa"/>
            <w:vAlign w:val="bottom"/>
          </w:tcPr>
          <w:p>
            <w:pPr>
              <w:spacing w:after="0"/>
              <w:rPr>
                <w:sz w:val="19"/>
                <w:szCs w:val="19"/>
                <w:color w:val="auto"/>
              </w:rPr>
            </w:pPr>
          </w:p>
        </w:tc>
      </w:tr>
      <w:tr>
        <w:trPr>
          <w:trHeight w:val="21"/>
        </w:trPr>
        <w:tc>
          <w:tcPr>
            <w:tcW w:w="2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2680" w:type="dxa"/>
            <w:vAlign w:val="bottom"/>
            <w:tcBorders>
              <w:bottom w:val="single" w:sz="8" w:color="005C7D"/>
            </w:tcBorders>
          </w:tcPr>
          <w:p>
            <w:pPr>
              <w:spacing w:after="0" w:line="20" w:lineRule="exact"/>
              <w:rPr>
                <w:sz w:val="1"/>
                <w:szCs w:val="1"/>
                <w:color w:val="auto"/>
              </w:rPr>
            </w:pPr>
          </w:p>
        </w:tc>
        <w:tc>
          <w:tcPr>
            <w:tcW w:w="3720" w:type="dxa"/>
            <w:vAlign w:val="bottom"/>
            <w:tcBorders>
              <w:bottom w:val="single" w:sz="8" w:color="005C7D"/>
            </w:tcBorders>
          </w:tcPr>
          <w:p>
            <w:pPr>
              <w:spacing w:after="0" w:line="20" w:lineRule="exact"/>
              <w:rPr>
                <w:sz w:val="1"/>
                <w:szCs w:val="1"/>
                <w:color w:val="auto"/>
              </w:rPr>
            </w:pPr>
          </w:p>
        </w:tc>
        <w:tc>
          <w:tcPr>
            <w:tcW w:w="1560" w:type="dxa"/>
            <w:vAlign w:val="bottom"/>
            <w:tcBorders>
              <w:bottom w:val="single" w:sz="8" w:color="005C7D"/>
            </w:tcBorders>
          </w:tcPr>
          <w:p>
            <w:pPr>
              <w:spacing w:after="0" w:line="20" w:lineRule="exact"/>
              <w:rPr>
                <w:sz w:val="1"/>
                <w:szCs w:val="1"/>
                <w:color w:val="auto"/>
              </w:rPr>
            </w:pPr>
          </w:p>
        </w:tc>
        <w:tc>
          <w:tcPr>
            <w:tcW w:w="160" w:type="dxa"/>
            <w:vAlign w:val="bottom"/>
            <w:tcBorders>
              <w:bottom w:val="single" w:sz="8" w:color="005C7D"/>
            </w:tcBorders>
          </w:tcPr>
          <w:p>
            <w:pPr>
              <w:spacing w:after="0" w:line="20" w:lineRule="exact"/>
              <w:rPr>
                <w:sz w:val="1"/>
                <w:szCs w:val="1"/>
                <w:color w:val="auto"/>
              </w:rPr>
            </w:pPr>
          </w:p>
        </w:tc>
        <w:tc>
          <w:tcPr>
            <w:tcW w:w="1360" w:type="dxa"/>
            <w:vAlign w:val="bottom"/>
            <w:tcBorders>
              <w:bottom w:val="single" w:sz="8" w:color="005C7D"/>
            </w:tcBorders>
          </w:tcPr>
          <w:p>
            <w:pPr>
              <w:spacing w:after="0" w:line="20" w:lineRule="exact"/>
              <w:rPr>
                <w:sz w:val="1"/>
                <w:szCs w:val="1"/>
                <w:color w:val="auto"/>
              </w:rPr>
            </w:pPr>
          </w:p>
        </w:tc>
        <w:tc>
          <w:tcPr>
            <w:tcW w:w="80" w:type="dxa"/>
            <w:vAlign w:val="bottom"/>
            <w:tcBorders>
              <w:bottom w:val="single" w:sz="8" w:color="005C7D"/>
            </w:tcBorders>
          </w:tcPr>
          <w:p>
            <w:pPr>
              <w:spacing w:after="0" w:line="20" w:lineRule="exact"/>
              <w:rPr>
                <w:sz w:val="1"/>
                <w:szCs w:val="1"/>
                <w:color w:val="auto"/>
              </w:rPr>
            </w:pPr>
          </w:p>
        </w:tc>
      </w:tr>
      <w:tr>
        <w:trPr>
          <w:trHeight w:val="156"/>
        </w:trPr>
        <w:tc>
          <w:tcPr>
            <w:tcW w:w="2680" w:type="dxa"/>
            <w:vAlign w:val="bottom"/>
            <w:tcBorders>
              <w:bottom w:val="single" w:sz="8" w:color="auto"/>
            </w:tcBorders>
          </w:tcPr>
          <w:p>
            <w:pPr>
              <w:spacing w:after="0"/>
              <w:rPr>
                <w:sz w:val="13"/>
                <w:szCs w:val="13"/>
                <w:color w:val="auto"/>
              </w:rPr>
            </w:pPr>
          </w:p>
        </w:tc>
        <w:tc>
          <w:tcPr>
            <w:tcW w:w="37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r>
    </w:tbl>
    <w:p>
      <w:pPr>
        <w:spacing w:after="0" w:line="98" w:lineRule="exact"/>
        <w:rPr>
          <w:sz w:val="20"/>
          <w:szCs w:val="20"/>
          <w:color w:val="auto"/>
        </w:rPr>
      </w:pPr>
    </w:p>
    <w:p>
      <w:pPr>
        <w:ind w:left="347" w:right="20" w:hanging="347"/>
        <w:spacing w:after="0" w:line="286" w:lineRule="auto"/>
        <w:tabs>
          <w:tab w:leader="none" w:pos="347" w:val="left"/>
        </w:tabs>
        <w:numPr>
          <w:ilvl w:val="0"/>
          <w:numId w:val="87"/>
        </w:numPr>
        <w:rPr>
          <w:rFonts w:ascii="Arial" w:cs="Arial" w:eastAsia="Arial" w:hAnsi="Arial"/>
          <w:sz w:val="15"/>
          <w:szCs w:val="15"/>
          <w:color w:val="auto"/>
        </w:rPr>
      </w:pPr>
      <w:r>
        <w:rPr>
          <w:rFonts w:ascii="Arial" w:cs="Arial" w:eastAsia="Arial" w:hAnsi="Arial"/>
          <w:sz w:val="15"/>
          <w:szCs w:val="15"/>
          <w:color w:val="auto"/>
        </w:rPr>
        <w:t xml:space="preserve">Severance, medical benefits, life insurance premiums and outplacement benefits in connection with a change in control are payable only if the named executive officer (a) is involuntarily terminated (other than for cause, death or disability) at the request of the acquirer or otherwise in anticipation of, or during the two-year period following, the change in control or (b) voluntarily terminates employment for good reason during the two-year period following the change in control. For purposes of calculating the amount of these benefits in connection with a change in control, we assumed that such a termination of employment occurred on December 30, 2016, the last business day of 2016. Receipt of these benefits is conditioned upon the named executive officer’s execution of an agreement with the Company containing confidentiality, 12-month non-competition and non-solicitation covenants and a customary release of all claims against the Company. For a further discussion, see “– Change in Control Severance Plan” on page </w:t>
      </w:r>
      <w:hyperlink w:anchor="page80">
        <w:r>
          <w:rPr>
            <w:rFonts w:ascii="Arial" w:cs="Arial" w:eastAsia="Arial" w:hAnsi="Arial"/>
            <w:sz w:val="15"/>
            <w:szCs w:val="15"/>
            <w:u w:val="single" w:color="auto"/>
            <w:color w:val="0000EE"/>
          </w:rPr>
          <w:t>74</w:t>
        </w:r>
      </w:hyperlink>
      <w:r>
        <w:rPr>
          <w:rFonts w:ascii="Arial" w:cs="Arial" w:eastAsia="Arial" w:hAnsi="Arial"/>
          <w:sz w:val="15"/>
          <w:szCs w:val="15"/>
          <w:color w:val="auto"/>
        </w:rPr>
        <w:t>.</w:t>
      </w:r>
    </w:p>
    <w:p>
      <w:pPr>
        <w:spacing w:after="0" w:line="3" w:lineRule="exact"/>
        <w:rPr>
          <w:rFonts w:ascii="Arial" w:cs="Arial" w:eastAsia="Arial" w:hAnsi="Arial"/>
          <w:sz w:val="15"/>
          <w:szCs w:val="15"/>
          <w:color w:val="auto"/>
        </w:rPr>
      </w:pPr>
    </w:p>
    <w:p>
      <w:pPr>
        <w:ind w:left="347" w:right="60" w:hanging="347"/>
        <w:spacing w:after="0" w:line="286" w:lineRule="auto"/>
        <w:tabs>
          <w:tab w:leader="none" w:pos="347" w:val="left"/>
        </w:tabs>
        <w:numPr>
          <w:ilvl w:val="0"/>
          <w:numId w:val="87"/>
        </w:numPr>
        <w:rPr>
          <w:rFonts w:ascii="Arial" w:cs="Arial" w:eastAsia="Arial" w:hAnsi="Arial"/>
          <w:sz w:val="15"/>
          <w:szCs w:val="15"/>
          <w:color w:val="auto"/>
        </w:rPr>
      </w:pPr>
      <w:r>
        <w:rPr>
          <w:rFonts w:ascii="Arial" w:cs="Arial" w:eastAsia="Arial" w:hAnsi="Arial"/>
          <w:sz w:val="15"/>
          <w:szCs w:val="15"/>
          <w:color w:val="auto"/>
        </w:rPr>
        <w:t xml:space="preserve">As discussed in “– Change in Control Severance Plan” on page </w:t>
      </w:r>
      <w:hyperlink w:anchor="page80">
        <w:r>
          <w:rPr>
            <w:rFonts w:ascii="Arial" w:cs="Arial" w:eastAsia="Arial" w:hAnsi="Arial"/>
            <w:sz w:val="15"/>
            <w:szCs w:val="15"/>
            <w:u w:val="single" w:color="auto"/>
            <w:color w:val="0000EE"/>
          </w:rPr>
          <w:t>74,</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the change in control severance amount for each named executive officer is a multiple of base salary and average annual incentive plan awards for the three years prior to the year of termination. While the Change in Control Severance Plan also provides for an unpaid annual incentive plan award for the current year earned through the termination date, such amounts for each named executive officer are not reflected in this table because the amounts earned under the annual incentive plan for 2016 are already included in the “Summary Compensation Table” on page </w:t>
      </w:r>
      <w:hyperlink w:anchor="page68">
        <w:r>
          <w:rPr>
            <w:rFonts w:ascii="Arial" w:cs="Arial" w:eastAsia="Arial" w:hAnsi="Arial"/>
            <w:sz w:val="15"/>
            <w:szCs w:val="15"/>
            <w:u w:val="single" w:color="auto"/>
            <w:color w:val="0000EE"/>
          </w:rPr>
          <w:t>62</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in the Non-Equity Incentive Plan Compensation column for 2016. In the event that these payments, when aggregated with all other change in control payments, would subject the named executive officer to an excise tax under IRS regulations, then these payments will be reduced to the highest amount for which no excise tax would be due, but only if the reduced amount is greater than the unreduced amount net of the excise tax.</w:t>
      </w:r>
    </w:p>
    <w:p>
      <w:pPr>
        <w:spacing w:after="0" w:line="3" w:lineRule="exact"/>
        <w:rPr>
          <w:rFonts w:ascii="Arial" w:cs="Arial" w:eastAsia="Arial" w:hAnsi="Arial"/>
          <w:sz w:val="15"/>
          <w:szCs w:val="15"/>
          <w:color w:val="auto"/>
        </w:rPr>
      </w:pPr>
    </w:p>
    <w:p>
      <w:pPr>
        <w:ind w:left="347" w:right="20" w:hanging="347"/>
        <w:spacing w:after="0" w:line="275" w:lineRule="auto"/>
        <w:tabs>
          <w:tab w:leader="none" w:pos="347"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Medical benefits and life insurance premiums are based on the applicable multiple of the premiums paid by the Company in 2016, as set forth in Note 6 to the “Summary Compensation Table” on page </w:t>
      </w:r>
      <w:hyperlink w:anchor="page68">
        <w:r>
          <w:rPr>
            <w:rFonts w:ascii="Arial" w:cs="Arial" w:eastAsia="Arial" w:hAnsi="Arial"/>
            <w:sz w:val="16"/>
            <w:szCs w:val="16"/>
            <w:u w:val="single" w:color="auto"/>
            <w:color w:val="0000EE"/>
          </w:rPr>
          <w:t>62,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provide the named executive officer (and the named executive officer’s spouse and dependents, as applicable) with executive medical benefits and life insurance.</w:t>
      </w:r>
    </w:p>
    <w:p>
      <w:pPr>
        <w:spacing w:after="0" w:line="2" w:lineRule="exact"/>
        <w:rPr>
          <w:rFonts w:ascii="Arial" w:cs="Arial" w:eastAsia="Arial" w:hAnsi="Arial"/>
          <w:sz w:val="16"/>
          <w:szCs w:val="16"/>
          <w:color w:val="auto"/>
        </w:rPr>
      </w:pPr>
    </w:p>
    <w:p>
      <w:pPr>
        <w:ind w:left="347" w:right="260" w:hanging="347"/>
        <w:spacing w:after="0" w:line="278" w:lineRule="auto"/>
        <w:tabs>
          <w:tab w:leader="none" w:pos="347" w:val="left"/>
        </w:tabs>
        <w:numPr>
          <w:ilvl w:val="0"/>
          <w:numId w:val="87"/>
        </w:numPr>
        <w:rPr>
          <w:rFonts w:ascii="Arial" w:cs="Arial" w:eastAsia="Arial" w:hAnsi="Arial"/>
          <w:sz w:val="16"/>
          <w:szCs w:val="16"/>
          <w:color w:val="auto"/>
        </w:rPr>
      </w:pPr>
      <w:r>
        <w:rPr>
          <w:rFonts w:ascii="Arial" w:cs="Arial" w:eastAsia="Arial" w:hAnsi="Arial"/>
          <w:sz w:val="16"/>
          <w:szCs w:val="16"/>
          <w:color w:val="auto"/>
        </w:rPr>
        <w:t>Under our Change in Control Severance Plan, a named executive officer is entitled to reasonable outplacement services from a provider selected by the executive and paid for by the Company. The amount disclosed represents the Company’s reasonable estimate of the cost to provide this benefit.</w:t>
      </w:r>
    </w:p>
    <w:p>
      <w:pPr>
        <w:spacing w:after="0" w:line="220" w:lineRule="exact"/>
        <w:rPr>
          <w:rFonts w:ascii="Arial" w:cs="Arial" w:eastAsia="Arial" w:hAnsi="Arial"/>
          <w:sz w:val="15"/>
          <w:szCs w:val="15"/>
          <w:color w:val="auto"/>
        </w:rPr>
      </w:pPr>
    </w:p>
    <w:p>
      <w:pPr>
        <w:ind w:left="7827"/>
        <w:spacing w:after="0"/>
        <w:tabs>
          <w:tab w:leader="none" w:pos="9326"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77</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4445</wp:posOffset>
            </wp:positionH>
            <wp:positionV relativeFrom="paragraph">
              <wp:posOffset>381000</wp:posOffset>
            </wp:positionV>
            <wp:extent cx="6071870" cy="4318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-107315</wp:posOffset>
            </wp:positionV>
            <wp:extent cx="163195" cy="1543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83" w:name="page84"/>
    <w:bookmarkEnd w:id="83"/>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7"/>
        <w:spacing w:after="0"/>
        <w:rPr>
          <w:sz w:val="20"/>
          <w:szCs w:val="20"/>
          <w:color w:val="auto"/>
        </w:rPr>
      </w:pPr>
      <w:r>
        <w:rPr>
          <w:rFonts w:ascii="Arial" w:cs="Arial" w:eastAsia="Arial" w:hAnsi="Arial"/>
          <w:sz w:val="14"/>
          <w:szCs w:val="14"/>
          <w:color w:val="005C7D"/>
        </w:rPr>
        <w:t>TABULAR EXECUTIVE COMPENSATION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07187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6" w:lineRule="exact"/>
        <w:rPr>
          <w:sz w:val="20"/>
          <w:szCs w:val="20"/>
          <w:color w:val="auto"/>
        </w:rPr>
      </w:pPr>
    </w:p>
    <w:p>
      <w:pPr>
        <w:ind w:left="347" w:hanging="347"/>
        <w:spacing w:after="0" w:line="275" w:lineRule="auto"/>
        <w:tabs>
          <w:tab w:leader="none" w:pos="347" w:val="left"/>
        </w:tabs>
        <w:numPr>
          <w:ilvl w:val="0"/>
          <w:numId w:val="88"/>
        </w:numPr>
        <w:rPr>
          <w:rFonts w:ascii="Arial" w:cs="Arial" w:eastAsia="Arial" w:hAnsi="Arial"/>
          <w:sz w:val="16"/>
          <w:szCs w:val="16"/>
          <w:color w:val="auto"/>
        </w:rPr>
      </w:pPr>
      <w:r>
        <w:rPr>
          <w:rFonts w:ascii="Arial" w:cs="Arial" w:eastAsia="Arial" w:hAnsi="Arial"/>
          <w:sz w:val="16"/>
          <w:szCs w:val="16"/>
          <w:color w:val="auto"/>
        </w:rPr>
        <w:t>As disclosed above, in the event of any termination of employment other than death or disability, unvested stock options (or all stock options, in the case of a termination for cause) are forfeited. Accordingly, stock options are not quantified in the table above with respect to any termination of employment event other than in connection with a change in control, or upon death or disability.</w:t>
      </w:r>
    </w:p>
    <w:p>
      <w:pPr>
        <w:spacing w:after="0" w:line="2" w:lineRule="exact"/>
        <w:rPr>
          <w:rFonts w:ascii="Arial" w:cs="Arial" w:eastAsia="Arial" w:hAnsi="Arial"/>
          <w:sz w:val="16"/>
          <w:szCs w:val="16"/>
          <w:color w:val="auto"/>
        </w:rPr>
      </w:pPr>
    </w:p>
    <w:p>
      <w:pPr>
        <w:ind w:left="347" w:right="20" w:hanging="347"/>
        <w:spacing w:after="0" w:line="275" w:lineRule="auto"/>
        <w:tabs>
          <w:tab w:leader="none" w:pos="347"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value attributable to the acceleration of unvested stock options is based upon the number of unvested stock options multiplied by the difference between the closing price of our Common Stock ($152.11) on December 30, 2016, the last business day of 2016, and the per share exercise price of the option.</w:t>
      </w:r>
    </w:p>
    <w:p>
      <w:pPr>
        <w:spacing w:after="0" w:line="2" w:lineRule="exact"/>
        <w:rPr>
          <w:rFonts w:ascii="Arial" w:cs="Arial" w:eastAsia="Arial" w:hAnsi="Arial"/>
          <w:sz w:val="16"/>
          <w:szCs w:val="16"/>
          <w:color w:val="auto"/>
        </w:rPr>
      </w:pPr>
    </w:p>
    <w:p>
      <w:pPr>
        <w:ind w:left="347" w:hanging="347"/>
        <w:spacing w:after="0" w:line="286" w:lineRule="auto"/>
        <w:tabs>
          <w:tab w:leader="none" w:pos="347" w:val="left"/>
        </w:tabs>
        <w:numPr>
          <w:ilvl w:val="0"/>
          <w:numId w:val="88"/>
        </w:numPr>
        <w:rPr>
          <w:rFonts w:ascii="Arial" w:cs="Arial" w:eastAsia="Arial" w:hAnsi="Arial"/>
          <w:sz w:val="15"/>
          <w:szCs w:val="15"/>
          <w:color w:val="auto"/>
        </w:rPr>
      </w:pPr>
      <w:r>
        <w:rPr>
          <w:rFonts w:ascii="Arial" w:cs="Arial" w:eastAsia="Arial" w:hAnsi="Arial"/>
          <w:sz w:val="15"/>
          <w:szCs w:val="15"/>
          <w:color w:val="auto"/>
        </w:rPr>
        <w:t xml:space="preserve">As disclosed above, in the event of the named executive officer’s Qualified Retirement, RSUs are deemed to have vested, but the underlying Common Stock and accrued cash dividend equivalents remain undelivered and unpaid until the end of the original vesting period. In the event of any other termination of employment other than in connection with a change in control, or upon death or disability, the RSUs are forfeited. Accordingly, the RSUs are not quantified in the table above with respect to any termination of employment event other than in connection with a change in control, or upon death or disability. In addition, the amounts disclosed in the table above exclude the value attributable to the accelerated delivery and payment upon a change in control, death or disability of shares and dividend equivalents underlying Retirement Eligible RSU Awards because these amounts are already included in the “2016 Nonqualified Deferred Compensation” table on page </w:t>
      </w:r>
      <w:hyperlink w:anchor="page79">
        <w:r>
          <w:rPr>
            <w:rFonts w:ascii="Arial" w:cs="Arial" w:eastAsia="Arial" w:hAnsi="Arial"/>
            <w:sz w:val="15"/>
            <w:szCs w:val="15"/>
            <w:u w:val="single" w:color="auto"/>
            <w:color w:val="0000EE"/>
          </w:rPr>
          <w:t>73</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in the Aggregate Balance at Last Fiscal Year End column.</w:t>
      </w:r>
    </w:p>
    <w:p>
      <w:pPr>
        <w:spacing w:after="0" w:line="3" w:lineRule="exact"/>
        <w:rPr>
          <w:rFonts w:ascii="Arial" w:cs="Arial" w:eastAsia="Arial" w:hAnsi="Arial"/>
          <w:sz w:val="15"/>
          <w:szCs w:val="15"/>
          <w:color w:val="auto"/>
        </w:rPr>
      </w:pPr>
    </w:p>
    <w:p>
      <w:pPr>
        <w:ind w:left="347" w:right="40" w:hanging="347"/>
        <w:spacing w:after="0" w:line="275" w:lineRule="auto"/>
        <w:tabs>
          <w:tab w:leader="none" w:pos="347"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value attributable to the acceleration of unvested RSUs is based upon the sum of (a) number of unvested RSUs multiplied by the closing price of our Common Stock ($152.11) on December 30, 2016, the last business day of 2016, and (b) the accrued cash dividend equivalents underlying the unvested RSUs as of December 31, 2016.</w:t>
      </w:r>
    </w:p>
    <w:p>
      <w:pPr>
        <w:spacing w:after="0" w:line="2" w:lineRule="exact"/>
        <w:rPr>
          <w:rFonts w:ascii="Arial" w:cs="Arial" w:eastAsia="Arial" w:hAnsi="Arial"/>
          <w:sz w:val="16"/>
          <w:szCs w:val="16"/>
          <w:color w:val="auto"/>
        </w:rPr>
      </w:pPr>
    </w:p>
    <w:p>
      <w:pPr>
        <w:ind w:left="347" w:right="40" w:hanging="347"/>
        <w:spacing w:after="0" w:line="289" w:lineRule="auto"/>
        <w:tabs>
          <w:tab w:leader="none" w:pos="347" w:val="left"/>
        </w:tabs>
        <w:numPr>
          <w:ilvl w:val="0"/>
          <w:numId w:val="88"/>
        </w:numPr>
        <w:rPr>
          <w:rFonts w:ascii="Arial" w:cs="Arial" w:eastAsia="Arial" w:hAnsi="Arial"/>
          <w:sz w:val="15"/>
          <w:szCs w:val="15"/>
          <w:color w:val="auto"/>
        </w:rPr>
      </w:pPr>
      <w:r>
        <w:rPr>
          <w:rFonts w:ascii="Arial" w:cs="Arial" w:eastAsia="Arial" w:hAnsi="Arial"/>
          <w:sz w:val="15"/>
          <w:szCs w:val="15"/>
          <w:color w:val="auto"/>
        </w:rPr>
        <w:t>As disclosed above, in the event of the named executive officer’s death, disability, Qualified Retirement or termination by the Company without cause, a prorated portion of the performance awards are forfeited, and the remaining performance awards are not delivered or paid until the end of the original performance period based on actual performance for the full performance period. In the event of any other termination of employment, the performance awards are forfeited. Accordingly, the performance awards are not quantified in the table above with respect to any termination of employment event other than in connection with a change in control.</w:t>
      </w:r>
    </w:p>
    <w:p>
      <w:pPr>
        <w:spacing w:after="0" w:line="1" w:lineRule="exact"/>
        <w:rPr>
          <w:rFonts w:ascii="Arial" w:cs="Arial" w:eastAsia="Arial" w:hAnsi="Arial"/>
          <w:sz w:val="15"/>
          <w:szCs w:val="15"/>
          <w:color w:val="auto"/>
        </w:rPr>
      </w:pPr>
    </w:p>
    <w:p>
      <w:pPr>
        <w:ind w:left="347" w:hanging="347"/>
        <w:spacing w:after="0" w:line="286" w:lineRule="auto"/>
        <w:tabs>
          <w:tab w:leader="none" w:pos="347"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value attributable to the acceleration of performance units is based upon the sum of (a) the prorated number of shares issuable assuming a Target level of performance achievement multiplied by the closing price of our Common Stock ($152.11) on December 30, 2016, the last business day of 2016, and (b) where applicable, the accrued cash dividend equivalents underlying such prorated number of shares as of December 31, 2016. The value attributable to the acceleration of performance cash awards is based upon the prorated amount of cash payable assuming a Target level of performance achievement. As disclosed above, the Compensation Committee has the discretion to increase the number of shares issuable or the amount of cash payable up to the prorated number of shares issuable or amount of cash payable assuming the Maximum level of performance achievement based on the Compensation Committee’s assessment of the Company’s progress towards achievement of the applicable performance measures at or prior to the change in control, but only if such assessment is that the Target performance level would be exceeded.</w:t>
      </w:r>
    </w:p>
    <w:p>
      <w:pPr>
        <w:ind w:left="347" w:hanging="347"/>
        <w:spacing w:after="0" w:line="285" w:lineRule="auto"/>
        <w:tabs>
          <w:tab w:leader="none" w:pos="347" w:val="left"/>
        </w:tabs>
        <w:numPr>
          <w:ilvl w:val="0"/>
          <w:numId w:val="88"/>
        </w:numPr>
        <w:rPr>
          <w:rFonts w:ascii="Arial" w:cs="Arial" w:eastAsia="Arial" w:hAnsi="Arial"/>
          <w:sz w:val="15"/>
          <w:szCs w:val="15"/>
          <w:color w:val="auto"/>
        </w:rPr>
      </w:pPr>
      <w:r>
        <w:rPr>
          <w:rFonts w:ascii="Arial" w:cs="Arial" w:eastAsia="Arial" w:hAnsi="Arial"/>
          <w:sz w:val="15"/>
          <w:szCs w:val="15"/>
          <w:color w:val="auto"/>
        </w:rPr>
        <w:t xml:space="preserve">The Restoration SERP pays benefits in a lump sum upon a change in control, and in an annuity following the later of (a) the named executive officer’s earliest retirement date under the applicable Qualified Pension Plan or (b) the date of the named executive officer’s termination of employment (subject to a potential six-month delay to comply with Section 409A of the Internal Revenue Code). ERISA regulations for Qualified Pension Plans require that an interest rate different than the rate used for financial reporting purposes be used to determine benefits paid out in lump sum. The Restoration SERP uses lump sum factors under Section 417(e) of the Internal Revenue Code as defined in the applicable Qualified Pension Plan, resulting in an enhanced benefit received upon a change in control compared to the benefits received following a voluntary termination, normal retirement or involuntary not-for-cause termination. The amounts disclosed represent the enhancement received upon a change in control. In the case of any other termination, no enhanced benefit is received under the Restoration SERP and, accordingly, no amounts relating to payments under the Restoration SERP in the case of such terminations are included in the table above. In the event of a termination for cause, all benefits under the Restoration SERP are forfeited. For a further discussion, see the “2016 Pension Benefits” table on page </w:t>
      </w:r>
      <w:hyperlink w:anchor="page76">
        <w:r>
          <w:rPr>
            <w:rFonts w:ascii="Arial" w:cs="Arial" w:eastAsia="Arial" w:hAnsi="Arial"/>
            <w:sz w:val="15"/>
            <w:szCs w:val="15"/>
            <w:u w:val="single" w:color="auto"/>
            <w:color w:val="0000EE"/>
          </w:rPr>
          <w:t>70</w:t>
        </w:r>
      </w:hyperlink>
      <w:r>
        <w:rPr>
          <w:rFonts w:ascii="Arial" w:cs="Arial" w:eastAsia="Arial" w:hAnsi="Arial"/>
          <w:sz w:val="15"/>
          <w:szCs w:val="15"/>
          <w:color w:val="auto"/>
        </w:rPr>
        <w:t>.</w:t>
      </w:r>
    </w:p>
    <w:p>
      <w:pPr>
        <w:spacing w:after="0" w:line="2" w:lineRule="exact"/>
        <w:rPr>
          <w:rFonts w:ascii="Arial" w:cs="Arial" w:eastAsia="Arial" w:hAnsi="Arial"/>
          <w:sz w:val="15"/>
          <w:szCs w:val="15"/>
          <w:color w:val="auto"/>
        </w:rPr>
      </w:pPr>
    </w:p>
    <w:p>
      <w:pPr>
        <w:ind w:left="347" w:hanging="347"/>
        <w:spacing w:after="0"/>
        <w:tabs>
          <w:tab w:leader="none" w:pos="347" w:val="left"/>
        </w:tabs>
        <w:numPr>
          <w:ilvl w:val="0"/>
          <w:numId w:val="88"/>
        </w:numPr>
        <w:rPr>
          <w:rFonts w:ascii="Arial" w:cs="Arial" w:eastAsia="Arial" w:hAnsi="Arial"/>
          <w:sz w:val="14"/>
          <w:szCs w:val="14"/>
          <w:color w:val="auto"/>
        </w:rPr>
      </w:pPr>
      <w:r>
        <w:rPr>
          <w:rFonts w:ascii="Arial" w:cs="Arial" w:eastAsia="Arial" w:hAnsi="Arial"/>
          <w:sz w:val="14"/>
          <w:szCs w:val="14"/>
          <w:color w:val="auto"/>
        </w:rPr>
        <w:t>Mr. Kubasik does not participate in the Restoration SERP because this plan was closed to new participants hired on or after January 1, 2007.</w:t>
      </w:r>
    </w:p>
    <w:p>
      <w:pPr>
        <w:spacing w:after="0" w:line="323" w:lineRule="exact"/>
        <w:rPr>
          <w:rFonts w:ascii="Arial" w:cs="Arial" w:eastAsia="Arial" w:hAnsi="Arial"/>
          <w:sz w:val="15"/>
          <w:szCs w:val="15"/>
          <w:color w:val="auto"/>
        </w:rPr>
      </w:pPr>
    </w:p>
    <w:p>
      <w:pPr>
        <w:ind w:left="47"/>
        <w:spacing w:after="0"/>
        <w:tabs>
          <w:tab w:leader="none" w:pos="666" w:val="left"/>
        </w:tabs>
        <w:rPr>
          <w:sz w:val="20"/>
          <w:szCs w:val="20"/>
          <w:color w:val="auto"/>
        </w:rPr>
      </w:pPr>
      <w:r>
        <w:rPr>
          <w:rFonts w:ascii="Arial" w:cs="Arial" w:eastAsia="Arial" w:hAnsi="Arial"/>
          <w:sz w:val="18"/>
          <w:szCs w:val="18"/>
          <w:color w:val="005C7D"/>
        </w:rPr>
        <w:t>78</w:t>
      </w:r>
      <w:r>
        <w:rPr>
          <w:sz w:val="20"/>
          <w:szCs w:val="20"/>
          <w:color w:val="auto"/>
        </w:rPr>
        <w:tab/>
      </w: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4445</wp:posOffset>
            </wp:positionH>
            <wp:positionV relativeFrom="paragraph">
              <wp:posOffset>382270</wp:posOffset>
            </wp:positionV>
            <wp:extent cx="6071870" cy="4318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-106045</wp:posOffset>
            </wp:positionV>
            <wp:extent cx="154305" cy="1543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27"/>
          </w:cols>
          <w:pgMar w:left="1173" w:top="279" w:right="1199" w:bottom="1440" w:gutter="0" w:footer="0" w:header="0"/>
        </w:sectPr>
      </w:pPr>
    </w:p>
    <w:bookmarkStart w:id="84" w:name="page85"/>
    <w:bookmarkEnd w:id="84"/>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07187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149860</wp:posOffset>
            </wp:positionV>
            <wp:extent cx="6071870" cy="2057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071870" cy="205740"/>
                    </a:xfrm>
                    <a:prstGeom prst="rect">
                      <a:avLst/>
                    </a:prstGeom>
                    <a:noFill/>
                  </pic:spPr>
                </pic:pic>
              </a:graphicData>
            </a:graphic>
          </wp:anchor>
        </w:drawing>
      </w:r>
    </w:p>
    <w:p>
      <w:pPr>
        <w:spacing w:after="0" w:line="229" w:lineRule="exact"/>
        <w:rPr>
          <w:sz w:val="20"/>
          <w:szCs w:val="20"/>
          <w:color w:val="auto"/>
        </w:rPr>
      </w:pPr>
    </w:p>
    <w:p>
      <w:pPr>
        <w:jc w:val="center"/>
        <w:ind w:right="53"/>
        <w:spacing w:after="0"/>
        <w:rPr>
          <w:sz w:val="20"/>
          <w:szCs w:val="20"/>
          <w:color w:val="auto"/>
        </w:rPr>
      </w:pPr>
      <w:r>
        <w:rPr>
          <w:rFonts w:ascii="Arial" w:cs="Arial" w:eastAsia="Arial" w:hAnsi="Arial"/>
          <w:sz w:val="22"/>
          <w:szCs w:val="22"/>
          <w:b w:val="1"/>
          <w:bCs w:val="1"/>
          <w:color w:val="005C7D"/>
        </w:rPr>
        <w:t>COMPENSATION OF DIRECTORS</w:t>
      </w:r>
    </w:p>
    <w:p>
      <w:pPr>
        <w:spacing w:after="0" w:line="206" w:lineRule="exact"/>
        <w:rPr>
          <w:sz w:val="20"/>
          <w:szCs w:val="20"/>
          <w:color w:val="auto"/>
        </w:rPr>
      </w:pPr>
    </w:p>
    <w:p>
      <w:pPr>
        <w:ind w:left="7" w:right="20"/>
        <w:spacing w:after="0" w:line="259" w:lineRule="auto"/>
        <w:rPr>
          <w:sz w:val="20"/>
          <w:szCs w:val="20"/>
          <w:color w:val="auto"/>
        </w:rPr>
      </w:pPr>
      <w:r>
        <w:rPr>
          <w:rFonts w:ascii="Arial" w:cs="Arial" w:eastAsia="Arial" w:hAnsi="Arial"/>
          <w:sz w:val="18"/>
          <w:szCs w:val="18"/>
          <w:color w:val="auto"/>
        </w:rPr>
        <w:t>L3’s compensation program for non-employee directors (the “Director Compensation Program”) is determined by our Board of Directors. The objectives of the program are to attract and retain highly qualified directors, and to compensate them in a manner that closely aligns their interests with those of our shareholders. Directors who are also employees of L3 do not receive additional compensation for their services as directors.</w:t>
      </w:r>
    </w:p>
    <w:p>
      <w:pPr>
        <w:spacing w:after="0" w:line="133" w:lineRule="exact"/>
        <w:rPr>
          <w:sz w:val="20"/>
          <w:szCs w:val="20"/>
          <w:color w:val="auto"/>
        </w:rPr>
      </w:pPr>
    </w:p>
    <w:p>
      <w:pPr>
        <w:jc w:val="both"/>
        <w:ind w:left="7" w:right="100"/>
        <w:spacing w:after="0" w:line="286" w:lineRule="auto"/>
        <w:rPr>
          <w:sz w:val="20"/>
          <w:szCs w:val="20"/>
          <w:color w:val="auto"/>
        </w:rPr>
      </w:pPr>
      <w:r>
        <w:rPr>
          <w:rFonts w:ascii="Arial" w:cs="Arial" w:eastAsia="Arial" w:hAnsi="Arial"/>
          <w:sz w:val="17"/>
          <w:szCs w:val="17"/>
          <w:color w:val="auto"/>
        </w:rPr>
        <w:t>Pursuant to its charter, the Compensation Committee is responsible for periodically reviewing and making recommendations to our Board of Directors with respect to director compensation. The Compensation Committee’s practice is to review the appropriateness of the components, amounts and forms of compensation provided to directors on an annual basis.</w:t>
      </w:r>
    </w:p>
    <w:p>
      <w:pPr>
        <w:spacing w:after="0" w:line="111" w:lineRule="exact"/>
        <w:rPr>
          <w:sz w:val="20"/>
          <w:szCs w:val="20"/>
          <w:color w:val="auto"/>
        </w:rPr>
      </w:pPr>
    </w:p>
    <w:p>
      <w:pPr>
        <w:jc w:val="both"/>
        <w:ind w:left="7" w:right="500"/>
        <w:spacing w:after="0" w:line="312" w:lineRule="auto"/>
        <w:rPr>
          <w:sz w:val="20"/>
          <w:szCs w:val="20"/>
          <w:color w:val="auto"/>
        </w:rPr>
      </w:pPr>
      <w:r>
        <w:rPr>
          <w:rFonts w:ascii="Arial" w:cs="Arial" w:eastAsia="Arial" w:hAnsi="Arial"/>
          <w:sz w:val="16"/>
          <w:szCs w:val="16"/>
          <w:color w:val="auto"/>
        </w:rPr>
        <w:t>Based on the recommendation of the Compensation Committee in June 2016, the Board of Directors made no changes to the Director Compensation Program in 2016. The Compensation Committee’s recommendation was based, in part, upon a market assessment of L3’s director pay levels and the practices of L3’s compensation peer group conducted by FW Cook.</w:t>
      </w:r>
    </w:p>
    <w:p>
      <w:pPr>
        <w:spacing w:after="0" w:line="93"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following table provides information concerning the Director Compensation Program for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48895</wp:posOffset>
            </wp:positionV>
            <wp:extent cx="607187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75"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6920" w:type="dxa"/>
            <w:vAlign w:val="bottom"/>
            <w:tcBorders>
              <w:bottom w:val="single" w:sz="8" w:color="005C7D"/>
            </w:tcBorders>
            <w:gridSpan w:val="2"/>
          </w:tcPr>
          <w:p>
            <w:pPr>
              <w:ind w:left="20"/>
              <w:spacing w:after="0"/>
              <w:rPr>
                <w:sz w:val="20"/>
                <w:szCs w:val="20"/>
                <w:color w:val="auto"/>
              </w:rPr>
            </w:pPr>
            <w:r>
              <w:rPr>
                <w:rFonts w:ascii="Arial" w:cs="Arial" w:eastAsia="Arial" w:hAnsi="Arial"/>
                <w:sz w:val="14"/>
                <w:szCs w:val="14"/>
                <w:b w:val="1"/>
                <w:bCs w:val="1"/>
                <w:color w:val="auto"/>
              </w:rPr>
              <w:t>Compensation Type</w:t>
            </w:r>
          </w:p>
        </w:tc>
        <w:tc>
          <w:tcPr>
            <w:tcW w:w="2640" w:type="dxa"/>
            <w:vAlign w:val="bottom"/>
            <w:tcBorders>
              <w:bottom w:val="single" w:sz="8" w:color="005C7D"/>
            </w:tcBorders>
            <w:gridSpan w:val="2"/>
          </w:tcPr>
          <w:p>
            <w:pPr>
              <w:jc w:val="right"/>
              <w:ind w:right="50"/>
              <w:spacing w:after="0"/>
              <w:rPr>
                <w:sz w:val="20"/>
                <w:szCs w:val="20"/>
                <w:color w:val="auto"/>
              </w:rPr>
            </w:pPr>
            <w:r>
              <w:rPr>
                <w:rFonts w:ascii="Arial" w:cs="Arial" w:eastAsia="Arial" w:hAnsi="Arial"/>
                <w:sz w:val="14"/>
                <w:szCs w:val="14"/>
                <w:b w:val="1"/>
                <w:bCs w:val="1"/>
                <w:color w:val="auto"/>
              </w:rPr>
              <w:t>Compensation Rates</w:t>
            </w:r>
          </w:p>
        </w:tc>
      </w:tr>
      <w:tr>
        <w:trPr>
          <w:trHeight w:val="277"/>
        </w:trPr>
        <w:tc>
          <w:tcPr>
            <w:tcW w:w="6920" w:type="dxa"/>
            <w:vAlign w:val="bottom"/>
            <w:gridSpan w:val="2"/>
            <w:shd w:val="clear" w:color="auto" w:fill="CDDAE6"/>
          </w:tcPr>
          <w:p>
            <w:pPr>
              <w:ind w:left="20"/>
              <w:spacing w:after="0" w:line="277" w:lineRule="exact"/>
              <w:rPr>
                <w:sz w:val="20"/>
                <w:szCs w:val="20"/>
                <w:color w:val="auto"/>
              </w:rPr>
            </w:pPr>
            <w:r>
              <w:rPr>
                <w:rFonts w:ascii="Arial" w:cs="Arial" w:eastAsia="Arial" w:hAnsi="Arial"/>
                <w:sz w:val="18"/>
                <w:szCs w:val="18"/>
                <w:color w:val="auto"/>
              </w:rPr>
              <w:t>Annual Board Member Retainer</w:t>
            </w:r>
            <w:r>
              <w:rPr>
                <w:rFonts w:ascii="Arial" w:cs="Arial" w:eastAsia="Arial" w:hAnsi="Arial"/>
                <w:sz w:val="29"/>
                <w:szCs w:val="29"/>
                <w:color w:val="auto"/>
                <w:vertAlign w:val="superscript"/>
              </w:rPr>
              <w:t>(1)</w:t>
            </w:r>
          </w:p>
        </w:tc>
        <w:tc>
          <w:tcPr>
            <w:tcW w:w="1600" w:type="dxa"/>
            <w:vAlign w:val="bottom"/>
            <w:shd w:val="clear" w:color="auto" w:fill="CDDAE6"/>
          </w:tcPr>
          <w:p>
            <w:pPr>
              <w:jc w:val="right"/>
              <w:ind w:right="239"/>
              <w:spacing w:after="0"/>
              <w:rPr>
                <w:sz w:val="20"/>
                <w:szCs w:val="20"/>
                <w:color w:val="auto"/>
              </w:rPr>
            </w:pPr>
            <w:r>
              <w:rPr>
                <w:rFonts w:ascii="Arial" w:cs="Arial" w:eastAsia="Arial" w:hAnsi="Arial"/>
                <w:sz w:val="18"/>
                <w:szCs w:val="18"/>
                <w:color w:val="auto"/>
              </w:rPr>
              <w:t>$</w:t>
            </w:r>
          </w:p>
        </w:tc>
        <w:tc>
          <w:tcPr>
            <w:tcW w:w="1040" w:type="dxa"/>
            <w:vAlign w:val="bottom"/>
            <w:shd w:val="clear" w:color="auto" w:fill="CDDAE6"/>
          </w:tcPr>
          <w:p>
            <w:pPr>
              <w:jc w:val="right"/>
              <w:ind w:right="30"/>
              <w:spacing w:after="0"/>
              <w:rPr>
                <w:sz w:val="20"/>
                <w:szCs w:val="20"/>
                <w:color w:val="auto"/>
              </w:rPr>
            </w:pPr>
            <w:r>
              <w:rPr>
                <w:rFonts w:ascii="Arial" w:cs="Arial" w:eastAsia="Arial" w:hAnsi="Arial"/>
                <w:sz w:val="18"/>
                <w:szCs w:val="18"/>
                <w:color w:val="auto"/>
              </w:rPr>
              <w:t>110,000</w:t>
            </w:r>
          </w:p>
        </w:tc>
      </w:tr>
      <w:tr>
        <w:trPr>
          <w:trHeight w:val="284"/>
        </w:trPr>
        <w:tc>
          <w:tcPr>
            <w:tcW w:w="6920" w:type="dxa"/>
            <w:vAlign w:val="bottom"/>
            <w:gridSpan w:val="2"/>
          </w:tcPr>
          <w:p>
            <w:pPr>
              <w:ind w:left="20"/>
              <w:spacing w:after="0" w:line="284" w:lineRule="exact"/>
              <w:rPr>
                <w:sz w:val="20"/>
                <w:szCs w:val="20"/>
                <w:color w:val="auto"/>
              </w:rPr>
            </w:pPr>
            <w:r>
              <w:rPr>
                <w:rFonts w:ascii="Arial" w:cs="Arial" w:eastAsia="Arial" w:hAnsi="Arial"/>
                <w:sz w:val="18"/>
                <w:szCs w:val="18"/>
                <w:color w:val="auto"/>
              </w:rPr>
              <w:t>Annual Board Member Equity Award</w:t>
            </w:r>
            <w:r>
              <w:rPr>
                <w:rFonts w:ascii="Arial" w:cs="Arial" w:eastAsia="Arial" w:hAnsi="Arial"/>
                <w:sz w:val="29"/>
                <w:szCs w:val="29"/>
                <w:color w:val="auto"/>
                <w:vertAlign w:val="superscript"/>
              </w:rPr>
              <w:t>(2)</w:t>
            </w:r>
          </w:p>
        </w:tc>
        <w:tc>
          <w:tcPr>
            <w:tcW w:w="160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135,000</w:t>
            </w:r>
          </w:p>
        </w:tc>
      </w:tr>
      <w:tr>
        <w:trPr>
          <w:trHeight w:val="284"/>
        </w:trPr>
        <w:tc>
          <w:tcPr>
            <w:tcW w:w="6920" w:type="dxa"/>
            <w:vAlign w:val="bottom"/>
            <w:gridSpan w:val="2"/>
            <w:shd w:val="clear" w:color="auto" w:fill="CDDAE6"/>
          </w:tcPr>
          <w:p>
            <w:pPr>
              <w:ind w:left="20"/>
              <w:spacing w:after="0" w:line="284" w:lineRule="exact"/>
              <w:rPr>
                <w:sz w:val="20"/>
                <w:szCs w:val="20"/>
                <w:color w:val="auto"/>
              </w:rPr>
            </w:pPr>
            <w:r>
              <w:rPr>
                <w:rFonts w:ascii="Arial" w:cs="Arial" w:eastAsia="Arial" w:hAnsi="Arial"/>
                <w:sz w:val="18"/>
                <w:szCs w:val="18"/>
                <w:color w:val="auto"/>
              </w:rPr>
              <w:t>Annual Audit Committee Chairperson Retainer</w:t>
            </w:r>
            <w:r>
              <w:rPr>
                <w:rFonts w:ascii="Arial" w:cs="Arial" w:eastAsia="Arial" w:hAnsi="Arial"/>
                <w:sz w:val="29"/>
                <w:szCs w:val="29"/>
                <w:color w:val="auto"/>
                <w:vertAlign w:val="superscript"/>
              </w:rPr>
              <w:t>(1)</w:t>
            </w:r>
          </w:p>
        </w:tc>
        <w:tc>
          <w:tcPr>
            <w:tcW w:w="1600" w:type="dxa"/>
            <w:vAlign w:val="bottom"/>
            <w:shd w:val="clear" w:color="auto" w:fill="CDDAE6"/>
          </w:tcPr>
          <w:p>
            <w:pPr>
              <w:spacing w:after="0"/>
              <w:rPr>
                <w:sz w:val="24"/>
                <w:szCs w:val="24"/>
                <w:color w:val="auto"/>
              </w:rPr>
            </w:pPr>
          </w:p>
        </w:tc>
        <w:tc>
          <w:tcPr>
            <w:tcW w:w="1040" w:type="dxa"/>
            <w:vAlign w:val="bottom"/>
            <w:shd w:val="clear" w:color="auto" w:fill="CDDAE6"/>
          </w:tcPr>
          <w:p>
            <w:pPr>
              <w:jc w:val="right"/>
              <w:ind w:right="30"/>
              <w:spacing w:after="0"/>
              <w:rPr>
                <w:sz w:val="20"/>
                <w:szCs w:val="20"/>
                <w:color w:val="auto"/>
              </w:rPr>
            </w:pPr>
            <w:r>
              <w:rPr>
                <w:rFonts w:ascii="Arial" w:cs="Arial" w:eastAsia="Arial" w:hAnsi="Arial"/>
                <w:sz w:val="18"/>
                <w:szCs w:val="18"/>
                <w:color w:val="auto"/>
              </w:rPr>
              <w:t>30,000</w:t>
            </w:r>
          </w:p>
        </w:tc>
      </w:tr>
      <w:tr>
        <w:trPr>
          <w:trHeight w:val="284"/>
        </w:trPr>
        <w:tc>
          <w:tcPr>
            <w:tcW w:w="6920" w:type="dxa"/>
            <w:vAlign w:val="bottom"/>
            <w:gridSpan w:val="2"/>
          </w:tcPr>
          <w:p>
            <w:pPr>
              <w:ind w:left="20"/>
              <w:spacing w:after="0" w:line="284" w:lineRule="exact"/>
              <w:rPr>
                <w:sz w:val="20"/>
                <w:szCs w:val="20"/>
                <w:color w:val="auto"/>
              </w:rPr>
            </w:pPr>
            <w:r>
              <w:rPr>
                <w:rFonts w:ascii="Arial" w:cs="Arial" w:eastAsia="Arial" w:hAnsi="Arial"/>
                <w:sz w:val="18"/>
                <w:szCs w:val="18"/>
                <w:color w:val="auto"/>
              </w:rPr>
              <w:t>Annual Compensation Committee Chairperson Retainer</w:t>
            </w:r>
            <w:r>
              <w:rPr>
                <w:rFonts w:ascii="Arial" w:cs="Arial" w:eastAsia="Arial" w:hAnsi="Arial"/>
                <w:sz w:val="29"/>
                <w:szCs w:val="29"/>
                <w:color w:val="auto"/>
                <w:vertAlign w:val="superscript"/>
              </w:rPr>
              <w:t>(1)</w:t>
            </w:r>
          </w:p>
        </w:tc>
        <w:tc>
          <w:tcPr>
            <w:tcW w:w="160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15,000</w:t>
            </w:r>
          </w:p>
        </w:tc>
      </w:tr>
      <w:tr>
        <w:trPr>
          <w:trHeight w:val="284"/>
        </w:trPr>
        <w:tc>
          <w:tcPr>
            <w:tcW w:w="6920" w:type="dxa"/>
            <w:vAlign w:val="bottom"/>
            <w:gridSpan w:val="2"/>
            <w:shd w:val="clear" w:color="auto" w:fill="CDDAE6"/>
          </w:tcPr>
          <w:p>
            <w:pPr>
              <w:ind w:left="20"/>
              <w:spacing w:after="0" w:line="284" w:lineRule="exact"/>
              <w:rPr>
                <w:sz w:val="20"/>
                <w:szCs w:val="20"/>
                <w:color w:val="auto"/>
              </w:rPr>
            </w:pPr>
            <w:r>
              <w:rPr>
                <w:rFonts w:ascii="Arial" w:cs="Arial" w:eastAsia="Arial" w:hAnsi="Arial"/>
                <w:sz w:val="18"/>
                <w:szCs w:val="18"/>
                <w:color w:val="auto"/>
              </w:rPr>
              <w:t>Annual Nominating/Corporate Governance Committee Chairperson Retainer</w:t>
            </w:r>
            <w:r>
              <w:rPr>
                <w:rFonts w:ascii="Arial" w:cs="Arial" w:eastAsia="Arial" w:hAnsi="Arial"/>
                <w:sz w:val="29"/>
                <w:szCs w:val="29"/>
                <w:color w:val="auto"/>
                <w:vertAlign w:val="superscript"/>
              </w:rPr>
              <w:t>(1)</w:t>
            </w:r>
          </w:p>
        </w:tc>
        <w:tc>
          <w:tcPr>
            <w:tcW w:w="1600" w:type="dxa"/>
            <w:vAlign w:val="bottom"/>
            <w:shd w:val="clear" w:color="auto" w:fill="CDDAE6"/>
          </w:tcPr>
          <w:p>
            <w:pPr>
              <w:spacing w:after="0"/>
              <w:rPr>
                <w:sz w:val="24"/>
                <w:szCs w:val="24"/>
                <w:color w:val="auto"/>
              </w:rPr>
            </w:pPr>
          </w:p>
        </w:tc>
        <w:tc>
          <w:tcPr>
            <w:tcW w:w="1040" w:type="dxa"/>
            <w:vAlign w:val="bottom"/>
            <w:shd w:val="clear" w:color="auto" w:fill="CDDAE6"/>
          </w:tcPr>
          <w:p>
            <w:pPr>
              <w:jc w:val="right"/>
              <w:ind w:right="30"/>
              <w:spacing w:after="0"/>
              <w:rPr>
                <w:sz w:val="20"/>
                <w:szCs w:val="20"/>
                <w:color w:val="auto"/>
              </w:rPr>
            </w:pPr>
            <w:r>
              <w:rPr>
                <w:rFonts w:ascii="Arial" w:cs="Arial" w:eastAsia="Arial" w:hAnsi="Arial"/>
                <w:sz w:val="18"/>
                <w:szCs w:val="18"/>
                <w:color w:val="auto"/>
              </w:rPr>
              <w:t>15,000</w:t>
            </w:r>
          </w:p>
        </w:tc>
      </w:tr>
      <w:tr>
        <w:trPr>
          <w:trHeight w:val="284"/>
        </w:trPr>
        <w:tc>
          <w:tcPr>
            <w:tcW w:w="6920" w:type="dxa"/>
            <w:vAlign w:val="bottom"/>
            <w:gridSpan w:val="2"/>
          </w:tcPr>
          <w:p>
            <w:pPr>
              <w:ind w:left="20"/>
              <w:spacing w:after="0" w:line="284" w:lineRule="exact"/>
              <w:rPr>
                <w:sz w:val="20"/>
                <w:szCs w:val="20"/>
                <w:color w:val="auto"/>
              </w:rPr>
            </w:pPr>
            <w:r>
              <w:rPr>
                <w:rFonts w:ascii="Arial" w:cs="Arial" w:eastAsia="Arial" w:hAnsi="Arial"/>
                <w:sz w:val="18"/>
                <w:szCs w:val="18"/>
                <w:color w:val="auto"/>
              </w:rPr>
              <w:t>Annual Audit Committee Member Retainer</w:t>
            </w:r>
            <w:r>
              <w:rPr>
                <w:rFonts w:ascii="Arial" w:cs="Arial" w:eastAsia="Arial" w:hAnsi="Arial"/>
                <w:sz w:val="29"/>
                <w:szCs w:val="29"/>
                <w:color w:val="auto"/>
                <w:vertAlign w:val="superscript"/>
              </w:rPr>
              <w:t>(1)</w:t>
            </w:r>
          </w:p>
        </w:tc>
        <w:tc>
          <w:tcPr>
            <w:tcW w:w="160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20,000</w:t>
            </w:r>
          </w:p>
        </w:tc>
      </w:tr>
      <w:tr>
        <w:trPr>
          <w:trHeight w:val="284"/>
        </w:trPr>
        <w:tc>
          <w:tcPr>
            <w:tcW w:w="6920" w:type="dxa"/>
            <w:vAlign w:val="bottom"/>
            <w:tcBorders>
              <w:bottom w:val="single" w:sz="8" w:color="005C7D"/>
            </w:tcBorders>
            <w:gridSpan w:val="2"/>
            <w:shd w:val="clear" w:color="auto" w:fill="CDDAE6"/>
          </w:tcPr>
          <w:p>
            <w:pPr>
              <w:ind w:left="20"/>
              <w:spacing w:after="0" w:line="284" w:lineRule="exact"/>
              <w:rPr>
                <w:sz w:val="20"/>
                <w:szCs w:val="20"/>
                <w:color w:val="auto"/>
              </w:rPr>
            </w:pPr>
            <w:r>
              <w:rPr>
                <w:rFonts w:ascii="Arial" w:cs="Arial" w:eastAsia="Arial" w:hAnsi="Arial"/>
                <w:sz w:val="18"/>
                <w:szCs w:val="18"/>
                <w:color w:val="auto"/>
              </w:rPr>
              <w:t>Annual Lead Independent Director Retainer</w:t>
            </w:r>
            <w:r>
              <w:rPr>
                <w:rFonts w:ascii="Arial" w:cs="Arial" w:eastAsia="Arial" w:hAnsi="Arial"/>
                <w:sz w:val="29"/>
                <w:szCs w:val="29"/>
                <w:color w:val="auto"/>
                <w:vertAlign w:val="superscript"/>
              </w:rPr>
              <w:t>(1)</w:t>
            </w:r>
          </w:p>
        </w:tc>
        <w:tc>
          <w:tcPr>
            <w:tcW w:w="1600" w:type="dxa"/>
            <w:vAlign w:val="bottom"/>
            <w:tcBorders>
              <w:bottom w:val="single" w:sz="8" w:color="005C7D"/>
            </w:tcBorders>
            <w:shd w:val="clear" w:color="auto" w:fill="CDDAE6"/>
          </w:tcPr>
          <w:p>
            <w:pPr>
              <w:spacing w:after="0"/>
              <w:rPr>
                <w:sz w:val="24"/>
                <w:szCs w:val="24"/>
                <w:color w:val="auto"/>
              </w:rPr>
            </w:pPr>
          </w:p>
        </w:tc>
        <w:tc>
          <w:tcPr>
            <w:tcW w:w="1040" w:type="dxa"/>
            <w:vAlign w:val="bottom"/>
            <w:tcBorders>
              <w:bottom w:val="single" w:sz="8" w:color="005C7D"/>
            </w:tcBorders>
            <w:shd w:val="clear" w:color="auto" w:fill="CDDAE6"/>
          </w:tcPr>
          <w:p>
            <w:pPr>
              <w:jc w:val="right"/>
              <w:ind w:right="30"/>
              <w:spacing w:after="0"/>
              <w:rPr>
                <w:sz w:val="20"/>
                <w:szCs w:val="20"/>
                <w:color w:val="auto"/>
              </w:rPr>
            </w:pPr>
            <w:r>
              <w:rPr>
                <w:rFonts w:ascii="Arial" w:cs="Arial" w:eastAsia="Arial" w:hAnsi="Arial"/>
                <w:sz w:val="18"/>
                <w:szCs w:val="18"/>
                <w:color w:val="auto"/>
              </w:rPr>
              <w:t>25,000</w:t>
            </w:r>
          </w:p>
        </w:tc>
      </w:tr>
      <w:tr>
        <w:trPr>
          <w:trHeight w:val="169"/>
        </w:trPr>
        <w:tc>
          <w:tcPr>
            <w:tcW w:w="2680" w:type="dxa"/>
            <w:vAlign w:val="bottom"/>
            <w:tcBorders>
              <w:bottom w:val="single" w:sz="8" w:color="auto"/>
            </w:tcBorders>
          </w:tcPr>
          <w:p>
            <w:pPr>
              <w:spacing w:after="0"/>
              <w:rPr>
                <w:sz w:val="14"/>
                <w:szCs w:val="14"/>
                <w:color w:val="auto"/>
              </w:rPr>
            </w:pPr>
          </w:p>
        </w:tc>
        <w:tc>
          <w:tcPr>
            <w:tcW w:w="4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98" w:lineRule="exact"/>
        <w:rPr>
          <w:sz w:val="20"/>
          <w:szCs w:val="20"/>
          <w:color w:val="auto"/>
        </w:rPr>
      </w:pPr>
    </w:p>
    <w:p>
      <w:pPr>
        <w:ind w:left="347" w:right="100" w:hanging="347"/>
        <w:spacing w:after="0" w:line="281" w:lineRule="auto"/>
        <w:tabs>
          <w:tab w:leader="none" w:pos="347" w:val="left"/>
        </w:tabs>
        <w:numPr>
          <w:ilvl w:val="0"/>
          <w:numId w:val="89"/>
        </w:numPr>
        <w:rPr>
          <w:rFonts w:ascii="Arial" w:cs="Arial" w:eastAsia="Arial" w:hAnsi="Arial"/>
          <w:sz w:val="16"/>
          <w:szCs w:val="16"/>
          <w:color w:val="auto"/>
        </w:rPr>
      </w:pPr>
      <w:r>
        <w:rPr>
          <w:rFonts w:ascii="Arial" w:cs="Arial" w:eastAsia="Arial" w:hAnsi="Arial"/>
          <w:sz w:val="16"/>
          <w:szCs w:val="16"/>
          <w:color w:val="auto"/>
        </w:rPr>
        <w:t>Annual retainers are payable in quarterly installments in arrears on the final day of each quarterly, in-person, regular meeting of the Board of Directors. In 2016, these dates were February 9, May 3, June 21 and October 18.</w:t>
      </w:r>
    </w:p>
    <w:p>
      <w:pPr>
        <w:spacing w:after="0" w:line="1" w:lineRule="exact"/>
        <w:rPr>
          <w:rFonts w:ascii="Arial" w:cs="Arial" w:eastAsia="Arial" w:hAnsi="Arial"/>
          <w:sz w:val="16"/>
          <w:szCs w:val="16"/>
          <w:color w:val="auto"/>
        </w:rPr>
      </w:pPr>
    </w:p>
    <w:p>
      <w:pPr>
        <w:ind w:left="347" w:right="60" w:hanging="347"/>
        <w:spacing w:after="0" w:line="269" w:lineRule="auto"/>
        <w:tabs>
          <w:tab w:leader="none" w:pos="347" w:val="left"/>
        </w:tabs>
        <w:numPr>
          <w:ilvl w:val="0"/>
          <w:numId w:val="89"/>
        </w:numPr>
        <w:rPr>
          <w:rFonts w:ascii="Arial" w:cs="Arial" w:eastAsia="Arial" w:hAnsi="Arial"/>
          <w:sz w:val="16"/>
          <w:szCs w:val="16"/>
          <w:color w:val="auto"/>
        </w:rPr>
      </w:pPr>
      <w:r>
        <w:rPr>
          <w:rFonts w:ascii="Arial" w:cs="Arial" w:eastAsia="Arial" w:hAnsi="Arial"/>
          <w:sz w:val="16"/>
          <w:szCs w:val="16"/>
          <w:color w:val="auto"/>
        </w:rPr>
        <w:t>Each non-employee director received on May 3, 2016, the date of the 2016 annual meeting of shareholders, an award of RSUs having a grant date fair value of $135,000, calculated in accordance with the accounting standards for share-based compensation. The RSUs vest one year after the grant date (or on the date of the 2017 annual meeting of shareholders, if earlier), subject to acceleration in the event of death, permanent disability or a change in control. Regardless of vesting, the RSUs will not be converted into shares until the earlier of (a) the date on which the recipient ceases to be a director or (b) a change in control that satisfies specified requirements set forth in Section 409A of the Internal Revenue Code. Dividend equivalents are accrued in the form of additional RSUs with the same vesting and delivery terms as the underlying RSUs.</w:t>
      </w:r>
    </w:p>
    <w:p>
      <w:pPr>
        <w:spacing w:after="0" w:line="132" w:lineRule="exact"/>
        <w:rPr>
          <w:sz w:val="20"/>
          <w:szCs w:val="20"/>
          <w:color w:val="auto"/>
        </w:rPr>
      </w:pPr>
    </w:p>
    <w:p>
      <w:pPr>
        <w:ind w:left="7" w:right="80"/>
        <w:spacing w:after="0" w:line="259" w:lineRule="auto"/>
        <w:rPr>
          <w:sz w:val="20"/>
          <w:szCs w:val="20"/>
          <w:color w:val="auto"/>
        </w:rPr>
      </w:pPr>
      <w:r>
        <w:rPr>
          <w:rFonts w:ascii="Arial" w:cs="Arial" w:eastAsia="Arial" w:hAnsi="Arial"/>
          <w:sz w:val="18"/>
          <w:szCs w:val="18"/>
          <w:color w:val="auto"/>
        </w:rPr>
        <w:t>With respect to the retainers described above (other than the annual equity award), each non-employee director may elect to receive all such compensation in cash and/or RSUs. RSUs received pursuant to such elections (“Elected RSUs”) have identical terms and conditions as the RSUs issued in respect of the annual board member equity award, except that Elected RSUs are fully vested at the time of issuance.</w:t>
      </w:r>
    </w:p>
    <w:p>
      <w:pPr>
        <w:spacing w:after="0" w:line="227" w:lineRule="exact"/>
        <w:rPr>
          <w:sz w:val="20"/>
          <w:szCs w:val="20"/>
          <w:color w:val="auto"/>
        </w:rPr>
      </w:pPr>
    </w:p>
    <w:p>
      <w:pPr>
        <w:ind w:left="7827"/>
        <w:spacing w:after="0"/>
        <w:tabs>
          <w:tab w:leader="none" w:pos="9326"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381000</wp:posOffset>
            </wp:positionV>
            <wp:extent cx="6071870" cy="4318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-107315</wp:posOffset>
            </wp:positionV>
            <wp:extent cx="163195" cy="1543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85" w:name="page86"/>
    <w:bookmarkEnd w:id="85"/>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7"/>
        <w:spacing w:after="0"/>
        <w:rPr>
          <w:sz w:val="20"/>
          <w:szCs w:val="20"/>
          <w:color w:val="auto"/>
        </w:rPr>
      </w:pPr>
      <w:r>
        <w:rPr>
          <w:rFonts w:ascii="Arial" w:cs="Arial" w:eastAsia="Arial" w:hAnsi="Arial"/>
          <w:sz w:val="14"/>
          <w:szCs w:val="14"/>
          <w:color w:val="005C7D"/>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07187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11"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2016 Director Compensation</w:t>
      </w:r>
    </w:p>
    <w:p>
      <w:pPr>
        <w:spacing w:after="0" w:line="175" w:lineRule="exact"/>
        <w:rPr>
          <w:sz w:val="20"/>
          <w:szCs w:val="20"/>
          <w:color w:val="auto"/>
        </w:rPr>
      </w:pPr>
    </w:p>
    <w:p>
      <w:pPr>
        <w:ind w:left="7" w:right="440"/>
        <w:spacing w:after="0" w:line="277" w:lineRule="auto"/>
        <w:rPr>
          <w:sz w:val="20"/>
          <w:szCs w:val="20"/>
          <w:color w:val="auto"/>
        </w:rPr>
      </w:pPr>
      <w:r>
        <w:rPr>
          <w:rFonts w:ascii="Arial" w:cs="Arial" w:eastAsia="Arial" w:hAnsi="Arial"/>
          <w:sz w:val="18"/>
          <w:szCs w:val="18"/>
          <w:color w:val="auto"/>
        </w:rPr>
        <w:t>The following table provides summary information concerning compensation paid or accrued by us to or on behalf of our non-employee directors for services rendered to us during the fiscal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07187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8"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4520" w:type="dxa"/>
            <w:vAlign w:val="bottom"/>
          </w:tcPr>
          <w:p>
            <w:pPr>
              <w:jc w:val="center"/>
              <w:ind w:left="2575"/>
              <w:spacing w:after="0"/>
              <w:rPr>
                <w:sz w:val="20"/>
                <w:szCs w:val="20"/>
                <w:color w:val="auto"/>
              </w:rPr>
            </w:pPr>
            <w:r>
              <w:rPr>
                <w:rFonts w:ascii="Arial" w:cs="Arial" w:eastAsia="Arial" w:hAnsi="Arial"/>
                <w:sz w:val="14"/>
                <w:szCs w:val="14"/>
                <w:b w:val="1"/>
                <w:bCs w:val="1"/>
                <w:color w:val="auto"/>
                <w:w w:val="92"/>
              </w:rPr>
              <w:t>Fees Earned or</w:t>
            </w:r>
          </w:p>
        </w:tc>
        <w:tc>
          <w:tcPr>
            <w:tcW w:w="1340" w:type="dxa"/>
            <w:vAlign w:val="bottom"/>
          </w:tcPr>
          <w:p>
            <w:pPr>
              <w:ind w:left="340"/>
              <w:spacing w:after="0"/>
              <w:rPr>
                <w:sz w:val="20"/>
                <w:szCs w:val="20"/>
                <w:color w:val="auto"/>
              </w:rPr>
            </w:pPr>
            <w:r>
              <w:rPr>
                <w:rFonts w:ascii="Arial" w:cs="Arial" w:eastAsia="Arial" w:hAnsi="Arial"/>
                <w:sz w:val="14"/>
                <w:szCs w:val="14"/>
                <w:b w:val="1"/>
                <w:bCs w:val="1"/>
                <w:color w:val="auto"/>
              </w:rPr>
              <w:t>Stock</w:t>
            </w:r>
          </w:p>
        </w:tc>
        <w:tc>
          <w:tcPr>
            <w:tcW w:w="1020" w:type="dxa"/>
            <w:vAlign w:val="bottom"/>
          </w:tcPr>
          <w:p>
            <w:pPr>
              <w:spacing w:after="0"/>
              <w:rPr>
                <w:sz w:val="14"/>
                <w:szCs w:val="14"/>
                <w:color w:val="auto"/>
              </w:rPr>
            </w:pPr>
          </w:p>
        </w:tc>
      </w:tr>
      <w:tr>
        <w:trPr>
          <w:trHeight w:val="193"/>
        </w:trPr>
        <w:tc>
          <w:tcPr>
            <w:tcW w:w="2680" w:type="dxa"/>
            <w:vAlign w:val="bottom"/>
          </w:tcPr>
          <w:p>
            <w:pPr>
              <w:spacing w:after="0"/>
              <w:rPr>
                <w:sz w:val="16"/>
                <w:szCs w:val="16"/>
                <w:color w:val="auto"/>
              </w:rPr>
            </w:pPr>
          </w:p>
        </w:tc>
        <w:tc>
          <w:tcPr>
            <w:tcW w:w="4520" w:type="dxa"/>
            <w:vAlign w:val="bottom"/>
          </w:tcPr>
          <w:p>
            <w:pPr>
              <w:jc w:val="center"/>
              <w:ind w:left="2595"/>
              <w:spacing w:after="0" w:line="192" w:lineRule="exact"/>
              <w:rPr>
                <w:sz w:val="20"/>
                <w:szCs w:val="20"/>
                <w:color w:val="auto"/>
              </w:rPr>
            </w:pPr>
            <w:r>
              <w:rPr>
                <w:rFonts w:ascii="Arial" w:cs="Arial" w:eastAsia="Arial" w:hAnsi="Arial"/>
                <w:sz w:val="13"/>
                <w:szCs w:val="13"/>
                <w:b w:val="1"/>
                <w:bCs w:val="1"/>
                <w:color w:val="auto"/>
                <w:w w:val="95"/>
              </w:rPr>
              <w:t>Paid in Cash</w:t>
            </w:r>
            <w:r>
              <w:rPr>
                <w:rFonts w:ascii="Arial" w:cs="Arial" w:eastAsia="Arial" w:hAnsi="Arial"/>
                <w:sz w:val="22"/>
                <w:szCs w:val="22"/>
                <w:b w:val="1"/>
                <w:bCs w:val="1"/>
                <w:color w:val="auto"/>
                <w:w w:val="95"/>
                <w:vertAlign w:val="superscript"/>
              </w:rPr>
              <w:t>(1)</w:t>
            </w:r>
          </w:p>
        </w:tc>
        <w:tc>
          <w:tcPr>
            <w:tcW w:w="1340" w:type="dxa"/>
            <w:vAlign w:val="bottom"/>
          </w:tcPr>
          <w:p>
            <w:pPr>
              <w:ind w:left="200"/>
              <w:spacing w:after="0" w:line="192"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2"/>
                <w:szCs w:val="22"/>
                <w:b w:val="1"/>
                <w:bCs w:val="1"/>
                <w:color w:val="auto"/>
                <w:vertAlign w:val="superscript"/>
              </w:rPr>
              <w:t>(2)</w:t>
            </w:r>
          </w:p>
        </w:tc>
        <w:tc>
          <w:tcPr>
            <w:tcW w:w="1020" w:type="dxa"/>
            <w:vAlign w:val="bottom"/>
          </w:tcPr>
          <w:p>
            <w:pPr>
              <w:jc w:val="right"/>
              <w:ind w:right="313"/>
              <w:spacing w:after="0"/>
              <w:rPr>
                <w:sz w:val="20"/>
                <w:szCs w:val="20"/>
                <w:color w:val="auto"/>
              </w:rPr>
            </w:pPr>
            <w:r>
              <w:rPr>
                <w:rFonts w:ascii="Arial" w:cs="Arial" w:eastAsia="Arial" w:hAnsi="Arial"/>
                <w:sz w:val="14"/>
                <w:szCs w:val="14"/>
                <w:b w:val="1"/>
                <w:bCs w:val="1"/>
                <w:color w:val="auto"/>
              </w:rPr>
              <w:t>Total</w:t>
            </w:r>
          </w:p>
        </w:tc>
      </w:tr>
      <w:tr>
        <w:trPr>
          <w:trHeight w:val="185"/>
        </w:trPr>
        <w:tc>
          <w:tcPr>
            <w:tcW w:w="2680" w:type="dxa"/>
            <w:vAlign w:val="bottom"/>
            <w:tcBorders>
              <w:bottom w:val="single" w:sz="8" w:color="005C7D"/>
            </w:tcBorders>
          </w:tcPr>
          <w:p>
            <w:pPr>
              <w:ind w:left="20"/>
              <w:spacing w:after="0"/>
              <w:rPr>
                <w:sz w:val="20"/>
                <w:szCs w:val="20"/>
                <w:color w:val="auto"/>
              </w:rPr>
            </w:pPr>
            <w:r>
              <w:rPr>
                <w:rFonts w:ascii="Arial" w:cs="Arial" w:eastAsia="Arial" w:hAnsi="Arial"/>
                <w:sz w:val="14"/>
                <w:szCs w:val="14"/>
                <w:b w:val="1"/>
                <w:bCs w:val="1"/>
                <w:color w:val="auto"/>
              </w:rPr>
              <w:t>Name</w:t>
            </w:r>
          </w:p>
        </w:tc>
        <w:tc>
          <w:tcPr>
            <w:tcW w:w="4520" w:type="dxa"/>
            <w:vAlign w:val="bottom"/>
            <w:tcBorders>
              <w:bottom w:val="single" w:sz="8" w:color="005C7D"/>
            </w:tcBorders>
          </w:tcPr>
          <w:p>
            <w:pPr>
              <w:jc w:val="center"/>
              <w:ind w:left="2575"/>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005C7D"/>
            </w:tcBorders>
          </w:tcPr>
          <w:p>
            <w:pPr>
              <w:ind w:left="420"/>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005C7D"/>
            </w:tcBorders>
          </w:tcPr>
          <w:p>
            <w:pPr>
              <w:jc w:val="right"/>
              <w:ind w:right="393"/>
              <w:spacing w:after="0"/>
              <w:rPr>
                <w:sz w:val="20"/>
                <w:szCs w:val="20"/>
                <w:color w:val="auto"/>
              </w:rPr>
            </w:pPr>
            <w:r>
              <w:rPr>
                <w:rFonts w:ascii="Arial" w:cs="Arial" w:eastAsia="Arial" w:hAnsi="Arial"/>
                <w:sz w:val="14"/>
                <w:szCs w:val="14"/>
                <w:b w:val="1"/>
                <w:bCs w:val="1"/>
                <w:color w:val="auto"/>
              </w:rPr>
              <w:t>($)</w:t>
            </w:r>
          </w:p>
        </w:tc>
      </w:tr>
      <w:tr>
        <w:trPr>
          <w:trHeight w:val="237"/>
        </w:trPr>
        <w:tc>
          <w:tcPr>
            <w:tcW w:w="2680" w:type="dxa"/>
            <w:vAlign w:val="bottom"/>
            <w:shd w:val="clear" w:color="auto" w:fill="CDDAE6"/>
          </w:tcPr>
          <w:p>
            <w:pPr>
              <w:ind w:left="20"/>
              <w:spacing w:after="0"/>
              <w:rPr>
                <w:sz w:val="20"/>
                <w:szCs w:val="20"/>
                <w:color w:val="auto"/>
              </w:rPr>
            </w:pPr>
            <w:r>
              <w:rPr>
                <w:rFonts w:ascii="Arial" w:cs="Arial" w:eastAsia="Arial" w:hAnsi="Arial"/>
                <w:sz w:val="18"/>
                <w:szCs w:val="18"/>
                <w:color w:val="auto"/>
              </w:rPr>
              <w:t>Claude R. Canizares</w:t>
            </w:r>
          </w:p>
        </w:tc>
        <w:tc>
          <w:tcPr>
            <w:tcW w:w="4520" w:type="dxa"/>
            <w:vAlign w:val="bottom"/>
            <w:shd w:val="clear" w:color="auto" w:fill="CDDAE6"/>
          </w:tcPr>
          <w:p>
            <w:pPr>
              <w:jc w:val="right"/>
              <w:ind w:right="115"/>
              <w:spacing w:after="0"/>
              <w:rPr>
                <w:sz w:val="20"/>
                <w:szCs w:val="20"/>
                <w:color w:val="auto"/>
              </w:rPr>
            </w:pPr>
            <w:r>
              <w:rPr>
                <w:rFonts w:ascii="Arial" w:cs="Arial" w:eastAsia="Arial" w:hAnsi="Arial"/>
                <w:sz w:val="18"/>
                <w:szCs w:val="18"/>
                <w:color w:val="auto"/>
              </w:rPr>
              <w:t>130,000</w:t>
            </w:r>
          </w:p>
        </w:tc>
        <w:tc>
          <w:tcPr>
            <w:tcW w:w="1340" w:type="dxa"/>
            <w:vAlign w:val="bottom"/>
            <w:shd w:val="clear" w:color="auto" w:fill="CDDAE6"/>
          </w:tcPr>
          <w:p>
            <w:pPr>
              <w:ind w:left="440"/>
              <w:spacing w:after="0"/>
              <w:rPr>
                <w:sz w:val="20"/>
                <w:szCs w:val="20"/>
                <w:color w:val="auto"/>
              </w:rPr>
            </w:pPr>
            <w:r>
              <w:rPr>
                <w:rFonts w:ascii="Arial" w:cs="Arial" w:eastAsia="Arial" w:hAnsi="Arial"/>
                <w:sz w:val="18"/>
                <w:szCs w:val="18"/>
                <w:color w:val="auto"/>
              </w:rPr>
              <w:t>135,000</w:t>
            </w:r>
          </w:p>
        </w:tc>
        <w:tc>
          <w:tcPr>
            <w:tcW w:w="1020" w:type="dxa"/>
            <w:vAlign w:val="bottom"/>
            <w:shd w:val="clear" w:color="auto" w:fill="CDDAE6"/>
          </w:tcPr>
          <w:p>
            <w:pPr>
              <w:jc w:val="right"/>
              <w:ind w:right="13"/>
              <w:spacing w:after="0"/>
              <w:rPr>
                <w:sz w:val="20"/>
                <w:szCs w:val="20"/>
                <w:color w:val="auto"/>
              </w:rPr>
            </w:pPr>
            <w:r>
              <w:rPr>
                <w:rFonts w:ascii="Arial" w:cs="Arial" w:eastAsia="Arial" w:hAnsi="Arial"/>
                <w:sz w:val="18"/>
                <w:szCs w:val="18"/>
                <w:color w:val="auto"/>
              </w:rPr>
              <w:t>265,000</w:t>
            </w:r>
          </w:p>
        </w:tc>
      </w:tr>
      <w:tr>
        <w:trPr>
          <w:trHeight w:val="237"/>
        </w:trPr>
        <w:tc>
          <w:tcPr>
            <w:tcW w:w="2680" w:type="dxa"/>
            <w:vAlign w:val="bottom"/>
          </w:tcPr>
          <w:p>
            <w:pPr>
              <w:ind w:left="20"/>
              <w:spacing w:after="0"/>
              <w:rPr>
                <w:sz w:val="20"/>
                <w:szCs w:val="20"/>
                <w:color w:val="auto"/>
              </w:rPr>
            </w:pPr>
            <w:r>
              <w:rPr>
                <w:rFonts w:ascii="Arial" w:cs="Arial" w:eastAsia="Arial" w:hAnsi="Arial"/>
                <w:sz w:val="18"/>
                <w:szCs w:val="18"/>
                <w:color w:val="auto"/>
              </w:rPr>
              <w:t>Thomas A. Corcoran</w:t>
            </w:r>
          </w:p>
        </w:tc>
        <w:tc>
          <w:tcPr>
            <w:tcW w:w="4520" w:type="dxa"/>
            <w:vAlign w:val="bottom"/>
          </w:tcPr>
          <w:p>
            <w:pPr>
              <w:jc w:val="right"/>
              <w:ind w:right="115"/>
              <w:spacing w:after="0"/>
              <w:rPr>
                <w:sz w:val="20"/>
                <w:szCs w:val="20"/>
                <w:color w:val="auto"/>
              </w:rPr>
            </w:pPr>
            <w:r>
              <w:rPr>
                <w:rFonts w:ascii="Arial" w:cs="Arial" w:eastAsia="Arial" w:hAnsi="Arial"/>
                <w:sz w:val="18"/>
                <w:szCs w:val="18"/>
                <w:color w:val="auto"/>
              </w:rPr>
              <w:t>130,000</w:t>
            </w:r>
          </w:p>
        </w:tc>
        <w:tc>
          <w:tcPr>
            <w:tcW w:w="1340" w:type="dxa"/>
            <w:vAlign w:val="bottom"/>
          </w:tcPr>
          <w:p>
            <w:pPr>
              <w:ind w:left="440"/>
              <w:spacing w:after="0"/>
              <w:rPr>
                <w:sz w:val="20"/>
                <w:szCs w:val="20"/>
                <w:color w:val="auto"/>
              </w:rPr>
            </w:pPr>
            <w:r>
              <w:rPr>
                <w:rFonts w:ascii="Arial" w:cs="Arial" w:eastAsia="Arial" w:hAnsi="Arial"/>
                <w:sz w:val="18"/>
                <w:szCs w:val="18"/>
                <w:color w:val="auto"/>
              </w:rPr>
              <w:t>135,000</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265,000</w:t>
            </w:r>
          </w:p>
        </w:tc>
      </w:tr>
      <w:tr>
        <w:trPr>
          <w:trHeight w:val="249"/>
        </w:trPr>
        <w:tc>
          <w:tcPr>
            <w:tcW w:w="2680" w:type="dxa"/>
            <w:vAlign w:val="bottom"/>
            <w:shd w:val="clear" w:color="auto" w:fill="CDDAE6"/>
          </w:tcPr>
          <w:p>
            <w:pPr>
              <w:ind w:left="20"/>
              <w:spacing w:after="0"/>
              <w:rPr>
                <w:sz w:val="20"/>
                <w:szCs w:val="20"/>
                <w:color w:val="auto"/>
              </w:rPr>
            </w:pPr>
            <w:r>
              <w:rPr>
                <w:rFonts w:ascii="Arial" w:cs="Arial" w:eastAsia="Arial" w:hAnsi="Arial"/>
                <w:sz w:val="18"/>
                <w:szCs w:val="18"/>
                <w:color w:val="auto"/>
              </w:rPr>
              <w:t>Ann E. Dunwoody</w:t>
            </w:r>
          </w:p>
        </w:tc>
        <w:tc>
          <w:tcPr>
            <w:tcW w:w="4520" w:type="dxa"/>
            <w:vAlign w:val="bottom"/>
            <w:shd w:val="clear" w:color="auto" w:fill="CDDAE6"/>
          </w:tcPr>
          <w:p>
            <w:pPr>
              <w:jc w:val="right"/>
              <w:ind w:right="115"/>
              <w:spacing w:after="0"/>
              <w:rPr>
                <w:sz w:val="20"/>
                <w:szCs w:val="20"/>
                <w:color w:val="auto"/>
              </w:rPr>
            </w:pPr>
            <w:r>
              <w:rPr>
                <w:rFonts w:ascii="Arial" w:cs="Arial" w:eastAsia="Arial" w:hAnsi="Arial"/>
                <w:sz w:val="18"/>
                <w:szCs w:val="18"/>
                <w:color w:val="auto"/>
              </w:rPr>
              <w:t>110,000</w:t>
            </w:r>
          </w:p>
        </w:tc>
        <w:tc>
          <w:tcPr>
            <w:tcW w:w="1340" w:type="dxa"/>
            <w:vAlign w:val="bottom"/>
            <w:shd w:val="clear" w:color="auto" w:fill="CDDAE6"/>
          </w:tcPr>
          <w:p>
            <w:pPr>
              <w:ind w:left="440"/>
              <w:spacing w:after="0"/>
              <w:rPr>
                <w:sz w:val="20"/>
                <w:szCs w:val="20"/>
                <w:color w:val="auto"/>
              </w:rPr>
            </w:pPr>
            <w:r>
              <w:rPr>
                <w:rFonts w:ascii="Arial" w:cs="Arial" w:eastAsia="Arial" w:hAnsi="Arial"/>
                <w:sz w:val="18"/>
                <w:szCs w:val="18"/>
                <w:color w:val="auto"/>
              </w:rPr>
              <w:t>135,000</w:t>
            </w:r>
          </w:p>
        </w:tc>
        <w:tc>
          <w:tcPr>
            <w:tcW w:w="1020" w:type="dxa"/>
            <w:vAlign w:val="bottom"/>
            <w:shd w:val="clear" w:color="auto" w:fill="CDDAE6"/>
          </w:tcPr>
          <w:p>
            <w:pPr>
              <w:jc w:val="right"/>
              <w:ind w:right="13"/>
              <w:spacing w:after="0"/>
              <w:rPr>
                <w:sz w:val="20"/>
                <w:szCs w:val="20"/>
                <w:color w:val="auto"/>
              </w:rPr>
            </w:pPr>
            <w:r>
              <w:rPr>
                <w:rFonts w:ascii="Arial" w:cs="Arial" w:eastAsia="Arial" w:hAnsi="Arial"/>
                <w:sz w:val="18"/>
                <w:szCs w:val="18"/>
                <w:color w:val="auto"/>
              </w:rPr>
              <w:t>245,000</w:t>
            </w:r>
          </w:p>
        </w:tc>
      </w:tr>
      <w:tr>
        <w:trPr>
          <w:trHeight w:val="237"/>
        </w:trPr>
        <w:tc>
          <w:tcPr>
            <w:tcW w:w="2680" w:type="dxa"/>
            <w:vAlign w:val="bottom"/>
          </w:tcPr>
          <w:p>
            <w:pPr>
              <w:ind w:left="20"/>
              <w:spacing w:after="0"/>
              <w:rPr>
                <w:sz w:val="20"/>
                <w:szCs w:val="20"/>
                <w:color w:val="auto"/>
              </w:rPr>
            </w:pPr>
            <w:r>
              <w:rPr>
                <w:rFonts w:ascii="Arial" w:cs="Arial" w:eastAsia="Arial" w:hAnsi="Arial"/>
                <w:sz w:val="18"/>
                <w:szCs w:val="18"/>
                <w:color w:val="auto"/>
              </w:rPr>
              <w:t>Lewis Kramer</w:t>
            </w:r>
          </w:p>
        </w:tc>
        <w:tc>
          <w:tcPr>
            <w:tcW w:w="4520" w:type="dxa"/>
            <w:vAlign w:val="bottom"/>
          </w:tcPr>
          <w:p>
            <w:pPr>
              <w:jc w:val="right"/>
              <w:ind w:right="115"/>
              <w:spacing w:after="0"/>
              <w:rPr>
                <w:sz w:val="20"/>
                <w:szCs w:val="20"/>
                <w:color w:val="auto"/>
              </w:rPr>
            </w:pPr>
            <w:r>
              <w:rPr>
                <w:rFonts w:ascii="Arial" w:cs="Arial" w:eastAsia="Arial" w:hAnsi="Arial"/>
                <w:sz w:val="18"/>
                <w:szCs w:val="18"/>
                <w:color w:val="auto"/>
              </w:rPr>
              <w:t>140,000</w:t>
            </w:r>
          </w:p>
        </w:tc>
        <w:tc>
          <w:tcPr>
            <w:tcW w:w="1340" w:type="dxa"/>
            <w:vAlign w:val="bottom"/>
          </w:tcPr>
          <w:p>
            <w:pPr>
              <w:ind w:left="440"/>
              <w:spacing w:after="0"/>
              <w:rPr>
                <w:sz w:val="20"/>
                <w:szCs w:val="20"/>
                <w:color w:val="auto"/>
              </w:rPr>
            </w:pPr>
            <w:r>
              <w:rPr>
                <w:rFonts w:ascii="Arial" w:cs="Arial" w:eastAsia="Arial" w:hAnsi="Arial"/>
                <w:sz w:val="18"/>
                <w:szCs w:val="18"/>
                <w:color w:val="auto"/>
              </w:rPr>
              <w:t>135,000</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275,000</w:t>
            </w:r>
          </w:p>
        </w:tc>
      </w:tr>
      <w:tr>
        <w:trPr>
          <w:trHeight w:val="249"/>
        </w:trPr>
        <w:tc>
          <w:tcPr>
            <w:tcW w:w="2680" w:type="dxa"/>
            <w:vAlign w:val="bottom"/>
            <w:shd w:val="clear" w:color="auto" w:fill="CDDAE6"/>
          </w:tcPr>
          <w:p>
            <w:pPr>
              <w:ind w:left="20"/>
              <w:spacing w:after="0"/>
              <w:rPr>
                <w:sz w:val="20"/>
                <w:szCs w:val="20"/>
                <w:color w:val="auto"/>
              </w:rPr>
            </w:pPr>
            <w:r>
              <w:rPr>
                <w:rFonts w:ascii="Arial" w:cs="Arial" w:eastAsia="Arial" w:hAnsi="Arial"/>
                <w:sz w:val="18"/>
                <w:szCs w:val="18"/>
                <w:color w:val="auto"/>
              </w:rPr>
              <w:t>Robert B. Millard</w:t>
            </w:r>
          </w:p>
        </w:tc>
        <w:tc>
          <w:tcPr>
            <w:tcW w:w="4520" w:type="dxa"/>
            <w:vAlign w:val="bottom"/>
            <w:shd w:val="clear" w:color="auto" w:fill="CDDAE6"/>
          </w:tcPr>
          <w:p>
            <w:pPr>
              <w:jc w:val="right"/>
              <w:ind w:right="115"/>
              <w:spacing w:after="0"/>
              <w:rPr>
                <w:sz w:val="20"/>
                <w:szCs w:val="20"/>
                <w:color w:val="auto"/>
              </w:rPr>
            </w:pPr>
            <w:r>
              <w:rPr>
                <w:rFonts w:ascii="Arial" w:cs="Arial" w:eastAsia="Arial" w:hAnsi="Arial"/>
                <w:sz w:val="18"/>
                <w:szCs w:val="18"/>
                <w:color w:val="auto"/>
              </w:rPr>
              <w:t>150,000</w:t>
            </w:r>
          </w:p>
        </w:tc>
        <w:tc>
          <w:tcPr>
            <w:tcW w:w="1340" w:type="dxa"/>
            <w:vAlign w:val="bottom"/>
            <w:shd w:val="clear" w:color="auto" w:fill="CDDAE6"/>
          </w:tcPr>
          <w:p>
            <w:pPr>
              <w:ind w:left="440"/>
              <w:spacing w:after="0"/>
              <w:rPr>
                <w:sz w:val="20"/>
                <w:szCs w:val="20"/>
                <w:color w:val="auto"/>
              </w:rPr>
            </w:pPr>
            <w:r>
              <w:rPr>
                <w:rFonts w:ascii="Arial" w:cs="Arial" w:eastAsia="Arial" w:hAnsi="Arial"/>
                <w:sz w:val="18"/>
                <w:szCs w:val="18"/>
                <w:color w:val="auto"/>
              </w:rPr>
              <w:t>135,000</w:t>
            </w:r>
          </w:p>
        </w:tc>
        <w:tc>
          <w:tcPr>
            <w:tcW w:w="1020" w:type="dxa"/>
            <w:vAlign w:val="bottom"/>
            <w:shd w:val="clear" w:color="auto" w:fill="CDDAE6"/>
          </w:tcPr>
          <w:p>
            <w:pPr>
              <w:jc w:val="right"/>
              <w:ind w:right="13"/>
              <w:spacing w:after="0"/>
              <w:rPr>
                <w:sz w:val="20"/>
                <w:szCs w:val="20"/>
                <w:color w:val="auto"/>
              </w:rPr>
            </w:pPr>
            <w:r>
              <w:rPr>
                <w:rFonts w:ascii="Arial" w:cs="Arial" w:eastAsia="Arial" w:hAnsi="Arial"/>
                <w:sz w:val="18"/>
                <w:szCs w:val="18"/>
                <w:color w:val="auto"/>
              </w:rPr>
              <w:t>285,000</w:t>
            </w:r>
          </w:p>
        </w:tc>
      </w:tr>
      <w:tr>
        <w:trPr>
          <w:trHeight w:val="237"/>
        </w:trPr>
        <w:tc>
          <w:tcPr>
            <w:tcW w:w="2680" w:type="dxa"/>
            <w:vAlign w:val="bottom"/>
          </w:tcPr>
          <w:p>
            <w:pPr>
              <w:ind w:left="20"/>
              <w:spacing w:after="0"/>
              <w:rPr>
                <w:sz w:val="20"/>
                <w:szCs w:val="20"/>
                <w:color w:val="auto"/>
              </w:rPr>
            </w:pPr>
            <w:r>
              <w:rPr>
                <w:rFonts w:ascii="Arial" w:cs="Arial" w:eastAsia="Arial" w:hAnsi="Arial"/>
                <w:sz w:val="18"/>
                <w:szCs w:val="18"/>
                <w:color w:val="auto"/>
              </w:rPr>
              <w:t>Lloyd W. Newton</w:t>
            </w:r>
          </w:p>
        </w:tc>
        <w:tc>
          <w:tcPr>
            <w:tcW w:w="4520" w:type="dxa"/>
            <w:vAlign w:val="bottom"/>
          </w:tcPr>
          <w:p>
            <w:pPr>
              <w:jc w:val="right"/>
              <w:ind w:right="115"/>
              <w:spacing w:after="0"/>
              <w:rPr>
                <w:sz w:val="20"/>
                <w:szCs w:val="20"/>
                <w:color w:val="auto"/>
              </w:rPr>
            </w:pPr>
            <w:r>
              <w:rPr>
                <w:rFonts w:ascii="Arial" w:cs="Arial" w:eastAsia="Arial" w:hAnsi="Arial"/>
                <w:sz w:val="18"/>
                <w:szCs w:val="18"/>
                <w:color w:val="auto"/>
              </w:rPr>
              <w:t>110,000</w:t>
            </w:r>
          </w:p>
        </w:tc>
        <w:tc>
          <w:tcPr>
            <w:tcW w:w="1340" w:type="dxa"/>
            <w:vAlign w:val="bottom"/>
          </w:tcPr>
          <w:p>
            <w:pPr>
              <w:ind w:left="440"/>
              <w:spacing w:after="0"/>
              <w:rPr>
                <w:sz w:val="20"/>
                <w:szCs w:val="20"/>
                <w:color w:val="auto"/>
              </w:rPr>
            </w:pPr>
            <w:r>
              <w:rPr>
                <w:rFonts w:ascii="Arial" w:cs="Arial" w:eastAsia="Arial" w:hAnsi="Arial"/>
                <w:sz w:val="18"/>
                <w:szCs w:val="18"/>
                <w:color w:val="auto"/>
              </w:rPr>
              <w:t>135,000</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245,000</w:t>
            </w:r>
          </w:p>
        </w:tc>
      </w:tr>
      <w:tr>
        <w:trPr>
          <w:trHeight w:val="249"/>
        </w:trPr>
        <w:tc>
          <w:tcPr>
            <w:tcW w:w="2680" w:type="dxa"/>
            <w:vAlign w:val="bottom"/>
            <w:shd w:val="clear" w:color="auto" w:fill="CDDAE6"/>
          </w:tcPr>
          <w:p>
            <w:pPr>
              <w:ind w:left="20"/>
              <w:spacing w:after="0"/>
              <w:rPr>
                <w:sz w:val="20"/>
                <w:szCs w:val="20"/>
                <w:color w:val="auto"/>
              </w:rPr>
            </w:pPr>
            <w:r>
              <w:rPr>
                <w:rFonts w:ascii="Arial" w:cs="Arial" w:eastAsia="Arial" w:hAnsi="Arial"/>
                <w:sz w:val="18"/>
                <w:szCs w:val="18"/>
                <w:color w:val="auto"/>
              </w:rPr>
              <w:t>Vincent Pagano, Jr.</w:t>
            </w:r>
          </w:p>
        </w:tc>
        <w:tc>
          <w:tcPr>
            <w:tcW w:w="4520" w:type="dxa"/>
            <w:vAlign w:val="bottom"/>
            <w:shd w:val="clear" w:color="auto" w:fill="CDDAE6"/>
          </w:tcPr>
          <w:p>
            <w:pPr>
              <w:jc w:val="right"/>
              <w:ind w:right="115"/>
              <w:spacing w:after="0"/>
              <w:rPr>
                <w:sz w:val="20"/>
                <w:szCs w:val="20"/>
                <w:color w:val="auto"/>
              </w:rPr>
            </w:pPr>
            <w:r>
              <w:rPr>
                <w:rFonts w:ascii="Arial" w:cs="Arial" w:eastAsia="Arial" w:hAnsi="Arial"/>
                <w:sz w:val="18"/>
                <w:szCs w:val="18"/>
                <w:color w:val="auto"/>
              </w:rPr>
              <w:t>145,000</w:t>
            </w:r>
          </w:p>
        </w:tc>
        <w:tc>
          <w:tcPr>
            <w:tcW w:w="1340" w:type="dxa"/>
            <w:vAlign w:val="bottom"/>
            <w:shd w:val="clear" w:color="auto" w:fill="CDDAE6"/>
          </w:tcPr>
          <w:p>
            <w:pPr>
              <w:ind w:left="440"/>
              <w:spacing w:after="0"/>
              <w:rPr>
                <w:sz w:val="20"/>
                <w:szCs w:val="20"/>
                <w:color w:val="auto"/>
              </w:rPr>
            </w:pPr>
            <w:r>
              <w:rPr>
                <w:rFonts w:ascii="Arial" w:cs="Arial" w:eastAsia="Arial" w:hAnsi="Arial"/>
                <w:sz w:val="18"/>
                <w:szCs w:val="18"/>
                <w:color w:val="auto"/>
              </w:rPr>
              <w:t>135,000</w:t>
            </w:r>
          </w:p>
        </w:tc>
        <w:tc>
          <w:tcPr>
            <w:tcW w:w="1020" w:type="dxa"/>
            <w:vAlign w:val="bottom"/>
            <w:shd w:val="clear" w:color="auto" w:fill="CDDAE6"/>
          </w:tcPr>
          <w:p>
            <w:pPr>
              <w:jc w:val="right"/>
              <w:ind w:right="13"/>
              <w:spacing w:after="0"/>
              <w:rPr>
                <w:sz w:val="20"/>
                <w:szCs w:val="20"/>
                <w:color w:val="auto"/>
              </w:rPr>
            </w:pPr>
            <w:r>
              <w:rPr>
                <w:rFonts w:ascii="Arial" w:cs="Arial" w:eastAsia="Arial" w:hAnsi="Arial"/>
                <w:sz w:val="18"/>
                <w:szCs w:val="18"/>
                <w:color w:val="auto"/>
              </w:rPr>
              <w:t>280,000</w:t>
            </w:r>
          </w:p>
        </w:tc>
      </w:tr>
      <w:tr>
        <w:trPr>
          <w:trHeight w:val="237"/>
        </w:trPr>
        <w:tc>
          <w:tcPr>
            <w:tcW w:w="2680" w:type="dxa"/>
            <w:vAlign w:val="bottom"/>
          </w:tcPr>
          <w:p>
            <w:pPr>
              <w:ind w:left="20"/>
              <w:spacing w:after="0"/>
              <w:rPr>
                <w:sz w:val="20"/>
                <w:szCs w:val="20"/>
                <w:color w:val="auto"/>
              </w:rPr>
            </w:pPr>
            <w:r>
              <w:rPr>
                <w:rFonts w:ascii="Arial" w:cs="Arial" w:eastAsia="Arial" w:hAnsi="Arial"/>
                <w:sz w:val="18"/>
                <w:szCs w:val="18"/>
                <w:color w:val="auto"/>
              </w:rPr>
              <w:t>H. Hugh Shelton</w:t>
            </w:r>
          </w:p>
        </w:tc>
        <w:tc>
          <w:tcPr>
            <w:tcW w:w="4520" w:type="dxa"/>
            <w:vAlign w:val="bottom"/>
          </w:tcPr>
          <w:p>
            <w:pPr>
              <w:jc w:val="right"/>
              <w:ind w:right="115"/>
              <w:spacing w:after="0"/>
              <w:rPr>
                <w:sz w:val="20"/>
                <w:szCs w:val="20"/>
                <w:color w:val="auto"/>
              </w:rPr>
            </w:pPr>
            <w:r>
              <w:rPr>
                <w:rFonts w:ascii="Arial" w:cs="Arial" w:eastAsia="Arial" w:hAnsi="Arial"/>
                <w:sz w:val="18"/>
                <w:szCs w:val="18"/>
                <w:color w:val="auto"/>
              </w:rPr>
              <w:t>110,000</w:t>
            </w:r>
          </w:p>
        </w:tc>
        <w:tc>
          <w:tcPr>
            <w:tcW w:w="1340" w:type="dxa"/>
            <w:vAlign w:val="bottom"/>
          </w:tcPr>
          <w:p>
            <w:pPr>
              <w:ind w:left="440"/>
              <w:spacing w:after="0"/>
              <w:rPr>
                <w:sz w:val="20"/>
                <w:szCs w:val="20"/>
                <w:color w:val="auto"/>
              </w:rPr>
            </w:pPr>
            <w:r>
              <w:rPr>
                <w:rFonts w:ascii="Arial" w:cs="Arial" w:eastAsia="Arial" w:hAnsi="Arial"/>
                <w:sz w:val="18"/>
                <w:szCs w:val="18"/>
                <w:color w:val="auto"/>
              </w:rPr>
              <w:t>135,000</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245,000</w:t>
            </w:r>
          </w:p>
        </w:tc>
      </w:tr>
      <w:tr>
        <w:trPr>
          <w:trHeight w:val="243"/>
        </w:trPr>
        <w:tc>
          <w:tcPr>
            <w:tcW w:w="2680" w:type="dxa"/>
            <w:vAlign w:val="bottom"/>
            <w:tcBorders>
              <w:bottom w:val="single" w:sz="8" w:color="005C7D"/>
            </w:tcBorders>
            <w:shd w:val="clear" w:color="auto" w:fill="CDDAE6"/>
          </w:tcPr>
          <w:p>
            <w:pPr>
              <w:ind w:left="20"/>
              <w:spacing w:after="0"/>
              <w:rPr>
                <w:sz w:val="20"/>
                <w:szCs w:val="20"/>
                <w:color w:val="auto"/>
              </w:rPr>
            </w:pPr>
            <w:r>
              <w:rPr>
                <w:rFonts w:ascii="Arial" w:cs="Arial" w:eastAsia="Arial" w:hAnsi="Arial"/>
                <w:sz w:val="18"/>
                <w:szCs w:val="18"/>
                <w:color w:val="auto"/>
              </w:rPr>
              <w:t>Arthur L. Simon</w:t>
            </w:r>
          </w:p>
        </w:tc>
        <w:tc>
          <w:tcPr>
            <w:tcW w:w="4520" w:type="dxa"/>
            <w:vAlign w:val="bottom"/>
            <w:tcBorders>
              <w:bottom w:val="single" w:sz="8" w:color="005C7D"/>
            </w:tcBorders>
            <w:shd w:val="clear" w:color="auto" w:fill="CDDAE6"/>
          </w:tcPr>
          <w:p>
            <w:pPr>
              <w:jc w:val="right"/>
              <w:ind w:right="115"/>
              <w:spacing w:after="0"/>
              <w:rPr>
                <w:sz w:val="20"/>
                <w:szCs w:val="20"/>
                <w:color w:val="auto"/>
              </w:rPr>
            </w:pPr>
            <w:r>
              <w:rPr>
                <w:rFonts w:ascii="Arial" w:cs="Arial" w:eastAsia="Arial" w:hAnsi="Arial"/>
                <w:sz w:val="18"/>
                <w:szCs w:val="18"/>
                <w:color w:val="auto"/>
              </w:rPr>
              <w:t>130,000</w:t>
            </w:r>
          </w:p>
        </w:tc>
        <w:tc>
          <w:tcPr>
            <w:tcW w:w="1340" w:type="dxa"/>
            <w:vAlign w:val="bottom"/>
            <w:tcBorders>
              <w:bottom w:val="single" w:sz="8" w:color="005C7D"/>
            </w:tcBorders>
            <w:shd w:val="clear" w:color="auto" w:fill="CDDAE6"/>
          </w:tcPr>
          <w:p>
            <w:pPr>
              <w:ind w:left="440"/>
              <w:spacing w:after="0"/>
              <w:rPr>
                <w:sz w:val="20"/>
                <w:szCs w:val="20"/>
                <w:color w:val="auto"/>
              </w:rPr>
            </w:pPr>
            <w:r>
              <w:rPr>
                <w:rFonts w:ascii="Arial" w:cs="Arial" w:eastAsia="Arial" w:hAnsi="Arial"/>
                <w:sz w:val="18"/>
                <w:szCs w:val="18"/>
                <w:color w:val="auto"/>
              </w:rPr>
              <w:t>135,000</w:t>
            </w:r>
          </w:p>
        </w:tc>
        <w:tc>
          <w:tcPr>
            <w:tcW w:w="1020" w:type="dxa"/>
            <w:vAlign w:val="bottom"/>
            <w:tcBorders>
              <w:bottom w:val="single" w:sz="8" w:color="005C7D"/>
            </w:tcBorders>
            <w:shd w:val="clear" w:color="auto" w:fill="CDDAE6"/>
          </w:tcPr>
          <w:p>
            <w:pPr>
              <w:jc w:val="right"/>
              <w:ind w:right="13"/>
              <w:spacing w:after="0"/>
              <w:rPr>
                <w:sz w:val="20"/>
                <w:szCs w:val="20"/>
                <w:color w:val="auto"/>
              </w:rPr>
            </w:pPr>
            <w:r>
              <w:rPr>
                <w:rFonts w:ascii="Arial" w:cs="Arial" w:eastAsia="Arial" w:hAnsi="Arial"/>
                <w:sz w:val="18"/>
                <w:szCs w:val="18"/>
                <w:color w:val="auto"/>
              </w:rPr>
              <w:t>265,000</w:t>
            </w:r>
          </w:p>
        </w:tc>
      </w:tr>
      <w:tr>
        <w:trPr>
          <w:trHeight w:val="175"/>
        </w:trPr>
        <w:tc>
          <w:tcPr>
            <w:tcW w:w="2680" w:type="dxa"/>
            <w:vAlign w:val="bottom"/>
            <w:tcBorders>
              <w:bottom w:val="single" w:sz="8" w:color="auto"/>
            </w:tcBorders>
          </w:tcPr>
          <w:p>
            <w:pPr>
              <w:spacing w:after="0"/>
              <w:rPr>
                <w:sz w:val="15"/>
                <w:szCs w:val="15"/>
                <w:color w:val="auto"/>
              </w:rPr>
            </w:pPr>
          </w:p>
        </w:tc>
        <w:tc>
          <w:tcPr>
            <w:tcW w:w="4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98" w:lineRule="exact"/>
        <w:rPr>
          <w:sz w:val="20"/>
          <w:szCs w:val="20"/>
          <w:color w:val="auto"/>
        </w:rPr>
      </w:pPr>
    </w:p>
    <w:p>
      <w:pPr>
        <w:ind w:left="347" w:right="80" w:hanging="347"/>
        <w:spacing w:after="0" w:line="275" w:lineRule="auto"/>
        <w:tabs>
          <w:tab w:leader="none" w:pos="347"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Includes fees with respect to which directors elected to receive payment in Elected RSUs, each valued at the closing price on the date the director would have otherwise been issued a check for such payment. For 2016, General (Ret.) Dunwoody and Mr. Millard elected to receive payments in Elected RSUs with respect to all of their fees.</w:t>
      </w:r>
    </w:p>
    <w:p>
      <w:pPr>
        <w:spacing w:after="0" w:line="2" w:lineRule="exact"/>
        <w:rPr>
          <w:rFonts w:ascii="Arial" w:cs="Arial" w:eastAsia="Arial" w:hAnsi="Arial"/>
          <w:sz w:val="16"/>
          <w:szCs w:val="16"/>
          <w:color w:val="auto"/>
        </w:rPr>
      </w:pPr>
    </w:p>
    <w:p>
      <w:pPr>
        <w:ind w:left="347" w:hanging="347"/>
        <w:spacing w:after="0"/>
        <w:tabs>
          <w:tab w:leader="none" w:pos="347"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Represents the grant date fair value of RSUs based on L3’s closing stock price on May 3, 2016, the date of grant.</w:t>
      </w:r>
    </w:p>
    <w:p>
      <w:pPr>
        <w:spacing w:after="0" w:line="176" w:lineRule="exact"/>
        <w:rPr>
          <w:sz w:val="20"/>
          <w:szCs w:val="20"/>
          <w:color w:val="auto"/>
        </w:rPr>
      </w:pPr>
    </w:p>
    <w:p>
      <w:pPr>
        <w:jc w:val="both"/>
        <w:ind w:left="7" w:right="100"/>
        <w:spacing w:after="0" w:line="264" w:lineRule="auto"/>
        <w:rPr>
          <w:sz w:val="20"/>
          <w:szCs w:val="20"/>
          <w:color w:val="auto"/>
        </w:rPr>
      </w:pPr>
      <w:r>
        <w:rPr>
          <w:rFonts w:ascii="Arial" w:cs="Arial" w:eastAsia="Arial" w:hAnsi="Arial"/>
          <w:sz w:val="18"/>
          <w:szCs w:val="18"/>
          <w:color w:val="auto"/>
        </w:rPr>
        <w:t>The following table provides a summary of the aggregate number of unexercised stock options and unvested RSUs outstanding for each of our non-employee directors as of December 31, 2016. Stock options have not been granted to non-employee directors since April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607187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1"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3980" w:type="dxa"/>
            <w:vAlign w:val="bottom"/>
          </w:tcPr>
          <w:p>
            <w:pPr>
              <w:jc w:val="center"/>
              <w:ind w:left="2814"/>
              <w:spacing w:after="0"/>
              <w:rPr>
                <w:sz w:val="20"/>
                <w:szCs w:val="20"/>
                <w:color w:val="auto"/>
              </w:rPr>
            </w:pPr>
            <w:r>
              <w:rPr>
                <w:rFonts w:ascii="Arial" w:cs="Arial" w:eastAsia="Arial" w:hAnsi="Arial"/>
                <w:sz w:val="14"/>
                <w:szCs w:val="14"/>
                <w:b w:val="1"/>
                <w:bCs w:val="1"/>
                <w:color w:val="auto"/>
                <w:w w:val="91"/>
              </w:rPr>
              <w:t>Unexercised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Unvested</w:t>
            </w:r>
          </w:p>
        </w:tc>
      </w:tr>
      <w:tr>
        <w:trPr>
          <w:trHeight w:val="162"/>
        </w:trPr>
        <w:tc>
          <w:tcPr>
            <w:tcW w:w="4580" w:type="dxa"/>
            <w:vAlign w:val="bottom"/>
          </w:tcPr>
          <w:p>
            <w:pPr>
              <w:spacing w:after="0"/>
              <w:rPr>
                <w:sz w:val="14"/>
                <w:szCs w:val="14"/>
                <w:color w:val="auto"/>
              </w:rPr>
            </w:pPr>
          </w:p>
        </w:tc>
        <w:tc>
          <w:tcPr>
            <w:tcW w:w="3980" w:type="dxa"/>
            <w:vAlign w:val="bottom"/>
          </w:tcPr>
          <w:p>
            <w:pPr>
              <w:jc w:val="center"/>
              <w:ind w:left="2814"/>
              <w:spacing w:after="0"/>
              <w:rPr>
                <w:sz w:val="20"/>
                <w:szCs w:val="20"/>
                <w:color w:val="auto"/>
              </w:rPr>
            </w:pPr>
            <w:r>
              <w:rPr>
                <w:rFonts w:ascii="Arial" w:cs="Arial" w:eastAsia="Arial" w:hAnsi="Arial"/>
                <w:sz w:val="14"/>
                <w:szCs w:val="14"/>
                <w:b w:val="1"/>
                <w:bCs w:val="1"/>
                <w:color w:val="auto"/>
                <w:w w:val="90"/>
              </w:rPr>
              <w:t>Options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6"/>
              </w:rPr>
              <w:t>RSUs</w:t>
            </w:r>
          </w:p>
        </w:tc>
      </w:tr>
      <w:tr>
        <w:trPr>
          <w:trHeight w:val="185"/>
        </w:trPr>
        <w:tc>
          <w:tcPr>
            <w:tcW w:w="4580" w:type="dxa"/>
            <w:vAlign w:val="bottom"/>
            <w:tcBorders>
              <w:bottom w:val="single" w:sz="8" w:color="005C7D"/>
            </w:tcBorders>
          </w:tcPr>
          <w:p>
            <w:pPr>
              <w:ind w:left="20"/>
              <w:spacing w:after="0"/>
              <w:rPr>
                <w:sz w:val="20"/>
                <w:szCs w:val="20"/>
                <w:color w:val="auto"/>
              </w:rPr>
            </w:pPr>
            <w:r>
              <w:rPr>
                <w:rFonts w:ascii="Arial" w:cs="Arial" w:eastAsia="Arial" w:hAnsi="Arial"/>
                <w:sz w:val="14"/>
                <w:szCs w:val="14"/>
                <w:b w:val="1"/>
                <w:bCs w:val="1"/>
                <w:color w:val="auto"/>
              </w:rPr>
              <w:t>Name</w:t>
            </w:r>
          </w:p>
        </w:tc>
        <w:tc>
          <w:tcPr>
            <w:tcW w:w="3980" w:type="dxa"/>
            <w:vAlign w:val="bottom"/>
            <w:tcBorders>
              <w:bottom w:val="single" w:sz="8" w:color="005C7D"/>
            </w:tcBorders>
          </w:tcPr>
          <w:p>
            <w:pPr>
              <w:jc w:val="center"/>
              <w:ind w:left="2814"/>
              <w:spacing w:after="0"/>
              <w:rPr>
                <w:sz w:val="20"/>
                <w:szCs w:val="20"/>
                <w:color w:val="auto"/>
              </w:rPr>
            </w:pPr>
            <w:r>
              <w:rPr>
                <w:rFonts w:ascii="Arial" w:cs="Arial" w:eastAsia="Arial" w:hAnsi="Arial"/>
                <w:sz w:val="14"/>
                <w:szCs w:val="14"/>
                <w:b w:val="1"/>
                <w:bCs w:val="1"/>
                <w:color w:val="auto"/>
                <w:w w:val="92"/>
              </w:rPr>
              <w:t>Outstanding</w:t>
            </w:r>
          </w:p>
        </w:tc>
        <w:tc>
          <w:tcPr>
            <w:tcW w:w="1000" w:type="dxa"/>
            <w:vAlign w:val="bottom"/>
            <w:tcBorders>
              <w:bottom w:val="single" w:sz="8" w:color="005C7D"/>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r>
      <w:tr>
        <w:trPr>
          <w:trHeight w:val="237"/>
        </w:trPr>
        <w:tc>
          <w:tcPr>
            <w:tcW w:w="4580" w:type="dxa"/>
            <w:vAlign w:val="bottom"/>
            <w:shd w:val="clear" w:color="auto" w:fill="CDDAE6"/>
          </w:tcPr>
          <w:p>
            <w:pPr>
              <w:ind w:left="20"/>
              <w:spacing w:after="0"/>
              <w:rPr>
                <w:sz w:val="20"/>
                <w:szCs w:val="20"/>
                <w:color w:val="auto"/>
              </w:rPr>
            </w:pPr>
            <w:r>
              <w:rPr>
                <w:rFonts w:ascii="Arial" w:cs="Arial" w:eastAsia="Arial" w:hAnsi="Arial"/>
                <w:sz w:val="18"/>
                <w:szCs w:val="18"/>
                <w:color w:val="auto"/>
              </w:rPr>
              <w:t>Claude R. Canizares</w:t>
            </w:r>
          </w:p>
        </w:tc>
        <w:tc>
          <w:tcPr>
            <w:tcW w:w="3980" w:type="dxa"/>
            <w:vAlign w:val="bottom"/>
            <w:shd w:val="clear" w:color="auto" w:fill="CDDAE6"/>
          </w:tcPr>
          <w:p>
            <w:pPr>
              <w:jc w:val="right"/>
              <w:ind w:right="34"/>
              <w:spacing w:after="0"/>
              <w:rPr>
                <w:sz w:val="20"/>
                <w:szCs w:val="20"/>
                <w:color w:val="auto"/>
              </w:rPr>
            </w:pPr>
            <w:r>
              <w:rPr>
                <w:rFonts w:ascii="Arial" w:cs="Arial" w:eastAsia="Arial" w:hAnsi="Arial"/>
                <w:sz w:val="18"/>
                <w:szCs w:val="18"/>
                <w:color w:val="auto"/>
              </w:rPr>
              <w:t>2,981</w:t>
            </w:r>
          </w:p>
        </w:tc>
        <w:tc>
          <w:tcPr>
            <w:tcW w:w="1000" w:type="dxa"/>
            <w:vAlign w:val="bottom"/>
            <w:shd w:val="clear" w:color="auto" w:fill="CDDAE6"/>
          </w:tcPr>
          <w:p>
            <w:pPr>
              <w:jc w:val="right"/>
              <w:spacing w:after="0"/>
              <w:rPr>
                <w:sz w:val="20"/>
                <w:szCs w:val="20"/>
                <w:color w:val="auto"/>
              </w:rPr>
            </w:pPr>
            <w:r>
              <w:rPr>
                <w:rFonts w:ascii="Arial" w:cs="Arial" w:eastAsia="Arial" w:hAnsi="Arial"/>
                <w:sz w:val="18"/>
                <w:szCs w:val="18"/>
                <w:color w:val="auto"/>
              </w:rPr>
              <w:t>1,021</w:t>
            </w: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Thomas A. Corcoran</w:t>
            </w:r>
          </w:p>
        </w:tc>
        <w:tc>
          <w:tcPr>
            <w:tcW w:w="3980" w:type="dxa"/>
            <w:vAlign w:val="bottom"/>
          </w:tcPr>
          <w:p>
            <w:pPr>
              <w:jc w:val="right"/>
              <w:ind w:right="34"/>
              <w:spacing w:after="0"/>
              <w:rPr>
                <w:sz w:val="20"/>
                <w:szCs w:val="20"/>
                <w:color w:val="auto"/>
              </w:rPr>
            </w:pPr>
            <w:r>
              <w:rPr>
                <w:rFonts w:ascii="Arial" w:cs="Arial" w:eastAsia="Arial" w:hAnsi="Arial"/>
                <w:sz w:val="18"/>
                <w:szCs w:val="18"/>
                <w:color w:val="auto"/>
              </w:rPr>
              <w:t>6,313</w:t>
            </w:r>
          </w:p>
        </w:tc>
        <w:tc>
          <w:tcPr>
            <w:tcW w:w="1000" w:type="dxa"/>
            <w:vAlign w:val="bottom"/>
          </w:tcPr>
          <w:p>
            <w:pPr>
              <w:jc w:val="right"/>
              <w:spacing w:after="0"/>
              <w:rPr>
                <w:sz w:val="20"/>
                <w:szCs w:val="20"/>
                <w:color w:val="auto"/>
              </w:rPr>
            </w:pPr>
            <w:r>
              <w:rPr>
                <w:rFonts w:ascii="Arial" w:cs="Arial" w:eastAsia="Arial" w:hAnsi="Arial"/>
                <w:sz w:val="18"/>
                <w:szCs w:val="18"/>
                <w:color w:val="auto"/>
              </w:rPr>
              <w:t>1,021</w:t>
            </w:r>
          </w:p>
        </w:tc>
      </w:tr>
      <w:tr>
        <w:trPr>
          <w:trHeight w:val="249"/>
        </w:trPr>
        <w:tc>
          <w:tcPr>
            <w:tcW w:w="4580" w:type="dxa"/>
            <w:vAlign w:val="bottom"/>
            <w:shd w:val="clear" w:color="auto" w:fill="CDDAE6"/>
          </w:tcPr>
          <w:p>
            <w:pPr>
              <w:ind w:left="20"/>
              <w:spacing w:after="0"/>
              <w:rPr>
                <w:sz w:val="20"/>
                <w:szCs w:val="20"/>
                <w:color w:val="auto"/>
              </w:rPr>
            </w:pPr>
            <w:r>
              <w:rPr>
                <w:rFonts w:ascii="Arial" w:cs="Arial" w:eastAsia="Arial" w:hAnsi="Arial"/>
                <w:sz w:val="18"/>
                <w:szCs w:val="18"/>
                <w:color w:val="auto"/>
              </w:rPr>
              <w:t>Ann E. Dunwoody</w:t>
            </w:r>
          </w:p>
        </w:tc>
        <w:tc>
          <w:tcPr>
            <w:tcW w:w="3980" w:type="dxa"/>
            <w:vAlign w:val="bottom"/>
            <w:shd w:val="clear" w:color="auto" w:fill="CDDAE6"/>
          </w:tcPr>
          <w:p>
            <w:pPr>
              <w:jc w:val="right"/>
              <w:ind w:right="34"/>
              <w:spacing w:after="0"/>
              <w:rPr>
                <w:sz w:val="20"/>
                <w:szCs w:val="20"/>
                <w:color w:val="auto"/>
              </w:rPr>
            </w:pPr>
            <w:r>
              <w:rPr>
                <w:rFonts w:ascii="Arial" w:cs="Arial" w:eastAsia="Arial" w:hAnsi="Arial"/>
                <w:sz w:val="18"/>
                <w:szCs w:val="18"/>
                <w:color w:val="auto"/>
              </w:rPr>
              <w:t>—</w:t>
            </w:r>
          </w:p>
        </w:tc>
        <w:tc>
          <w:tcPr>
            <w:tcW w:w="1000" w:type="dxa"/>
            <w:vAlign w:val="bottom"/>
            <w:shd w:val="clear" w:color="auto" w:fill="CDDAE6"/>
          </w:tcPr>
          <w:p>
            <w:pPr>
              <w:jc w:val="right"/>
              <w:spacing w:after="0"/>
              <w:rPr>
                <w:sz w:val="20"/>
                <w:szCs w:val="20"/>
                <w:color w:val="auto"/>
              </w:rPr>
            </w:pPr>
            <w:r>
              <w:rPr>
                <w:rFonts w:ascii="Arial" w:cs="Arial" w:eastAsia="Arial" w:hAnsi="Arial"/>
                <w:sz w:val="18"/>
                <w:szCs w:val="18"/>
                <w:color w:val="auto"/>
              </w:rPr>
              <w:t>1,021</w:t>
            </w: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Lewis Kramer</w:t>
            </w:r>
          </w:p>
        </w:tc>
        <w:tc>
          <w:tcPr>
            <w:tcW w:w="3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1,021</w:t>
            </w:r>
          </w:p>
        </w:tc>
      </w:tr>
      <w:tr>
        <w:trPr>
          <w:trHeight w:val="249"/>
        </w:trPr>
        <w:tc>
          <w:tcPr>
            <w:tcW w:w="4580" w:type="dxa"/>
            <w:vAlign w:val="bottom"/>
            <w:shd w:val="clear" w:color="auto" w:fill="CDDAE6"/>
          </w:tcPr>
          <w:p>
            <w:pPr>
              <w:ind w:left="20"/>
              <w:spacing w:after="0"/>
              <w:rPr>
                <w:sz w:val="20"/>
                <w:szCs w:val="20"/>
                <w:color w:val="auto"/>
              </w:rPr>
            </w:pPr>
            <w:r>
              <w:rPr>
                <w:rFonts w:ascii="Arial" w:cs="Arial" w:eastAsia="Arial" w:hAnsi="Arial"/>
                <w:sz w:val="18"/>
                <w:szCs w:val="18"/>
                <w:color w:val="auto"/>
              </w:rPr>
              <w:t>Robert B. Millard</w:t>
            </w:r>
          </w:p>
        </w:tc>
        <w:tc>
          <w:tcPr>
            <w:tcW w:w="3980" w:type="dxa"/>
            <w:vAlign w:val="bottom"/>
            <w:shd w:val="clear" w:color="auto" w:fill="CDDAE6"/>
          </w:tcPr>
          <w:p>
            <w:pPr>
              <w:jc w:val="right"/>
              <w:ind w:right="34"/>
              <w:spacing w:after="0"/>
              <w:rPr>
                <w:sz w:val="20"/>
                <w:szCs w:val="20"/>
                <w:color w:val="auto"/>
              </w:rPr>
            </w:pPr>
            <w:r>
              <w:rPr>
                <w:rFonts w:ascii="Arial" w:cs="Arial" w:eastAsia="Arial" w:hAnsi="Arial"/>
                <w:sz w:val="18"/>
                <w:szCs w:val="18"/>
                <w:color w:val="auto"/>
              </w:rPr>
              <w:t>6,313</w:t>
            </w:r>
          </w:p>
        </w:tc>
        <w:tc>
          <w:tcPr>
            <w:tcW w:w="1000" w:type="dxa"/>
            <w:vAlign w:val="bottom"/>
            <w:shd w:val="clear" w:color="auto" w:fill="CDDAE6"/>
          </w:tcPr>
          <w:p>
            <w:pPr>
              <w:jc w:val="right"/>
              <w:spacing w:after="0"/>
              <w:rPr>
                <w:sz w:val="20"/>
                <w:szCs w:val="20"/>
                <w:color w:val="auto"/>
              </w:rPr>
            </w:pPr>
            <w:r>
              <w:rPr>
                <w:rFonts w:ascii="Arial" w:cs="Arial" w:eastAsia="Arial" w:hAnsi="Arial"/>
                <w:sz w:val="18"/>
                <w:szCs w:val="18"/>
                <w:color w:val="auto"/>
              </w:rPr>
              <w:t>1,021</w:t>
            </w: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Lloyd W. Newton</w:t>
            </w:r>
          </w:p>
        </w:tc>
        <w:tc>
          <w:tcPr>
            <w:tcW w:w="3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1,021</w:t>
            </w:r>
          </w:p>
        </w:tc>
      </w:tr>
      <w:tr>
        <w:trPr>
          <w:trHeight w:val="249"/>
        </w:trPr>
        <w:tc>
          <w:tcPr>
            <w:tcW w:w="4580" w:type="dxa"/>
            <w:vAlign w:val="bottom"/>
            <w:shd w:val="clear" w:color="auto" w:fill="CDDAE6"/>
          </w:tcPr>
          <w:p>
            <w:pPr>
              <w:ind w:left="20"/>
              <w:spacing w:after="0"/>
              <w:rPr>
                <w:sz w:val="20"/>
                <w:szCs w:val="20"/>
                <w:color w:val="auto"/>
              </w:rPr>
            </w:pPr>
            <w:r>
              <w:rPr>
                <w:rFonts w:ascii="Arial" w:cs="Arial" w:eastAsia="Arial" w:hAnsi="Arial"/>
                <w:sz w:val="18"/>
                <w:szCs w:val="18"/>
                <w:color w:val="auto"/>
              </w:rPr>
              <w:t>Vincent Pagano, Jr.</w:t>
            </w:r>
          </w:p>
        </w:tc>
        <w:tc>
          <w:tcPr>
            <w:tcW w:w="3980" w:type="dxa"/>
            <w:vAlign w:val="bottom"/>
            <w:shd w:val="clear" w:color="auto" w:fill="CDDAE6"/>
          </w:tcPr>
          <w:p>
            <w:pPr>
              <w:jc w:val="right"/>
              <w:ind w:right="34"/>
              <w:spacing w:after="0"/>
              <w:rPr>
                <w:sz w:val="20"/>
                <w:szCs w:val="20"/>
                <w:color w:val="auto"/>
              </w:rPr>
            </w:pPr>
            <w:r>
              <w:rPr>
                <w:rFonts w:ascii="Arial" w:cs="Arial" w:eastAsia="Arial" w:hAnsi="Arial"/>
                <w:sz w:val="18"/>
                <w:szCs w:val="18"/>
                <w:color w:val="auto"/>
              </w:rPr>
              <w:t>—</w:t>
            </w:r>
          </w:p>
        </w:tc>
        <w:tc>
          <w:tcPr>
            <w:tcW w:w="1000" w:type="dxa"/>
            <w:vAlign w:val="bottom"/>
            <w:shd w:val="clear" w:color="auto" w:fill="CDDAE6"/>
          </w:tcPr>
          <w:p>
            <w:pPr>
              <w:jc w:val="right"/>
              <w:spacing w:after="0"/>
              <w:rPr>
                <w:sz w:val="20"/>
                <w:szCs w:val="20"/>
                <w:color w:val="auto"/>
              </w:rPr>
            </w:pPr>
            <w:r>
              <w:rPr>
                <w:rFonts w:ascii="Arial" w:cs="Arial" w:eastAsia="Arial" w:hAnsi="Arial"/>
                <w:sz w:val="18"/>
                <w:szCs w:val="18"/>
                <w:color w:val="auto"/>
              </w:rPr>
              <w:t>1,021</w:t>
            </w: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H. Hugh Shelton</w:t>
            </w:r>
          </w:p>
        </w:tc>
        <w:tc>
          <w:tcPr>
            <w:tcW w:w="3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1,021</w:t>
            </w:r>
          </w:p>
        </w:tc>
      </w:tr>
      <w:tr>
        <w:trPr>
          <w:trHeight w:val="243"/>
        </w:trPr>
        <w:tc>
          <w:tcPr>
            <w:tcW w:w="4580" w:type="dxa"/>
            <w:vAlign w:val="bottom"/>
            <w:tcBorders>
              <w:bottom w:val="single" w:sz="8" w:color="005C7D"/>
            </w:tcBorders>
            <w:shd w:val="clear" w:color="auto" w:fill="CDDAE6"/>
          </w:tcPr>
          <w:p>
            <w:pPr>
              <w:ind w:left="20"/>
              <w:spacing w:after="0"/>
              <w:rPr>
                <w:sz w:val="20"/>
                <w:szCs w:val="20"/>
                <w:color w:val="auto"/>
              </w:rPr>
            </w:pPr>
            <w:r>
              <w:rPr>
                <w:rFonts w:ascii="Arial" w:cs="Arial" w:eastAsia="Arial" w:hAnsi="Arial"/>
                <w:sz w:val="18"/>
                <w:szCs w:val="18"/>
                <w:color w:val="auto"/>
              </w:rPr>
              <w:t>Arthur L. Simon</w:t>
            </w:r>
          </w:p>
        </w:tc>
        <w:tc>
          <w:tcPr>
            <w:tcW w:w="3980" w:type="dxa"/>
            <w:vAlign w:val="bottom"/>
            <w:tcBorders>
              <w:bottom w:val="single" w:sz="8" w:color="005C7D"/>
            </w:tcBorders>
            <w:shd w:val="clear" w:color="auto" w:fill="CDDAE6"/>
          </w:tcPr>
          <w:p>
            <w:pPr>
              <w:jc w:val="right"/>
              <w:ind w:right="34"/>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005C7D"/>
            </w:tcBorders>
            <w:shd w:val="clear" w:color="auto" w:fill="CDDAE6"/>
          </w:tcPr>
          <w:p>
            <w:pPr>
              <w:jc w:val="right"/>
              <w:spacing w:after="0"/>
              <w:rPr>
                <w:sz w:val="20"/>
                <w:szCs w:val="20"/>
                <w:color w:val="auto"/>
              </w:rPr>
            </w:pPr>
            <w:r>
              <w:rPr>
                <w:rFonts w:ascii="Arial" w:cs="Arial" w:eastAsia="Arial" w:hAnsi="Arial"/>
                <w:sz w:val="18"/>
                <w:szCs w:val="18"/>
                <w:color w:val="auto"/>
              </w:rPr>
              <w:t>1,021</w:t>
            </w:r>
          </w:p>
        </w:tc>
      </w:tr>
    </w:tbl>
    <w:p>
      <w:pPr>
        <w:spacing w:after="0" w:line="148" w:lineRule="exact"/>
        <w:rPr>
          <w:sz w:val="20"/>
          <w:szCs w:val="20"/>
          <w:color w:val="auto"/>
        </w:rPr>
      </w:pPr>
    </w:p>
    <w:p>
      <w:pPr>
        <w:ind w:left="7" w:right="180"/>
        <w:spacing w:after="0" w:line="259" w:lineRule="auto"/>
        <w:rPr>
          <w:sz w:val="20"/>
          <w:szCs w:val="20"/>
          <w:color w:val="auto"/>
        </w:rPr>
      </w:pPr>
      <w:r>
        <w:rPr>
          <w:rFonts w:ascii="Arial" w:cs="Arial" w:eastAsia="Arial" w:hAnsi="Arial"/>
          <w:sz w:val="18"/>
          <w:szCs w:val="18"/>
          <w:color w:val="auto"/>
        </w:rPr>
        <w:t>The Board of Directors has maintained Company stock ownership guidelines for non-employee directors since 2006. Each non-employee director is required to own shares with a value that is equal to five times his or her annual retainer amount. Each non-employee director is required to retain 100% of net shares (after payment of fees, taxes and exercise prices, if applicable) acquired under equity-based awards until the ownership requirement is met.</w:t>
      </w:r>
    </w:p>
    <w:p>
      <w:pPr>
        <w:spacing w:after="0" w:line="133" w:lineRule="exact"/>
        <w:rPr>
          <w:sz w:val="20"/>
          <w:szCs w:val="20"/>
          <w:color w:val="auto"/>
        </w:rPr>
      </w:pPr>
    </w:p>
    <w:p>
      <w:pPr>
        <w:ind w:left="7"/>
        <w:spacing w:after="0"/>
        <w:rPr>
          <w:sz w:val="20"/>
          <w:szCs w:val="20"/>
          <w:color w:val="auto"/>
        </w:rPr>
      </w:pPr>
      <w:r>
        <w:rPr>
          <w:rFonts w:ascii="Arial" w:cs="Arial" w:eastAsia="Arial" w:hAnsi="Arial"/>
          <w:sz w:val="16"/>
          <w:szCs w:val="16"/>
          <w:color w:val="auto"/>
        </w:rPr>
        <w:t>“Stock ownership” is defined to include shares of Common Stock held outright, unvested RSUs and vested but undelivered RSUs.</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8"/>
          <w:szCs w:val="18"/>
          <w:color w:val="auto"/>
        </w:rPr>
        <w:t>Unexercised stock options are not taken into account for purposes of the ownership guidelines.</w:t>
      </w:r>
    </w:p>
    <w:p>
      <w:pPr>
        <w:spacing w:after="0" w:line="281" w:lineRule="exact"/>
        <w:rPr>
          <w:sz w:val="20"/>
          <w:szCs w:val="20"/>
          <w:color w:val="auto"/>
        </w:rPr>
      </w:pPr>
    </w:p>
    <w:p>
      <w:pPr>
        <w:ind w:left="47"/>
        <w:spacing w:after="0"/>
        <w:tabs>
          <w:tab w:leader="none" w:pos="666" w:val="left"/>
        </w:tabs>
        <w:rPr>
          <w:sz w:val="20"/>
          <w:szCs w:val="20"/>
          <w:color w:val="auto"/>
        </w:rPr>
      </w:pPr>
      <w:r>
        <w:rPr>
          <w:rFonts w:ascii="Arial" w:cs="Arial" w:eastAsia="Arial" w:hAnsi="Arial"/>
          <w:sz w:val="18"/>
          <w:szCs w:val="18"/>
          <w:color w:val="005C7D"/>
        </w:rPr>
        <w:t>80</w:t>
      </w:r>
      <w:r>
        <w:rPr>
          <w:sz w:val="20"/>
          <w:szCs w:val="20"/>
          <w:color w:val="auto"/>
        </w:rPr>
        <w:tab/>
      </w: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382270</wp:posOffset>
            </wp:positionV>
            <wp:extent cx="6071870" cy="4318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-106045</wp:posOffset>
            </wp:positionV>
            <wp:extent cx="154305" cy="1543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149860</wp:posOffset>
            </wp:positionV>
            <wp:extent cx="6071870" cy="2057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071870" cy="205740"/>
                    </a:xfrm>
                    <a:prstGeom prst="rect">
                      <a:avLst/>
                    </a:prstGeom>
                    <a:noFill/>
                  </pic:spPr>
                </pic:pic>
              </a:graphicData>
            </a:graphic>
          </wp:anchor>
        </w:drawing>
      </w:r>
    </w:p>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005C7D"/>
        </w:rPr>
        <w:t>REPORT OF THE AUDIT COMMITTEE</w:t>
      </w:r>
    </w:p>
    <w:p>
      <w:pPr>
        <w:spacing w:after="0" w:line="20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directors who serve on the Audit Committee are all “independent” in accordance with the NYSE listing standards and the applicable SEC rules and regulations. During 2016, the Audit Committee fulfilled all of its responsibilities under its charter that was effective during 2016. As part of the Company’s governance practices, the Audit Committee reviews its charter on an annual basis and, when appropriate, recommends to the Board of Directors changes to its charter. The Audit Committee charter can be obtained through our website at http://www.L3T.com.</w:t>
      </w:r>
    </w:p>
    <w:p>
      <w:pPr>
        <w:spacing w:after="0" w:line="13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Audit Committee is directly responsible for the appointment, compensation, retention and oversight of the Independent registered public accounting firm retained to audit the Company’s financial statements. PricewaterhouseCoopers LLP has continuously been retained to serve as our independent registered public accounting firm since our formation in 1997 and, after consideration, was selected to serve as the Company’s independent registered public accounting firm for the fiscal year ending December 31, 2017. In determining whether to reappoint PricewaterhouseCoopers LLP as the Company’s independent auditor, the Audit Committee took into consideration various factors, including: the historical and recent performance of the independent auditor on the audit; its professional qualifications; the adequacy of its staffing; the breadth of knowledge, support and expertise of its national office; the quality of ongoing discussions with the independent auditor; external data, including recent Public Company Accounting Oversight Board (“PCAOB”) reports on the independent auditor and its peer firms; and the appropriateness of fees.</w:t>
      </w:r>
    </w:p>
    <w:p>
      <w:pPr>
        <w:spacing w:after="0" w:line="11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reviewed and discussed with management and our independent registered public accountant, PricewaterhouseCoopers LLP, the Company’s Annual Report on Form 10-K, which includes the Company’s audited consolidated financial statements for the year ended December 31, 2016.</w:t>
      </w:r>
    </w:p>
    <w:p>
      <w:pPr>
        <w:spacing w:after="0" w:line="1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have discussed with PricewaterhouseCoopers LLP, the matters required to be discussed by the applicable standards adopted by the PCAOB.</w:t>
      </w:r>
    </w:p>
    <w:p>
      <w:pPr>
        <w:spacing w:after="0" w:line="11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have received and reviewed the written disclosures and the letter from PricewaterhouseCoopers LLP, required by the applicable requirements of the PCAOB regarding PricewaterhouseCoopers LLP’s communications with the Audit Committee concerning independence, and have discussed with PricewaterhouseCoopers LLP their independence from the Company and management.</w:t>
      </w:r>
    </w:p>
    <w:p>
      <w:pPr>
        <w:spacing w:after="0" w:line="93"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Based on the review and discussions referred to above, we recommended to the Company’s Board of Directors that the Company’s audited consolidated financial statements be included in the Company’s Annual Report on Form 10-K for the year ended December 31, 2016 filed with the Securities and Exchange Commission. The Board of Directors approved our recommendations.</w:t>
      </w:r>
    </w:p>
    <w:p>
      <w:pPr>
        <w:spacing w:after="0" w:line="9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2016, Lewis Kramer (Chairman), Claude R. Canizares, Thomas A. Corcoran, Vincent Pagano, Jr. and Arthur L. Simon served as members of the Audit Committee.</w:t>
      </w:r>
    </w:p>
    <w:p>
      <w:pPr>
        <w:spacing w:after="0" w:line="11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Lewis Kramer (Chairman)</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Claude R. Canizares</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Thomas A. Corcoran</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Vincent Pagano, Jr.</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Arthur L. Simon</w:t>
      </w:r>
    </w:p>
    <w:p>
      <w:pPr>
        <w:spacing w:after="0" w:line="251" w:lineRule="exact"/>
        <w:rPr>
          <w:sz w:val="20"/>
          <w:szCs w:val="20"/>
          <w:color w:val="auto"/>
        </w:rPr>
      </w:pPr>
    </w:p>
    <w:p>
      <w:pPr>
        <w:ind w:left="7820"/>
        <w:spacing w:after="0"/>
        <w:tabs>
          <w:tab w:leader="none" w:pos="932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6071870" cy="4318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-107315</wp:posOffset>
            </wp:positionV>
            <wp:extent cx="163195" cy="1543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7" w:name="page88"/>
    <w:bookmarkEnd w:id="87"/>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7"/>
        <w:spacing w:after="0"/>
        <w:rPr>
          <w:sz w:val="20"/>
          <w:szCs w:val="20"/>
          <w:color w:val="auto"/>
        </w:rPr>
      </w:pPr>
      <w:r>
        <w:rPr>
          <w:rFonts w:ascii="Arial" w:cs="Arial" w:eastAsia="Arial" w:hAnsi="Arial"/>
          <w:sz w:val="14"/>
          <w:szCs w:val="14"/>
          <w:color w:val="005C7D"/>
        </w:rPr>
        <w:t>INDEPENDENT REGISTERED PUBLIC ACCOUNTING FIRM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07187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149860</wp:posOffset>
            </wp:positionV>
            <wp:extent cx="6071870" cy="2057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071870" cy="205740"/>
                    </a:xfrm>
                    <a:prstGeom prst="rect">
                      <a:avLst/>
                    </a:prstGeom>
                    <a:noFill/>
                  </pic:spPr>
                </pic:pic>
              </a:graphicData>
            </a:graphic>
          </wp:anchor>
        </w:drawing>
      </w:r>
    </w:p>
    <w:p>
      <w:pPr>
        <w:spacing w:after="0" w:line="229" w:lineRule="exact"/>
        <w:rPr>
          <w:sz w:val="20"/>
          <w:szCs w:val="20"/>
          <w:color w:val="auto"/>
        </w:rPr>
      </w:pPr>
    </w:p>
    <w:p>
      <w:pPr>
        <w:jc w:val="center"/>
        <w:ind w:right="73"/>
        <w:spacing w:after="0"/>
        <w:rPr>
          <w:sz w:val="20"/>
          <w:szCs w:val="20"/>
          <w:color w:val="auto"/>
        </w:rPr>
      </w:pPr>
      <w:r>
        <w:rPr>
          <w:rFonts w:ascii="Arial" w:cs="Arial" w:eastAsia="Arial" w:hAnsi="Arial"/>
          <w:sz w:val="22"/>
          <w:szCs w:val="22"/>
          <w:b w:val="1"/>
          <w:bCs w:val="1"/>
          <w:color w:val="005C7D"/>
        </w:rPr>
        <w:t>INDEPENDENT REGISTERED PUBLIC ACCOUNTING FIRM FEES</w:t>
      </w:r>
    </w:p>
    <w:p>
      <w:pPr>
        <w:spacing w:after="0" w:line="206" w:lineRule="exact"/>
        <w:rPr>
          <w:sz w:val="20"/>
          <w:szCs w:val="20"/>
          <w:color w:val="auto"/>
        </w:rPr>
      </w:pPr>
    </w:p>
    <w:p>
      <w:pPr>
        <w:ind w:left="7" w:right="280"/>
        <w:spacing w:after="0" w:line="277" w:lineRule="auto"/>
        <w:rPr>
          <w:sz w:val="20"/>
          <w:szCs w:val="20"/>
          <w:color w:val="auto"/>
        </w:rPr>
      </w:pPr>
      <w:r>
        <w:rPr>
          <w:rFonts w:ascii="Arial" w:cs="Arial" w:eastAsia="Arial" w:hAnsi="Arial"/>
          <w:sz w:val="18"/>
          <w:szCs w:val="18"/>
          <w:color w:val="auto"/>
        </w:rPr>
        <w:t>For services rendered in 2016 and 2015 by PricewaterhouseCoopers LLP, our independent registered public accounting firm, we incurred the following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14605</wp:posOffset>
            </wp:positionV>
            <wp:extent cx="43649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1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60" w:type="dxa"/>
            <w:vAlign w:val="bottom"/>
            <w:tcBorders>
              <w:bottom w:val="single" w:sz="8" w:color="005C7D"/>
            </w:tcBorders>
          </w:tcPr>
          <w:p>
            <w:pPr>
              <w:spacing w:after="0"/>
              <w:rPr>
                <w:sz w:val="16"/>
                <w:szCs w:val="16"/>
                <w:color w:val="auto"/>
              </w:rPr>
            </w:pPr>
          </w:p>
        </w:tc>
        <w:tc>
          <w:tcPr>
            <w:tcW w:w="980" w:type="dxa"/>
            <w:vAlign w:val="bottom"/>
            <w:tcBorders>
              <w:bottom w:val="single" w:sz="8" w:color="005C7D"/>
            </w:tcBorders>
          </w:tcPr>
          <w:p>
            <w:pPr>
              <w:spacing w:after="0"/>
              <w:rPr>
                <w:sz w:val="16"/>
                <w:szCs w:val="16"/>
                <w:color w:val="auto"/>
              </w:rPr>
            </w:pPr>
          </w:p>
        </w:tc>
        <w:tc>
          <w:tcPr>
            <w:tcW w:w="460" w:type="dxa"/>
            <w:vAlign w:val="bottom"/>
            <w:tcBorders>
              <w:bottom w:val="single" w:sz="8" w:color="005C7D"/>
            </w:tcBorders>
          </w:tcPr>
          <w:p>
            <w:pPr>
              <w:jc w:val="right"/>
              <w:ind w:right="99"/>
              <w:spacing w:after="0"/>
              <w:rPr>
                <w:sz w:val="20"/>
                <w:szCs w:val="20"/>
                <w:color w:val="auto"/>
              </w:rPr>
            </w:pPr>
            <w:r>
              <w:rPr>
                <w:rFonts w:ascii="Arial" w:cs="Arial" w:eastAsia="Arial" w:hAnsi="Arial"/>
                <w:sz w:val="14"/>
                <w:szCs w:val="14"/>
                <w:b w:val="1"/>
                <w:bCs w:val="1"/>
                <w:color w:val="auto"/>
                <w:w w:val="85"/>
              </w:rPr>
              <w:t>Year</w:t>
            </w:r>
          </w:p>
        </w:tc>
        <w:tc>
          <w:tcPr>
            <w:tcW w:w="1080" w:type="dxa"/>
            <w:vAlign w:val="bottom"/>
            <w:tcBorders>
              <w:bottom w:val="single" w:sz="8" w:color="005C7D"/>
            </w:tcBorders>
          </w:tcPr>
          <w:p>
            <w:pPr>
              <w:spacing w:after="0"/>
              <w:rPr>
                <w:sz w:val="16"/>
                <w:szCs w:val="16"/>
                <w:color w:val="auto"/>
              </w:rPr>
            </w:pPr>
          </w:p>
        </w:tc>
      </w:tr>
      <w:tr>
        <w:trPr>
          <w:trHeight w:val="183"/>
        </w:trPr>
        <w:tc>
          <w:tcPr>
            <w:tcW w:w="1340" w:type="dxa"/>
            <w:vAlign w:val="bottom"/>
          </w:tcPr>
          <w:p>
            <w:pPr>
              <w:spacing w:after="0"/>
              <w:rPr>
                <w:sz w:val="15"/>
                <w:szCs w:val="15"/>
                <w:color w:val="auto"/>
              </w:rPr>
            </w:pPr>
          </w:p>
        </w:tc>
        <w:tc>
          <w:tcPr>
            <w:tcW w:w="1340" w:type="dxa"/>
            <w:vAlign w:val="bottom"/>
            <w:tcBorders>
              <w:bottom w:val="single" w:sz="8" w:color="005C7D"/>
            </w:tcBorders>
          </w:tcPr>
          <w:p>
            <w:pPr>
              <w:spacing w:after="0"/>
              <w:rPr>
                <w:sz w:val="15"/>
                <w:szCs w:val="15"/>
                <w:color w:val="auto"/>
              </w:rPr>
            </w:pPr>
          </w:p>
        </w:tc>
        <w:tc>
          <w:tcPr>
            <w:tcW w:w="2660" w:type="dxa"/>
            <w:vAlign w:val="bottom"/>
            <w:tcBorders>
              <w:bottom w:val="single" w:sz="8" w:color="005C7D"/>
            </w:tcBorders>
          </w:tcPr>
          <w:p>
            <w:pPr>
              <w:spacing w:after="0"/>
              <w:rPr>
                <w:sz w:val="15"/>
                <w:szCs w:val="15"/>
                <w:color w:val="auto"/>
              </w:rPr>
            </w:pPr>
          </w:p>
        </w:tc>
        <w:tc>
          <w:tcPr>
            <w:tcW w:w="360" w:type="dxa"/>
            <w:vAlign w:val="bottom"/>
            <w:tcBorders>
              <w:bottom w:val="single" w:sz="8" w:color="005C7D"/>
            </w:tcBorders>
          </w:tcPr>
          <w:p>
            <w:pPr>
              <w:spacing w:after="0"/>
              <w:rPr>
                <w:sz w:val="15"/>
                <w:szCs w:val="15"/>
                <w:color w:val="auto"/>
              </w:rPr>
            </w:pPr>
          </w:p>
        </w:tc>
        <w:tc>
          <w:tcPr>
            <w:tcW w:w="980" w:type="dxa"/>
            <w:vAlign w:val="bottom"/>
            <w:tcBorders>
              <w:bottom w:val="single" w:sz="8" w:color="005C7D"/>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005C7D"/>
            </w:tcBorders>
          </w:tcPr>
          <w:p>
            <w:pPr>
              <w:spacing w:after="0"/>
              <w:rPr>
                <w:sz w:val="15"/>
                <w:szCs w:val="15"/>
                <w:color w:val="auto"/>
              </w:rPr>
            </w:pPr>
          </w:p>
        </w:tc>
        <w:tc>
          <w:tcPr>
            <w:tcW w:w="1080" w:type="dxa"/>
            <w:vAlign w:val="bottom"/>
            <w:tcBorders>
              <w:bottom w:val="single" w:sz="8" w:color="005C7D"/>
            </w:tcBorders>
          </w:tcPr>
          <w:p>
            <w:pPr>
              <w:jc w:val="right"/>
              <w:ind w:right="474"/>
              <w:spacing w:after="0"/>
              <w:rPr>
                <w:sz w:val="20"/>
                <w:szCs w:val="20"/>
                <w:color w:val="auto"/>
              </w:rPr>
            </w:pPr>
            <w:r>
              <w:rPr>
                <w:rFonts w:ascii="Arial" w:cs="Arial" w:eastAsia="Arial" w:hAnsi="Arial"/>
                <w:sz w:val="14"/>
                <w:szCs w:val="14"/>
                <w:b w:val="1"/>
                <w:bCs w:val="1"/>
                <w:color w:val="auto"/>
              </w:rPr>
              <w:t>2015</w:t>
            </w:r>
          </w:p>
        </w:tc>
      </w:tr>
      <w:tr>
        <w:trPr>
          <w:trHeight w:val="277"/>
        </w:trPr>
        <w:tc>
          <w:tcPr>
            <w:tcW w:w="1340" w:type="dxa"/>
            <w:vAlign w:val="bottom"/>
          </w:tcPr>
          <w:p>
            <w:pPr>
              <w:spacing w:after="0"/>
              <w:rPr>
                <w:sz w:val="24"/>
                <w:szCs w:val="24"/>
                <w:color w:val="auto"/>
              </w:rPr>
            </w:pPr>
          </w:p>
        </w:tc>
        <w:tc>
          <w:tcPr>
            <w:tcW w:w="4000" w:type="dxa"/>
            <w:vAlign w:val="bottom"/>
            <w:gridSpan w:val="2"/>
            <w:shd w:val="clear" w:color="auto" w:fill="CDDAE6"/>
          </w:tcPr>
          <w:p>
            <w:pPr>
              <w:ind w:left="20"/>
              <w:spacing w:after="0" w:line="277"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360" w:type="dxa"/>
            <w:vAlign w:val="bottom"/>
            <w:shd w:val="clear" w:color="auto" w:fill="CDDAE6"/>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DDAE6"/>
          </w:tcPr>
          <w:p>
            <w:pPr>
              <w:jc w:val="right"/>
              <w:spacing w:after="0"/>
              <w:rPr>
                <w:sz w:val="20"/>
                <w:szCs w:val="20"/>
                <w:color w:val="auto"/>
              </w:rPr>
            </w:pPr>
            <w:r>
              <w:rPr>
                <w:rFonts w:ascii="Arial" w:cs="Arial" w:eastAsia="Arial" w:hAnsi="Arial"/>
                <w:sz w:val="18"/>
                <w:szCs w:val="18"/>
                <w:color w:val="auto"/>
              </w:rPr>
              <w:t>14,156,423</w:t>
            </w:r>
          </w:p>
        </w:tc>
        <w:tc>
          <w:tcPr>
            <w:tcW w:w="460" w:type="dxa"/>
            <w:vAlign w:val="bottom"/>
            <w:shd w:val="clear" w:color="auto" w:fill="CDDAE6"/>
          </w:tcPr>
          <w:p>
            <w:pPr>
              <w:jc w:val="right"/>
              <w:ind w:right="9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DDAE6"/>
          </w:tcPr>
          <w:p>
            <w:pPr>
              <w:jc w:val="right"/>
              <w:ind w:right="14"/>
              <w:spacing w:after="0"/>
              <w:rPr>
                <w:sz w:val="20"/>
                <w:szCs w:val="20"/>
                <w:color w:val="auto"/>
              </w:rPr>
            </w:pPr>
            <w:r>
              <w:rPr>
                <w:rFonts w:ascii="Arial" w:cs="Arial" w:eastAsia="Arial" w:hAnsi="Arial"/>
                <w:sz w:val="18"/>
                <w:szCs w:val="18"/>
                <w:color w:val="auto"/>
              </w:rPr>
              <w:t>16,874,195</w:t>
            </w:r>
          </w:p>
        </w:tc>
      </w:tr>
      <w:tr>
        <w:trPr>
          <w:trHeight w:val="284"/>
        </w:trPr>
        <w:tc>
          <w:tcPr>
            <w:tcW w:w="1340" w:type="dxa"/>
            <w:vAlign w:val="bottom"/>
          </w:tcPr>
          <w:p>
            <w:pPr>
              <w:spacing w:after="0"/>
              <w:rPr>
                <w:sz w:val="24"/>
                <w:szCs w:val="24"/>
                <w:color w:val="auto"/>
              </w:rPr>
            </w:pPr>
          </w:p>
        </w:tc>
        <w:tc>
          <w:tcPr>
            <w:tcW w:w="4000" w:type="dxa"/>
            <w:vAlign w:val="bottom"/>
            <w:gridSpan w:val="2"/>
          </w:tcPr>
          <w:p>
            <w:pPr>
              <w:ind w:left="20"/>
              <w:spacing w:after="0" w:line="284"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2,030,231</w:t>
            </w:r>
          </w:p>
        </w:tc>
        <w:tc>
          <w:tcPr>
            <w:tcW w:w="460" w:type="dxa"/>
            <w:vAlign w:val="bottom"/>
          </w:tcPr>
          <w:p>
            <w:pPr>
              <w:spacing w:after="0"/>
              <w:rPr>
                <w:sz w:val="24"/>
                <w:szCs w:val="24"/>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6,151,239</w:t>
            </w:r>
          </w:p>
        </w:tc>
      </w:tr>
      <w:tr>
        <w:trPr>
          <w:trHeight w:val="284"/>
        </w:trPr>
        <w:tc>
          <w:tcPr>
            <w:tcW w:w="1340" w:type="dxa"/>
            <w:vAlign w:val="bottom"/>
          </w:tcPr>
          <w:p>
            <w:pPr>
              <w:spacing w:after="0"/>
              <w:rPr>
                <w:sz w:val="24"/>
                <w:szCs w:val="24"/>
                <w:color w:val="auto"/>
              </w:rPr>
            </w:pPr>
          </w:p>
        </w:tc>
        <w:tc>
          <w:tcPr>
            <w:tcW w:w="4000" w:type="dxa"/>
            <w:vAlign w:val="bottom"/>
            <w:gridSpan w:val="2"/>
            <w:shd w:val="clear" w:color="auto" w:fill="CDDAE6"/>
          </w:tcPr>
          <w:p>
            <w:pPr>
              <w:ind w:left="20"/>
              <w:spacing w:after="0" w:line="284"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360" w:type="dxa"/>
            <w:vAlign w:val="bottom"/>
            <w:shd w:val="clear" w:color="auto" w:fill="CDDAE6"/>
          </w:tcPr>
          <w:p>
            <w:pPr>
              <w:spacing w:after="0"/>
              <w:rPr>
                <w:sz w:val="24"/>
                <w:szCs w:val="24"/>
                <w:color w:val="auto"/>
              </w:rPr>
            </w:pPr>
          </w:p>
        </w:tc>
        <w:tc>
          <w:tcPr>
            <w:tcW w:w="980" w:type="dxa"/>
            <w:vAlign w:val="bottom"/>
            <w:shd w:val="clear" w:color="auto" w:fill="CDDAE6"/>
          </w:tcPr>
          <w:p>
            <w:pPr>
              <w:jc w:val="right"/>
              <w:spacing w:after="0"/>
              <w:rPr>
                <w:sz w:val="20"/>
                <w:szCs w:val="20"/>
                <w:color w:val="auto"/>
              </w:rPr>
            </w:pPr>
            <w:r>
              <w:rPr>
                <w:rFonts w:ascii="Arial" w:cs="Arial" w:eastAsia="Arial" w:hAnsi="Arial"/>
                <w:sz w:val="18"/>
                <w:szCs w:val="18"/>
                <w:color w:val="auto"/>
              </w:rPr>
              <w:t>5,977,254</w:t>
            </w:r>
          </w:p>
        </w:tc>
        <w:tc>
          <w:tcPr>
            <w:tcW w:w="460" w:type="dxa"/>
            <w:vAlign w:val="bottom"/>
            <w:shd w:val="clear" w:color="auto" w:fill="CDDAE6"/>
          </w:tcPr>
          <w:p>
            <w:pPr>
              <w:spacing w:after="0"/>
              <w:rPr>
                <w:sz w:val="24"/>
                <w:szCs w:val="24"/>
                <w:color w:val="auto"/>
              </w:rPr>
            </w:pPr>
          </w:p>
        </w:tc>
        <w:tc>
          <w:tcPr>
            <w:tcW w:w="1080" w:type="dxa"/>
            <w:vAlign w:val="bottom"/>
            <w:shd w:val="clear" w:color="auto" w:fill="CDDAE6"/>
          </w:tcPr>
          <w:p>
            <w:pPr>
              <w:jc w:val="right"/>
              <w:ind w:right="14"/>
              <w:spacing w:after="0"/>
              <w:rPr>
                <w:sz w:val="20"/>
                <w:szCs w:val="20"/>
                <w:color w:val="auto"/>
              </w:rPr>
            </w:pPr>
            <w:r>
              <w:rPr>
                <w:rFonts w:ascii="Arial" w:cs="Arial" w:eastAsia="Arial" w:hAnsi="Arial"/>
                <w:sz w:val="18"/>
                <w:szCs w:val="18"/>
                <w:color w:val="auto"/>
              </w:rPr>
              <w:t>7,005,589</w:t>
            </w:r>
          </w:p>
        </w:tc>
      </w:tr>
      <w:tr>
        <w:trPr>
          <w:trHeight w:val="284"/>
        </w:trPr>
        <w:tc>
          <w:tcPr>
            <w:tcW w:w="1340" w:type="dxa"/>
            <w:vAlign w:val="bottom"/>
          </w:tcPr>
          <w:p>
            <w:pPr>
              <w:spacing w:after="0"/>
              <w:rPr>
                <w:sz w:val="24"/>
                <w:szCs w:val="24"/>
                <w:color w:val="auto"/>
              </w:rPr>
            </w:pPr>
          </w:p>
        </w:tc>
        <w:tc>
          <w:tcPr>
            <w:tcW w:w="4000" w:type="dxa"/>
            <w:vAlign w:val="bottom"/>
            <w:tcBorders>
              <w:bottom w:val="single" w:sz="8" w:color="005C7D"/>
            </w:tcBorders>
            <w:gridSpan w:val="2"/>
          </w:tcPr>
          <w:p>
            <w:pPr>
              <w:ind w:left="20"/>
              <w:spacing w:after="0" w:line="284" w:lineRule="exact"/>
              <w:rPr>
                <w:sz w:val="20"/>
                <w:szCs w:val="20"/>
                <w:color w:val="auto"/>
              </w:rPr>
            </w:pPr>
            <w:r>
              <w:rPr>
                <w:rFonts w:ascii="Arial" w:cs="Arial" w:eastAsia="Arial" w:hAnsi="Arial"/>
                <w:sz w:val="18"/>
                <w:szCs w:val="18"/>
                <w:color w:val="auto"/>
              </w:rPr>
              <w:t>All Other Fees</w:t>
            </w:r>
            <w:r>
              <w:rPr>
                <w:rFonts w:ascii="Arial" w:cs="Arial" w:eastAsia="Arial" w:hAnsi="Arial"/>
                <w:sz w:val="29"/>
                <w:szCs w:val="29"/>
                <w:color w:val="auto"/>
                <w:vertAlign w:val="superscript"/>
              </w:rPr>
              <w:t>(4)</w:t>
            </w:r>
          </w:p>
        </w:tc>
        <w:tc>
          <w:tcPr>
            <w:tcW w:w="360" w:type="dxa"/>
            <w:vAlign w:val="bottom"/>
            <w:tcBorders>
              <w:bottom w:val="single" w:sz="8" w:color="005C7D"/>
            </w:tcBorders>
          </w:tcPr>
          <w:p>
            <w:pPr>
              <w:spacing w:after="0"/>
              <w:rPr>
                <w:sz w:val="24"/>
                <w:szCs w:val="24"/>
                <w:color w:val="auto"/>
              </w:rPr>
            </w:pPr>
          </w:p>
        </w:tc>
        <w:tc>
          <w:tcPr>
            <w:tcW w:w="980" w:type="dxa"/>
            <w:vAlign w:val="bottom"/>
            <w:tcBorders>
              <w:bottom w:val="single" w:sz="8" w:color="005C7D"/>
            </w:tcBorders>
          </w:tcPr>
          <w:p>
            <w:pPr>
              <w:jc w:val="right"/>
              <w:spacing w:after="0"/>
              <w:rPr>
                <w:sz w:val="20"/>
                <w:szCs w:val="20"/>
                <w:color w:val="auto"/>
              </w:rPr>
            </w:pPr>
            <w:r>
              <w:rPr>
                <w:rFonts w:ascii="Arial" w:cs="Arial" w:eastAsia="Arial" w:hAnsi="Arial"/>
                <w:sz w:val="18"/>
                <w:szCs w:val="18"/>
                <w:color w:val="auto"/>
              </w:rPr>
              <w:t>62,200</w:t>
            </w:r>
          </w:p>
        </w:tc>
        <w:tc>
          <w:tcPr>
            <w:tcW w:w="460" w:type="dxa"/>
            <w:vAlign w:val="bottom"/>
            <w:tcBorders>
              <w:bottom w:val="single" w:sz="8" w:color="005C7D"/>
            </w:tcBorders>
          </w:tcPr>
          <w:p>
            <w:pPr>
              <w:spacing w:after="0"/>
              <w:rPr>
                <w:sz w:val="24"/>
                <w:szCs w:val="24"/>
                <w:color w:val="auto"/>
              </w:rPr>
            </w:pPr>
          </w:p>
        </w:tc>
        <w:tc>
          <w:tcPr>
            <w:tcW w:w="1080" w:type="dxa"/>
            <w:vAlign w:val="bottom"/>
            <w:tcBorders>
              <w:bottom w:val="single" w:sz="8" w:color="005C7D"/>
            </w:tcBorders>
          </w:tcPr>
          <w:p>
            <w:pPr>
              <w:jc w:val="right"/>
              <w:ind w:right="14"/>
              <w:spacing w:after="0"/>
              <w:rPr>
                <w:sz w:val="20"/>
                <w:szCs w:val="20"/>
                <w:color w:val="auto"/>
              </w:rPr>
            </w:pPr>
            <w:r>
              <w:rPr>
                <w:rFonts w:ascii="Arial" w:cs="Arial" w:eastAsia="Arial" w:hAnsi="Arial"/>
                <w:sz w:val="18"/>
                <w:szCs w:val="18"/>
                <w:color w:val="auto"/>
              </w:rPr>
              <w:t>72,588</w:t>
            </w:r>
          </w:p>
        </w:tc>
      </w:tr>
      <w:tr>
        <w:trPr>
          <w:trHeight w:val="169"/>
        </w:trPr>
        <w:tc>
          <w:tcPr>
            <w:tcW w:w="1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98" w:lineRule="exact"/>
        <w:rPr>
          <w:sz w:val="20"/>
          <w:szCs w:val="20"/>
          <w:color w:val="auto"/>
        </w:rPr>
      </w:pPr>
    </w:p>
    <w:p>
      <w:pPr>
        <w:ind w:left="347" w:right="60" w:hanging="347"/>
        <w:spacing w:after="0" w:line="294" w:lineRule="auto"/>
        <w:tabs>
          <w:tab w:leader="none" w:pos="347" w:val="left"/>
        </w:tabs>
        <w:numPr>
          <w:ilvl w:val="0"/>
          <w:numId w:val="91"/>
        </w:numPr>
        <w:rPr>
          <w:rFonts w:ascii="Arial" w:cs="Arial" w:eastAsia="Arial" w:hAnsi="Arial"/>
          <w:sz w:val="15"/>
          <w:szCs w:val="15"/>
          <w:color w:val="auto"/>
        </w:rPr>
      </w:pPr>
      <w:r>
        <w:rPr>
          <w:rFonts w:ascii="Arial" w:cs="Arial" w:eastAsia="Arial" w:hAnsi="Arial"/>
          <w:sz w:val="15"/>
          <w:szCs w:val="15"/>
          <w:color w:val="auto"/>
        </w:rPr>
        <w:t>Represents fees incurred for the annual audits of the consolidated financial statements and internal control over financial reporting, quarterly reviews of interim financial statements and statutory audits of foreign subsidiaries. Audit fees for 2015 include additional fees approved subsequent to the filing of our 2016 proxy statement, which relate to the audit of our 2015 consolidated financial statements.</w:t>
      </w:r>
    </w:p>
    <w:p>
      <w:pPr>
        <w:ind w:left="347" w:right="20" w:hanging="347"/>
        <w:spacing w:after="0" w:line="281" w:lineRule="auto"/>
        <w:tabs>
          <w:tab w:leader="none" w:pos="347"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Represents fees incurred for: (1) employee benefit plan audits, which include fees paid by both the Company and the employee benefit plans, and (2) for 2015, the stand-alone audit of the financial statements for National Security Solutions.</w:t>
      </w:r>
    </w:p>
    <w:p>
      <w:pPr>
        <w:spacing w:after="0" w:line="1" w:lineRule="exact"/>
        <w:rPr>
          <w:rFonts w:ascii="Arial" w:cs="Arial" w:eastAsia="Arial" w:hAnsi="Arial"/>
          <w:sz w:val="16"/>
          <w:szCs w:val="16"/>
          <w:color w:val="auto"/>
        </w:rPr>
      </w:pPr>
    </w:p>
    <w:p>
      <w:pPr>
        <w:jc w:val="both"/>
        <w:ind w:left="347" w:right="80" w:hanging="347"/>
        <w:spacing w:after="0" w:line="273" w:lineRule="auto"/>
        <w:tabs>
          <w:tab w:leader="none" w:pos="347"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Represents fees incurred for: (a) U.S. and foreign income tax compliance, (b) expatriate tax services, (c) state tax planning services and (d) acquisition, divestiture and restructuring related tax services, including tax consulting to the Company in 2016 and 2015 in connection with the acquisitions of MacDonald Humfrey (Automation) Limited and CTC Aviation Group, respectively. Tax fees related to tax compliance in 2016 and 2015 were $1,780,558 and $1,930,734, respectively.</w:t>
      </w:r>
    </w:p>
    <w:p>
      <w:pPr>
        <w:ind w:left="347" w:hanging="347"/>
        <w:spacing w:after="0"/>
        <w:tabs>
          <w:tab w:leader="none" w:pos="347" w:val="left"/>
        </w:tabs>
        <w:numPr>
          <w:ilvl w:val="0"/>
          <w:numId w:val="91"/>
        </w:numPr>
        <w:rPr>
          <w:rFonts w:ascii="Arial" w:cs="Arial" w:eastAsia="Arial" w:hAnsi="Arial"/>
          <w:sz w:val="15"/>
          <w:szCs w:val="15"/>
          <w:color w:val="auto"/>
        </w:rPr>
      </w:pPr>
      <w:r>
        <w:rPr>
          <w:rFonts w:ascii="Arial" w:cs="Arial" w:eastAsia="Arial" w:hAnsi="Arial"/>
          <w:sz w:val="15"/>
          <w:szCs w:val="15"/>
          <w:color w:val="auto"/>
        </w:rPr>
        <w:t>Represents consulting services related to agreed upon procedure services related to executive compensation in both 2016 and 2015.</w:t>
      </w:r>
    </w:p>
    <w:p>
      <w:pPr>
        <w:spacing w:after="0" w:line="188" w:lineRule="exact"/>
        <w:rPr>
          <w:sz w:val="20"/>
          <w:szCs w:val="20"/>
          <w:color w:val="auto"/>
        </w:rPr>
      </w:pPr>
    </w:p>
    <w:p>
      <w:pPr>
        <w:ind w:left="7" w:right="160"/>
        <w:spacing w:after="0" w:line="342" w:lineRule="auto"/>
        <w:rPr>
          <w:sz w:val="20"/>
          <w:szCs w:val="20"/>
          <w:color w:val="auto"/>
        </w:rPr>
      </w:pPr>
      <w:r>
        <w:rPr>
          <w:rFonts w:ascii="Arial" w:cs="Arial" w:eastAsia="Arial" w:hAnsi="Arial"/>
          <w:sz w:val="16"/>
          <w:szCs w:val="16"/>
          <w:color w:val="auto"/>
        </w:rPr>
        <w:t>The Audit Committee has considered and determined that the provision of the services covered under the captions “Audit-Related Fees,” “Tax Fees” and “All Other Fees” is compatible with maintaining the registered public accounting firm’s independence.</w:t>
      </w:r>
    </w:p>
    <w:p>
      <w:pPr>
        <w:spacing w:after="0" w:line="70" w:lineRule="exact"/>
        <w:rPr>
          <w:sz w:val="20"/>
          <w:szCs w:val="20"/>
          <w:color w:val="auto"/>
        </w:rPr>
      </w:pPr>
    </w:p>
    <w:p>
      <w:pPr>
        <w:ind w:left="7"/>
        <w:spacing w:after="0" w:line="286" w:lineRule="auto"/>
        <w:rPr>
          <w:sz w:val="20"/>
          <w:szCs w:val="20"/>
          <w:color w:val="auto"/>
        </w:rPr>
      </w:pPr>
      <w:r>
        <w:rPr>
          <w:rFonts w:ascii="Arial" w:cs="Arial" w:eastAsia="Arial" w:hAnsi="Arial"/>
          <w:sz w:val="16"/>
          <w:szCs w:val="16"/>
          <w:color w:val="auto"/>
        </w:rPr>
        <w:t>In accordance with its charter, the Audit Committee has established pre-approval policies with respect to annual audit, other audit and audit related services and permitted non-audit services to be provided by our independent registered public accounting firm and related fees. The Audit Committee has pre-approved detailed, specific services. Fees related to the annual audits of our consolidated financial statements, including the Section 404 attestation, are specifically approved by the Audit Committee on an annual basis. All fees for pre-approved other audit and audit related services are pre- approved annually or more frequently, if required, up to a maximum amount equal to 50% of the annual audit fee. All fees for pre-approved permitted non-audit services are pre-approved annually or more frequently, if required, up to a maximum amount equal to 50% of the fees for audit and audit related services as reported in our most recently filed proxy statement with the SEC. Fees for permitted non-audit services that exceed 50% of the fees for audit and audit related services as reported in our most recently filed proxy statement with the SEC, are approved by the Audit Committee as required. The Audit Committee also pre-approves any proposed engagement to provide services not included in the approved list of audit and permitted non-audit services and for fees in excess of amounts previously pre-approved. One or more designated members of the Audit Committee may approve these services and related fees and expenses on behalf of the Audit Committee, provided that such approval is reported to the Audit Committee at the next regularly scheduled meeting.</w:t>
      </w:r>
    </w:p>
    <w:p>
      <w:pPr>
        <w:spacing w:after="0" w:line="121" w:lineRule="exact"/>
        <w:rPr>
          <w:sz w:val="20"/>
          <w:szCs w:val="20"/>
          <w:color w:val="auto"/>
        </w:rPr>
      </w:pPr>
    </w:p>
    <w:p>
      <w:pPr>
        <w:ind w:left="7" w:right="400"/>
        <w:spacing w:after="0" w:line="277" w:lineRule="auto"/>
        <w:rPr>
          <w:sz w:val="20"/>
          <w:szCs w:val="20"/>
          <w:color w:val="auto"/>
        </w:rPr>
      </w:pPr>
      <w:r>
        <w:rPr>
          <w:rFonts w:ascii="Arial" w:cs="Arial" w:eastAsia="Arial" w:hAnsi="Arial"/>
          <w:sz w:val="18"/>
          <w:szCs w:val="18"/>
          <w:color w:val="auto"/>
        </w:rPr>
        <w:t>All of the services covered under the captions “Audit Fees,” “Audit-Related Fees,” “Tax Fees” and “All Other Fees” were pre-approved by the Audit Committee.</w:t>
      </w:r>
    </w:p>
    <w:p>
      <w:pPr>
        <w:spacing w:after="0" w:line="240" w:lineRule="exact"/>
        <w:rPr>
          <w:sz w:val="20"/>
          <w:szCs w:val="20"/>
          <w:color w:val="auto"/>
        </w:rPr>
      </w:pPr>
    </w:p>
    <w:p>
      <w:pPr>
        <w:ind w:left="47"/>
        <w:spacing w:after="0"/>
        <w:tabs>
          <w:tab w:leader="none" w:pos="666" w:val="left"/>
        </w:tabs>
        <w:rPr>
          <w:sz w:val="20"/>
          <w:szCs w:val="20"/>
          <w:color w:val="auto"/>
        </w:rPr>
      </w:pPr>
      <w:r>
        <w:rPr>
          <w:rFonts w:ascii="Arial" w:cs="Arial" w:eastAsia="Arial" w:hAnsi="Arial"/>
          <w:sz w:val="18"/>
          <w:szCs w:val="18"/>
          <w:color w:val="005C7D"/>
        </w:rPr>
        <w:t>82</w:t>
      </w:r>
      <w:r>
        <w:rPr>
          <w:sz w:val="20"/>
          <w:szCs w:val="20"/>
          <w:color w:val="auto"/>
        </w:rPr>
        <w:tab/>
      </w: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382270</wp:posOffset>
            </wp:positionV>
            <wp:extent cx="6071870" cy="4318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-106045</wp:posOffset>
            </wp:positionV>
            <wp:extent cx="154305" cy="1543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27"/>
          </w:cols>
          <w:pgMar w:left="1173" w:top="279" w:right="119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149860</wp:posOffset>
            </wp:positionV>
            <wp:extent cx="6071870" cy="2057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071870" cy="205740"/>
                    </a:xfrm>
                    <a:prstGeom prst="rect">
                      <a:avLst/>
                    </a:prstGeom>
                    <a:noFill/>
                  </pic:spPr>
                </pic:pic>
              </a:graphicData>
            </a:graphic>
          </wp:anchor>
        </w:drawing>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005C7D"/>
        </w:rPr>
        <w:t>COMPENSATION COMMITTEE INTERLOCKS AND INSIDER PARTICIPATION</w:t>
      </w:r>
    </w:p>
    <w:p>
      <w:pPr>
        <w:spacing w:after="0" w:line="20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None of the individuals who served on our Compensation Committee during the 2016 fiscal year has served us or any of our subsidiaries as an officer or employee or had any relationships requiring disclosure under Item 404 of Regulation S-K during the 2016 fiscal year. None of our executive officers has served on the board of directors or compensation committee of any other entity that has or has had one or more executive officers who served as a member of our Board of Directors or our Compensation Committee during the 2016 fiscal year.</w:t>
      </w:r>
    </w:p>
    <w:p>
      <w:pPr>
        <w:spacing w:after="0" w:line="229" w:lineRule="exact"/>
        <w:rPr>
          <w:sz w:val="20"/>
          <w:szCs w:val="20"/>
          <w:color w:val="auto"/>
        </w:rPr>
      </w:pPr>
    </w:p>
    <w:p>
      <w:pPr>
        <w:ind w:left="7820"/>
        <w:spacing w:after="0"/>
        <w:tabs>
          <w:tab w:leader="none" w:pos="932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6071870" cy="4318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-107315</wp:posOffset>
            </wp:positionV>
            <wp:extent cx="163195" cy="1543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005C7D"/>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149860</wp:posOffset>
            </wp:positionV>
            <wp:extent cx="6071870" cy="2057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071870" cy="205740"/>
                    </a:xfrm>
                    <a:prstGeom prst="rect">
                      <a:avLst/>
                    </a:prstGeom>
                    <a:noFill/>
                  </pic:spPr>
                </pic:pic>
              </a:graphicData>
            </a:graphic>
          </wp:anchor>
        </w:drawing>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005C7D"/>
        </w:rPr>
        <w:t>CERTAIN RELATIONSHIPS AND RELATED TRANSACTIONS</w:t>
      </w:r>
    </w:p>
    <w:p>
      <w:pPr>
        <w:spacing w:after="0" w:line="20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Board of Directors has adopted a written policy and written procedures for the review, approval and monitoring of transactions involving L3 and “related persons.” For the purposes of the policy, “related persons” include executive officers, directors and director nominees or their immediate family members, or shareholders owning five percent or greater of our outstanding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related person transaction policy requires:</w:t>
      </w:r>
    </w:p>
    <w:p>
      <w:pPr>
        <w:spacing w:after="0" w:line="117" w:lineRule="exact"/>
        <w:rPr>
          <w:sz w:val="20"/>
          <w:szCs w:val="20"/>
          <w:color w:val="auto"/>
        </w:rPr>
      </w:pPr>
    </w:p>
    <w:p>
      <w:pPr>
        <w:ind w:left="700" w:right="180" w:hanging="356"/>
        <w:spacing w:after="0" w:line="302" w:lineRule="auto"/>
        <w:tabs>
          <w:tab w:leader="none" w:pos="700" w:val="left"/>
        </w:tabs>
        <w:numPr>
          <w:ilvl w:val="0"/>
          <w:numId w:val="92"/>
        </w:numPr>
        <w:rPr>
          <w:rFonts w:ascii="Arial" w:cs="Arial" w:eastAsia="Arial" w:hAnsi="Arial"/>
          <w:sz w:val="16"/>
          <w:szCs w:val="16"/>
          <w:color w:val="005C7D"/>
        </w:rPr>
      </w:pPr>
      <w:r>
        <w:rPr>
          <w:rFonts w:ascii="Arial" w:cs="Arial" w:eastAsia="Arial" w:hAnsi="Arial"/>
          <w:sz w:val="16"/>
          <w:szCs w:val="16"/>
          <w:color w:val="auto"/>
        </w:rPr>
        <w:t>that any transaction in which a related person has a material direct or indirect interest and which exceeds $120,000, such transaction referred to as a “related person” transaction, and any material amendment or modification to a related person transaction, be reviewed and approved or ratified by any committee of the Board of Directors composed solely of independent directors who are disinterested or by the disinterested members of the Board of Directors; and</w:t>
      </w:r>
    </w:p>
    <w:p>
      <w:pPr>
        <w:spacing w:after="0" w:line="46" w:lineRule="exact"/>
        <w:rPr>
          <w:rFonts w:ascii="Arial" w:cs="Arial" w:eastAsia="Arial" w:hAnsi="Arial"/>
          <w:sz w:val="16"/>
          <w:szCs w:val="16"/>
          <w:color w:val="005C7D"/>
        </w:rPr>
      </w:pPr>
    </w:p>
    <w:p>
      <w:pPr>
        <w:ind w:left="700" w:right="40" w:hanging="356"/>
        <w:spacing w:after="0" w:line="264" w:lineRule="auto"/>
        <w:tabs>
          <w:tab w:leader="none" w:pos="700" w:val="left"/>
        </w:tabs>
        <w:numPr>
          <w:ilvl w:val="0"/>
          <w:numId w:val="92"/>
        </w:numPr>
        <w:rPr>
          <w:rFonts w:ascii="Arial" w:cs="Arial" w:eastAsia="Arial" w:hAnsi="Arial"/>
          <w:sz w:val="18"/>
          <w:szCs w:val="18"/>
          <w:color w:val="005C7D"/>
        </w:rPr>
      </w:pPr>
      <w:r>
        <w:rPr>
          <w:rFonts w:ascii="Arial" w:cs="Arial" w:eastAsia="Arial" w:hAnsi="Arial"/>
          <w:sz w:val="18"/>
          <w:szCs w:val="18"/>
          <w:color w:val="auto"/>
        </w:rPr>
        <w:t>that any employment relationship or transaction involving an executive officer and any related compensation must be approved by the Compensation Committee of the Board of Directors or recommended by the Compensation Committee to the Board of Directors for its approval.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review and approval or ratification of a related person transaction:</w:t>
      </w:r>
    </w:p>
    <w:p>
      <w:pPr>
        <w:spacing w:after="0" w:line="117" w:lineRule="exact"/>
        <w:rPr>
          <w:sz w:val="20"/>
          <w:szCs w:val="20"/>
          <w:color w:val="auto"/>
        </w:rPr>
      </w:pPr>
    </w:p>
    <w:p>
      <w:pPr>
        <w:ind w:left="700" w:hanging="356"/>
        <w:spacing w:after="0" w:line="312" w:lineRule="auto"/>
        <w:tabs>
          <w:tab w:leader="none" w:pos="700" w:val="left"/>
        </w:tabs>
        <w:numPr>
          <w:ilvl w:val="0"/>
          <w:numId w:val="93"/>
        </w:numPr>
        <w:rPr>
          <w:rFonts w:ascii="Arial" w:cs="Arial" w:eastAsia="Arial" w:hAnsi="Arial"/>
          <w:sz w:val="16"/>
          <w:szCs w:val="16"/>
          <w:color w:val="005C7D"/>
        </w:rPr>
      </w:pPr>
      <w:r>
        <w:rPr>
          <w:rFonts w:ascii="Arial" w:cs="Arial" w:eastAsia="Arial" w:hAnsi="Arial"/>
          <w:sz w:val="16"/>
          <w:szCs w:val="16"/>
          <w:color w:val="auto"/>
        </w:rPr>
        <w:t>management must disclose to the Compensation Committee or disinterested directors, as applicable, the material terms of the related person transaction, including the approximate dollar value of the amount involved in the transaction, and all the material facts as to the related person’s direct or indirect interest in, or relationship to, the related person transaction;</w:t>
      </w:r>
    </w:p>
    <w:p>
      <w:pPr>
        <w:spacing w:after="0" w:line="38" w:lineRule="exact"/>
        <w:rPr>
          <w:rFonts w:ascii="Arial" w:cs="Arial" w:eastAsia="Arial" w:hAnsi="Arial"/>
          <w:sz w:val="16"/>
          <w:szCs w:val="16"/>
          <w:color w:val="005C7D"/>
        </w:rPr>
      </w:pPr>
    </w:p>
    <w:p>
      <w:pPr>
        <w:jc w:val="both"/>
        <w:ind w:left="700" w:right="140" w:hanging="356"/>
        <w:spacing w:after="0" w:line="264" w:lineRule="auto"/>
        <w:tabs>
          <w:tab w:leader="none" w:pos="700" w:val="left"/>
        </w:tabs>
        <w:numPr>
          <w:ilvl w:val="0"/>
          <w:numId w:val="93"/>
        </w:numPr>
        <w:rPr>
          <w:rFonts w:ascii="Arial" w:cs="Arial" w:eastAsia="Arial" w:hAnsi="Arial"/>
          <w:sz w:val="18"/>
          <w:szCs w:val="18"/>
          <w:color w:val="005C7D"/>
        </w:rPr>
      </w:pPr>
      <w:r>
        <w:rPr>
          <w:rFonts w:ascii="Arial" w:cs="Arial" w:eastAsia="Arial" w:hAnsi="Arial"/>
          <w:sz w:val="18"/>
          <w:szCs w:val="18"/>
          <w:color w:val="auto"/>
        </w:rPr>
        <w:t>management must advise the Compensation Committee or disinterested directors, as applicable, as to whether the related person transaction complies with the terms of our agreements governing our material outstanding indebtedness that limit or restrict our ability to enter into a related person transaction;</w:t>
      </w:r>
    </w:p>
    <w:p>
      <w:pPr>
        <w:spacing w:after="0" w:line="73" w:lineRule="exact"/>
        <w:rPr>
          <w:rFonts w:ascii="Arial" w:cs="Arial" w:eastAsia="Arial" w:hAnsi="Arial"/>
          <w:sz w:val="18"/>
          <w:szCs w:val="18"/>
          <w:color w:val="005C7D"/>
        </w:rPr>
      </w:pPr>
    </w:p>
    <w:p>
      <w:pPr>
        <w:jc w:val="both"/>
        <w:ind w:left="700" w:right="80" w:hanging="356"/>
        <w:spacing w:after="0" w:line="286" w:lineRule="auto"/>
        <w:tabs>
          <w:tab w:leader="none" w:pos="700" w:val="left"/>
        </w:tabs>
        <w:numPr>
          <w:ilvl w:val="0"/>
          <w:numId w:val="93"/>
        </w:numPr>
        <w:rPr>
          <w:rFonts w:ascii="Arial" w:cs="Arial" w:eastAsia="Arial" w:hAnsi="Arial"/>
          <w:sz w:val="17"/>
          <w:szCs w:val="17"/>
          <w:color w:val="005C7D"/>
        </w:rPr>
      </w:pPr>
      <w:r>
        <w:rPr>
          <w:rFonts w:ascii="Arial" w:cs="Arial" w:eastAsia="Arial" w:hAnsi="Arial"/>
          <w:sz w:val="17"/>
          <w:szCs w:val="17"/>
          <w:color w:val="auto"/>
        </w:rPr>
        <w:t>management must advise the Compensation Committee or disinterested directors, as applicable, as to whether the related person transaction will be required to be disclosed in our SEC filings. To the extent required to be disclosed, management must ensure that the related person transaction is disclosed in accordance with SEC rules; and</w:t>
      </w:r>
    </w:p>
    <w:p>
      <w:pPr>
        <w:spacing w:after="0" w:line="57" w:lineRule="exact"/>
        <w:rPr>
          <w:rFonts w:ascii="Arial" w:cs="Arial" w:eastAsia="Arial" w:hAnsi="Arial"/>
          <w:sz w:val="17"/>
          <w:szCs w:val="17"/>
          <w:color w:val="005C7D"/>
        </w:rPr>
      </w:pPr>
    </w:p>
    <w:p>
      <w:pPr>
        <w:ind w:left="700" w:right="140" w:hanging="356"/>
        <w:spacing w:after="0" w:line="342" w:lineRule="auto"/>
        <w:tabs>
          <w:tab w:leader="none" w:pos="700" w:val="left"/>
        </w:tabs>
        <w:numPr>
          <w:ilvl w:val="0"/>
          <w:numId w:val="93"/>
        </w:numPr>
        <w:rPr>
          <w:rFonts w:ascii="Arial" w:cs="Arial" w:eastAsia="Arial" w:hAnsi="Arial"/>
          <w:sz w:val="16"/>
          <w:szCs w:val="16"/>
          <w:color w:val="005C7D"/>
        </w:rPr>
      </w:pPr>
      <w:r>
        <w:rPr>
          <w:rFonts w:ascii="Arial" w:cs="Arial" w:eastAsia="Arial" w:hAnsi="Arial"/>
          <w:sz w:val="16"/>
          <w:szCs w:val="16"/>
          <w:color w:val="auto"/>
        </w:rPr>
        <w:t>management must advise the Compensation Committee or disinterested directors, as applicable, as to whether the related person transaction constitutes a “personal loan” for purposes of Section 402 of the Sarbanes-Oxley Act of 2002.</w:t>
      </w:r>
    </w:p>
    <w:p>
      <w:pPr>
        <w:spacing w:after="0" w:line="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addition, the related person transaction policy provides that the Compensation Committee, in connection with any approval or ratification of a related person transaction involving a non-employee director or director nominee, should consider whether such transaction would compromise the director or director nominee’s status as an “independent,” “outside,” or “non-employee” director, as applicable, under the rules and regulations of the SEC, NYSE and the Internal Revenue Code.</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2016, we did not enter into any transactions with related persons that required review, approval or ratification under the Board of Directors’ related person transaction policy.</w:t>
      </w:r>
    </w:p>
    <w:p>
      <w:pPr>
        <w:spacing w:after="0" w:line="240"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005C7D"/>
        </w:rPr>
        <w:t>84</w:t>
      </w:r>
      <w:r>
        <w:rPr>
          <w:sz w:val="20"/>
          <w:szCs w:val="20"/>
          <w:color w:val="auto"/>
        </w:rPr>
        <w:tab/>
      </w: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6071870" cy="4318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-106045</wp:posOffset>
            </wp:positionV>
            <wp:extent cx="154305" cy="1543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0" w:name="page91"/>
    <w:bookmarkEnd w:id="90"/>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6447"/>
        <w:spacing w:after="0"/>
        <w:rPr>
          <w:sz w:val="20"/>
          <w:szCs w:val="20"/>
          <w:color w:val="auto"/>
        </w:rPr>
      </w:pPr>
      <w:r>
        <w:rPr>
          <w:rFonts w:ascii="Arial" w:cs="Arial" w:eastAsia="Arial" w:hAnsi="Arial"/>
          <w:sz w:val="14"/>
          <w:szCs w:val="14"/>
          <w:color w:val="005C7D"/>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07187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149860</wp:posOffset>
            </wp:positionV>
            <wp:extent cx="6071870" cy="2057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071870" cy="205740"/>
                    </a:xfrm>
                    <a:prstGeom prst="rect">
                      <a:avLst/>
                    </a:prstGeom>
                    <a:noFill/>
                  </pic:spPr>
                </pic:pic>
              </a:graphicData>
            </a:graphic>
          </wp:anchor>
        </w:drawing>
      </w:r>
    </w:p>
    <w:p>
      <w:pPr>
        <w:spacing w:after="0" w:line="229" w:lineRule="exact"/>
        <w:rPr>
          <w:sz w:val="20"/>
          <w:szCs w:val="20"/>
          <w:color w:val="auto"/>
        </w:rPr>
      </w:pPr>
    </w:p>
    <w:p>
      <w:pPr>
        <w:jc w:val="center"/>
        <w:ind w:right="113"/>
        <w:spacing w:after="0"/>
        <w:rPr>
          <w:sz w:val="20"/>
          <w:szCs w:val="20"/>
          <w:color w:val="auto"/>
        </w:rPr>
      </w:pPr>
      <w:r>
        <w:rPr>
          <w:rFonts w:ascii="Arial" w:cs="Arial" w:eastAsia="Arial" w:hAnsi="Arial"/>
          <w:sz w:val="22"/>
          <w:szCs w:val="22"/>
          <w:b w:val="1"/>
          <w:bCs w:val="1"/>
          <w:color w:val="005C7D"/>
        </w:rPr>
        <w:t>EQUITY COMPENSATION PLAN INFORMATION</w:t>
      </w:r>
    </w:p>
    <w:p>
      <w:pPr>
        <w:spacing w:after="0" w:line="206" w:lineRule="exact"/>
        <w:rPr>
          <w:sz w:val="20"/>
          <w:szCs w:val="20"/>
          <w:color w:val="auto"/>
        </w:rPr>
      </w:pPr>
    </w:p>
    <w:p>
      <w:pPr>
        <w:ind w:left="7" w:right="120"/>
        <w:spacing w:after="0" w:line="264" w:lineRule="auto"/>
        <w:rPr>
          <w:sz w:val="20"/>
          <w:szCs w:val="20"/>
          <w:color w:val="auto"/>
        </w:rPr>
      </w:pPr>
      <w:r>
        <w:rPr>
          <w:rFonts w:ascii="Arial" w:cs="Arial" w:eastAsia="Arial" w:hAnsi="Arial"/>
          <w:sz w:val="18"/>
          <w:szCs w:val="18"/>
          <w:color w:val="auto"/>
        </w:rPr>
        <w:t>The table below sets forth information about shares of our Common Stock that may be issued under our equity compensation plans as of December 31, 2016. For a description of our equity compensation plans, see Note 17 to the audited consolidated financial statements included in L3’s 2016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607187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1"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920" w:type="dxa"/>
            <w:vAlign w:val="bottom"/>
            <w:tcBorders>
              <w:bottom w:val="single" w:sz="8" w:color="005C7D"/>
            </w:tcBorders>
            <w:gridSpan w:val="6"/>
          </w:tcPr>
          <w:p>
            <w:pPr>
              <w:jc w:val="center"/>
              <w:spacing w:after="0"/>
              <w:rPr>
                <w:sz w:val="20"/>
                <w:szCs w:val="20"/>
                <w:color w:val="auto"/>
              </w:rPr>
            </w:pPr>
            <w:r>
              <w:rPr>
                <w:rFonts w:ascii="Arial" w:cs="Arial" w:eastAsia="Arial" w:hAnsi="Arial"/>
                <w:sz w:val="14"/>
                <w:szCs w:val="14"/>
                <w:b w:val="1"/>
                <w:bCs w:val="1"/>
                <w:color w:val="auto"/>
                <w:w w:val="95"/>
              </w:rPr>
              <w:t>Equity Compensation Plan Information</w:t>
            </w:r>
          </w:p>
        </w:tc>
        <w:tc>
          <w:tcPr>
            <w:tcW w:w="0" w:type="dxa"/>
            <w:vAlign w:val="bottom"/>
          </w:tcPr>
          <w:p>
            <w:pPr>
              <w:spacing w:after="0"/>
              <w:rPr>
                <w:sz w:val="1"/>
                <w:szCs w:val="1"/>
                <w:color w:val="auto"/>
              </w:rPr>
            </w:pPr>
          </w:p>
        </w:tc>
      </w:tr>
      <w:tr>
        <w:trPr>
          <w:trHeight w:val="160"/>
        </w:trPr>
        <w:tc>
          <w:tcPr>
            <w:tcW w:w="26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40" w:type="dxa"/>
            <w:vAlign w:val="bottom"/>
          </w:tcPr>
          <w:p>
            <w:pPr>
              <w:jc w:val="center"/>
              <w:ind w:left="90"/>
              <w:spacing w:after="0" w:line="160" w:lineRule="exact"/>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40" w:type="dxa"/>
            <w:vAlign w:val="bottom"/>
          </w:tcPr>
          <w:p>
            <w:pPr>
              <w:jc w:val="center"/>
              <w:ind w:left="90"/>
              <w:spacing w:after="0"/>
              <w:rPr>
                <w:sz w:val="20"/>
                <w:szCs w:val="20"/>
                <w:color w:val="auto"/>
              </w:rPr>
            </w:pPr>
            <w:r>
              <w:rPr>
                <w:rFonts w:ascii="Arial" w:cs="Arial" w:eastAsia="Arial" w:hAnsi="Arial"/>
                <w:sz w:val="14"/>
                <w:szCs w:val="14"/>
                <w:b w:val="1"/>
                <w:bCs w:val="1"/>
                <w:color w:val="auto"/>
                <w:w w:val="89"/>
              </w:rPr>
              <w:t>securities to be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260" w:type="dxa"/>
            <w:vAlign w:val="bottom"/>
          </w:tcPr>
          <w:p>
            <w:pPr>
              <w:spacing w:after="0"/>
              <w:rPr>
                <w:sz w:val="14"/>
                <w:szCs w:val="14"/>
                <w:color w:val="auto"/>
              </w:rPr>
            </w:pPr>
          </w:p>
        </w:tc>
        <w:tc>
          <w:tcPr>
            <w:tcW w:w="1600" w:type="dxa"/>
            <w:vAlign w:val="bottom"/>
          </w:tcPr>
          <w:p>
            <w:pPr>
              <w:jc w:val="center"/>
              <w:ind w:right="10"/>
              <w:spacing w:after="0"/>
              <w:rPr>
                <w:sz w:val="20"/>
                <w:szCs w:val="20"/>
                <w:color w:val="auto"/>
              </w:rPr>
            </w:pPr>
            <w:r>
              <w:rPr>
                <w:rFonts w:ascii="Arial" w:cs="Arial" w:eastAsia="Arial" w:hAnsi="Arial"/>
                <w:sz w:val="14"/>
                <w:szCs w:val="14"/>
                <w:b w:val="1"/>
                <w:bCs w:val="1"/>
                <w:color w:val="auto"/>
                <w:w w:val="91"/>
              </w:rPr>
              <w:t>securities remaining</w:t>
            </w: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issued upon exercise of</w:t>
            </w: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 price of</w:t>
            </w:r>
          </w:p>
        </w:tc>
        <w:tc>
          <w:tcPr>
            <w:tcW w:w="2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4"/>
              </w:rPr>
              <w:t>available for future</w:t>
            </w:r>
          </w:p>
        </w:tc>
        <w:tc>
          <w:tcPr>
            <w:tcW w:w="0" w:type="dxa"/>
            <w:vAlign w:val="bottom"/>
          </w:tcPr>
          <w:p>
            <w:pPr>
              <w:spacing w:after="0"/>
              <w:rPr>
                <w:sz w:val="1"/>
                <w:szCs w:val="1"/>
                <w:color w:val="auto"/>
              </w:rPr>
            </w:pPr>
          </w:p>
        </w:tc>
      </w:tr>
      <w:tr>
        <w:trPr>
          <w:trHeight w:val="162"/>
        </w:trPr>
        <w:tc>
          <w:tcPr>
            <w:tcW w:w="46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Plan category</w:t>
            </w:r>
          </w:p>
        </w:tc>
        <w:tc>
          <w:tcPr>
            <w:tcW w:w="1440" w:type="dxa"/>
            <w:vAlign w:val="bottom"/>
          </w:tcPr>
          <w:p>
            <w:pPr>
              <w:jc w:val="center"/>
              <w:ind w:left="90"/>
              <w:spacing w:after="0"/>
              <w:rPr>
                <w:sz w:val="20"/>
                <w:szCs w:val="20"/>
                <w:color w:val="auto"/>
              </w:rPr>
            </w:pPr>
            <w:r>
              <w:rPr>
                <w:rFonts w:ascii="Arial" w:cs="Arial" w:eastAsia="Arial" w:hAnsi="Arial"/>
                <w:sz w:val="14"/>
                <w:szCs w:val="14"/>
                <w:b w:val="1"/>
                <w:bCs w:val="1"/>
                <w:color w:val="auto"/>
                <w:w w:val="89"/>
              </w:rPr>
              <w:t>outstanding options,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 options,</w:t>
            </w:r>
          </w:p>
        </w:tc>
        <w:tc>
          <w:tcPr>
            <w:tcW w:w="2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issuance under equity</w:t>
            </w:r>
          </w:p>
        </w:tc>
        <w:tc>
          <w:tcPr>
            <w:tcW w:w="0" w:type="dxa"/>
            <w:vAlign w:val="bottom"/>
          </w:tcPr>
          <w:p>
            <w:pPr>
              <w:spacing w:after="0"/>
              <w:rPr>
                <w:sz w:val="1"/>
                <w:szCs w:val="1"/>
                <w:color w:val="auto"/>
              </w:rPr>
            </w:pPr>
          </w:p>
        </w:tc>
      </w:tr>
      <w:tr>
        <w:trPr>
          <w:trHeight w:val="185"/>
        </w:trPr>
        <w:tc>
          <w:tcPr>
            <w:tcW w:w="4640" w:type="dxa"/>
            <w:vAlign w:val="bottom"/>
            <w:tcBorders>
              <w:bottom w:val="single" w:sz="8" w:color="005C7D"/>
            </w:tcBorders>
            <w:gridSpan w:val="2"/>
            <w:vMerge w:val="continue"/>
          </w:tcPr>
          <w:p>
            <w:pPr>
              <w:spacing w:after="0"/>
              <w:rPr>
                <w:sz w:val="16"/>
                <w:szCs w:val="16"/>
                <w:color w:val="auto"/>
              </w:rPr>
            </w:pPr>
          </w:p>
        </w:tc>
        <w:tc>
          <w:tcPr>
            <w:tcW w:w="1440" w:type="dxa"/>
            <w:vAlign w:val="bottom"/>
            <w:tcBorders>
              <w:bottom w:val="single" w:sz="8" w:color="005C7D"/>
            </w:tcBorders>
          </w:tcPr>
          <w:p>
            <w:pPr>
              <w:jc w:val="center"/>
              <w:ind w:left="110"/>
              <w:spacing w:after="0"/>
              <w:rPr>
                <w:sz w:val="20"/>
                <w:szCs w:val="20"/>
                <w:color w:val="auto"/>
              </w:rPr>
            </w:pPr>
            <w:r>
              <w:rPr>
                <w:rFonts w:ascii="Arial" w:cs="Arial" w:eastAsia="Arial" w:hAnsi="Arial"/>
                <w:sz w:val="14"/>
                <w:szCs w:val="14"/>
                <w:b w:val="1"/>
                <w:bCs w:val="1"/>
                <w:color w:val="auto"/>
                <w:w w:val="93"/>
              </w:rPr>
              <w:t>warrants and rights</w:t>
            </w:r>
          </w:p>
        </w:tc>
        <w:tc>
          <w:tcPr>
            <w:tcW w:w="220" w:type="dxa"/>
            <w:vAlign w:val="bottom"/>
            <w:tcBorders>
              <w:bottom w:val="single" w:sz="8" w:color="005C7D"/>
            </w:tcBorders>
          </w:tcPr>
          <w:p>
            <w:pPr>
              <w:spacing w:after="0"/>
              <w:rPr>
                <w:sz w:val="16"/>
                <w:szCs w:val="16"/>
                <w:color w:val="auto"/>
              </w:rPr>
            </w:pPr>
          </w:p>
        </w:tc>
        <w:tc>
          <w:tcPr>
            <w:tcW w:w="160" w:type="dxa"/>
            <w:vAlign w:val="bottom"/>
            <w:tcBorders>
              <w:bottom w:val="single" w:sz="8" w:color="005C7D"/>
            </w:tcBorders>
          </w:tcPr>
          <w:p>
            <w:pPr>
              <w:spacing w:after="0"/>
              <w:rPr>
                <w:sz w:val="16"/>
                <w:szCs w:val="16"/>
                <w:color w:val="auto"/>
              </w:rPr>
            </w:pPr>
          </w:p>
        </w:tc>
        <w:tc>
          <w:tcPr>
            <w:tcW w:w="1240" w:type="dxa"/>
            <w:vAlign w:val="bottom"/>
            <w:tcBorders>
              <w:bottom w:val="single" w:sz="8" w:color="005C7D"/>
            </w:tcBorders>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260" w:type="dxa"/>
            <w:vAlign w:val="bottom"/>
            <w:tcBorders>
              <w:bottom w:val="single" w:sz="8" w:color="005C7D"/>
            </w:tcBorders>
          </w:tcPr>
          <w:p>
            <w:pPr>
              <w:spacing w:after="0"/>
              <w:rPr>
                <w:sz w:val="16"/>
                <w:szCs w:val="16"/>
                <w:color w:val="auto"/>
              </w:rPr>
            </w:pPr>
          </w:p>
        </w:tc>
        <w:tc>
          <w:tcPr>
            <w:tcW w:w="1600" w:type="dxa"/>
            <w:vAlign w:val="bottom"/>
            <w:tcBorders>
              <w:bottom w:val="single" w:sz="8" w:color="005C7D"/>
            </w:tcBorders>
          </w:tcPr>
          <w:p>
            <w:pPr>
              <w:jc w:val="center"/>
              <w:spacing w:after="0"/>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83"/>
        </w:trPr>
        <w:tc>
          <w:tcPr>
            <w:tcW w:w="2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40" w:type="dxa"/>
            <w:vAlign w:val="bottom"/>
          </w:tcPr>
          <w:p>
            <w:pPr>
              <w:jc w:val="center"/>
              <w:ind w:left="90"/>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jc w:val="center"/>
              <w:ind w:right="10"/>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8"/>
        </w:trPr>
        <w:tc>
          <w:tcPr>
            <w:tcW w:w="4640" w:type="dxa"/>
            <w:vAlign w:val="bottom"/>
            <w:gridSpan w:val="2"/>
            <w:shd w:val="clear" w:color="auto" w:fill="CDDAE6"/>
          </w:tcPr>
          <w:p>
            <w:pPr>
              <w:ind w:left="20"/>
              <w:spacing w:after="0" w:line="29" w:lineRule="exact"/>
              <w:rPr>
                <w:sz w:val="20"/>
                <w:szCs w:val="20"/>
                <w:color w:val="auto"/>
              </w:rPr>
            </w:pPr>
            <w:r>
              <w:rPr>
                <w:rFonts w:ascii="Arial" w:cs="Arial" w:eastAsia="Arial" w:hAnsi="Arial"/>
                <w:sz w:val="3"/>
                <w:szCs w:val="3"/>
                <w:color w:val="auto"/>
              </w:rPr>
              <w:t>Equity compensation plans approved by security holders</w:t>
            </w:r>
          </w:p>
        </w:tc>
        <w:tc>
          <w:tcPr>
            <w:tcW w:w="1440" w:type="dxa"/>
            <w:vAlign w:val="bottom"/>
            <w:shd w:val="clear" w:color="auto" w:fill="CDDAE6"/>
          </w:tcPr>
          <w:p>
            <w:pPr>
              <w:jc w:val="right"/>
              <w:spacing w:after="0" w:line="29" w:lineRule="exact"/>
              <w:rPr>
                <w:sz w:val="20"/>
                <w:szCs w:val="20"/>
                <w:color w:val="auto"/>
              </w:rPr>
            </w:pPr>
            <w:r>
              <w:rPr>
                <w:rFonts w:ascii="Arial" w:cs="Arial" w:eastAsia="Arial" w:hAnsi="Arial"/>
                <w:sz w:val="3"/>
                <w:szCs w:val="3"/>
                <w:color w:val="auto"/>
              </w:rPr>
              <w:t>4.1</w:t>
            </w:r>
          </w:p>
        </w:tc>
        <w:tc>
          <w:tcPr>
            <w:tcW w:w="220" w:type="dxa"/>
            <w:vAlign w:val="bottom"/>
            <w:vMerge w:val="restart"/>
            <w:shd w:val="clear" w:color="auto" w:fill="CDDAE6"/>
          </w:tcPr>
          <w:p>
            <w:pPr>
              <w:jc w:val="right"/>
              <w:spacing w:after="0"/>
              <w:rPr>
                <w:sz w:val="20"/>
                <w:szCs w:val="20"/>
                <w:color w:val="auto"/>
              </w:rPr>
            </w:pPr>
            <w:r>
              <w:rPr>
                <w:rFonts w:ascii="Arial" w:cs="Arial" w:eastAsia="Arial" w:hAnsi="Arial"/>
                <w:sz w:val="15"/>
                <w:szCs w:val="15"/>
                <w:color w:val="auto"/>
                <w:w w:val="76"/>
              </w:rPr>
              <w:t>(1)</w:t>
            </w:r>
          </w:p>
        </w:tc>
        <w:tc>
          <w:tcPr>
            <w:tcW w:w="160" w:type="dxa"/>
            <w:vAlign w:val="bottom"/>
            <w:shd w:val="clear" w:color="auto" w:fill="CDDAE6"/>
          </w:tcPr>
          <w:p>
            <w:pPr>
              <w:jc w:val="right"/>
              <w:spacing w:after="0" w:line="29" w:lineRule="exact"/>
              <w:rPr>
                <w:sz w:val="20"/>
                <w:szCs w:val="20"/>
                <w:color w:val="auto"/>
              </w:rPr>
            </w:pPr>
            <w:r>
              <w:rPr>
                <w:rFonts w:ascii="Arial" w:cs="Arial" w:eastAsia="Arial" w:hAnsi="Arial"/>
                <w:sz w:val="3"/>
                <w:szCs w:val="3"/>
                <w:color w:val="auto"/>
              </w:rPr>
              <w:t>$</w:t>
            </w:r>
          </w:p>
        </w:tc>
        <w:tc>
          <w:tcPr>
            <w:tcW w:w="1240" w:type="dxa"/>
            <w:vAlign w:val="bottom"/>
            <w:shd w:val="clear" w:color="auto" w:fill="CDDAE6"/>
          </w:tcPr>
          <w:p>
            <w:pPr>
              <w:jc w:val="right"/>
              <w:spacing w:after="0" w:line="29" w:lineRule="exact"/>
              <w:rPr>
                <w:sz w:val="20"/>
                <w:szCs w:val="20"/>
                <w:color w:val="auto"/>
              </w:rPr>
            </w:pPr>
            <w:r>
              <w:rPr>
                <w:rFonts w:ascii="Arial" w:cs="Arial" w:eastAsia="Arial" w:hAnsi="Arial"/>
                <w:sz w:val="3"/>
                <w:szCs w:val="3"/>
                <w:color w:val="auto"/>
              </w:rPr>
              <w:t>99.55</w:t>
            </w:r>
          </w:p>
        </w:tc>
        <w:tc>
          <w:tcPr>
            <w:tcW w:w="260" w:type="dxa"/>
            <w:vAlign w:val="bottom"/>
            <w:vMerge w:val="restart"/>
            <w:shd w:val="clear" w:color="auto" w:fill="CDDAE6"/>
          </w:tcPr>
          <w:p>
            <w:pPr>
              <w:jc w:val="right"/>
              <w:ind w:right="5"/>
              <w:spacing w:after="0"/>
              <w:rPr>
                <w:sz w:val="20"/>
                <w:szCs w:val="20"/>
                <w:color w:val="auto"/>
              </w:rPr>
            </w:pPr>
            <w:r>
              <w:rPr>
                <w:rFonts w:ascii="Arial" w:cs="Arial" w:eastAsia="Arial" w:hAnsi="Arial"/>
                <w:sz w:val="15"/>
                <w:szCs w:val="15"/>
                <w:color w:val="auto"/>
                <w:w w:val="87"/>
              </w:rPr>
              <w:t>(2)</w:t>
            </w:r>
          </w:p>
        </w:tc>
        <w:tc>
          <w:tcPr>
            <w:tcW w:w="1600" w:type="dxa"/>
            <w:vAlign w:val="bottom"/>
            <w:shd w:val="clear" w:color="auto" w:fill="CDDAE6"/>
          </w:tcPr>
          <w:p>
            <w:pPr>
              <w:jc w:val="right"/>
              <w:ind w:right="130"/>
              <w:spacing w:after="0" w:line="29" w:lineRule="exact"/>
              <w:rPr>
                <w:sz w:val="20"/>
                <w:szCs w:val="20"/>
                <w:color w:val="auto"/>
              </w:rPr>
            </w:pPr>
            <w:r>
              <w:rPr>
                <w:rFonts w:ascii="Arial" w:cs="Arial" w:eastAsia="Arial" w:hAnsi="Arial"/>
                <w:sz w:val="3"/>
                <w:szCs w:val="3"/>
                <w:color w:val="auto"/>
              </w:rPr>
              <w:t>12.9</w:t>
            </w:r>
          </w:p>
        </w:tc>
        <w:tc>
          <w:tcPr>
            <w:tcW w:w="0" w:type="dxa"/>
            <w:vAlign w:val="bottom"/>
          </w:tcPr>
          <w:p>
            <w:pPr>
              <w:spacing w:after="0" w:line="20" w:lineRule="exact"/>
              <w:rPr>
                <w:sz w:val="1"/>
                <w:szCs w:val="1"/>
                <w:color w:val="auto"/>
              </w:rPr>
            </w:pPr>
          </w:p>
        </w:tc>
      </w:tr>
      <w:tr>
        <w:trPr>
          <w:trHeight w:val="195"/>
        </w:trPr>
        <w:tc>
          <w:tcPr>
            <w:tcW w:w="2680" w:type="dxa"/>
            <w:vAlign w:val="bottom"/>
            <w:tcBorders>
              <w:bottom w:val="single" w:sz="8" w:color="CDDAE6"/>
            </w:tcBorders>
            <w:shd w:val="clear" w:color="auto" w:fill="CDDAE6"/>
          </w:tcPr>
          <w:p>
            <w:pPr>
              <w:spacing w:after="0"/>
              <w:rPr>
                <w:sz w:val="16"/>
                <w:szCs w:val="16"/>
                <w:color w:val="auto"/>
              </w:rPr>
            </w:pPr>
          </w:p>
        </w:tc>
        <w:tc>
          <w:tcPr>
            <w:tcW w:w="1960" w:type="dxa"/>
            <w:vAlign w:val="bottom"/>
            <w:tcBorders>
              <w:bottom w:val="single" w:sz="8" w:color="CDDAE6"/>
            </w:tcBorders>
            <w:shd w:val="clear" w:color="auto" w:fill="CDDAE6"/>
          </w:tcPr>
          <w:p>
            <w:pPr>
              <w:spacing w:after="0"/>
              <w:rPr>
                <w:sz w:val="16"/>
                <w:szCs w:val="16"/>
                <w:color w:val="auto"/>
              </w:rPr>
            </w:pPr>
          </w:p>
        </w:tc>
        <w:tc>
          <w:tcPr>
            <w:tcW w:w="1440" w:type="dxa"/>
            <w:vAlign w:val="bottom"/>
            <w:tcBorders>
              <w:bottom w:val="single" w:sz="8" w:color="CDDAE6"/>
            </w:tcBorders>
            <w:shd w:val="clear" w:color="auto" w:fill="CDDAE6"/>
          </w:tcPr>
          <w:p>
            <w:pPr>
              <w:spacing w:after="0"/>
              <w:rPr>
                <w:sz w:val="16"/>
                <w:szCs w:val="16"/>
                <w:color w:val="auto"/>
              </w:rPr>
            </w:pPr>
          </w:p>
        </w:tc>
        <w:tc>
          <w:tcPr>
            <w:tcW w:w="220" w:type="dxa"/>
            <w:vAlign w:val="bottom"/>
            <w:tcBorders>
              <w:bottom w:val="single" w:sz="8" w:color="CDDAE6"/>
            </w:tcBorders>
            <w:vMerge w:val="continue"/>
            <w:shd w:val="clear" w:color="auto" w:fill="CDDAE6"/>
          </w:tcPr>
          <w:p>
            <w:pPr>
              <w:spacing w:after="0"/>
              <w:rPr>
                <w:sz w:val="16"/>
                <w:szCs w:val="16"/>
                <w:color w:val="auto"/>
              </w:rPr>
            </w:pPr>
          </w:p>
        </w:tc>
        <w:tc>
          <w:tcPr>
            <w:tcW w:w="160" w:type="dxa"/>
            <w:vAlign w:val="bottom"/>
            <w:tcBorders>
              <w:bottom w:val="single" w:sz="8" w:color="CDDAE6"/>
            </w:tcBorders>
            <w:shd w:val="clear" w:color="auto" w:fill="CDDAE6"/>
          </w:tcPr>
          <w:p>
            <w:pPr>
              <w:spacing w:after="0"/>
              <w:rPr>
                <w:sz w:val="16"/>
                <w:szCs w:val="16"/>
                <w:color w:val="auto"/>
              </w:rPr>
            </w:pPr>
          </w:p>
        </w:tc>
        <w:tc>
          <w:tcPr>
            <w:tcW w:w="1240" w:type="dxa"/>
            <w:vAlign w:val="bottom"/>
            <w:tcBorders>
              <w:bottom w:val="single" w:sz="8" w:color="CDDAE6"/>
            </w:tcBorders>
            <w:shd w:val="clear" w:color="auto" w:fill="CDDAE6"/>
          </w:tcPr>
          <w:p>
            <w:pPr>
              <w:spacing w:after="0"/>
              <w:rPr>
                <w:sz w:val="16"/>
                <w:szCs w:val="16"/>
                <w:color w:val="auto"/>
              </w:rPr>
            </w:pPr>
          </w:p>
        </w:tc>
        <w:tc>
          <w:tcPr>
            <w:tcW w:w="260" w:type="dxa"/>
            <w:vAlign w:val="bottom"/>
            <w:tcBorders>
              <w:bottom w:val="single" w:sz="8" w:color="CDDAE6"/>
            </w:tcBorders>
            <w:vMerge w:val="continue"/>
            <w:shd w:val="clear" w:color="auto" w:fill="CDDAE6"/>
          </w:tcPr>
          <w:p>
            <w:pPr>
              <w:spacing w:after="0"/>
              <w:rPr>
                <w:sz w:val="16"/>
                <w:szCs w:val="16"/>
                <w:color w:val="auto"/>
              </w:rPr>
            </w:pPr>
          </w:p>
        </w:tc>
        <w:tc>
          <w:tcPr>
            <w:tcW w:w="1600" w:type="dxa"/>
            <w:vAlign w:val="bottom"/>
            <w:tcBorders>
              <w:bottom w:val="single" w:sz="8" w:color="CDDAE6"/>
            </w:tcBorders>
            <w:shd w:val="clear" w:color="auto" w:fill="CDDAE6"/>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84"/>
        </w:trPr>
        <w:tc>
          <w:tcPr>
            <w:tcW w:w="4640" w:type="dxa"/>
            <w:vAlign w:val="bottom"/>
            <w:gridSpan w:val="2"/>
          </w:tcPr>
          <w:p>
            <w:pPr>
              <w:ind w:left="20"/>
              <w:spacing w:after="0" w:line="284" w:lineRule="exact"/>
              <w:rPr>
                <w:sz w:val="20"/>
                <w:szCs w:val="20"/>
                <w:color w:val="auto"/>
              </w:rPr>
            </w:pPr>
            <w:r>
              <w:rPr>
                <w:rFonts w:ascii="Arial" w:cs="Arial" w:eastAsia="Arial" w:hAnsi="Arial"/>
                <w:sz w:val="18"/>
                <w:szCs w:val="18"/>
                <w:color w:val="auto"/>
                <w:w w:val="91"/>
              </w:rPr>
              <w:t>Equity compensation plans not approved by security holders</w:t>
            </w:r>
            <w:r>
              <w:rPr>
                <w:rFonts w:ascii="Arial" w:cs="Arial" w:eastAsia="Arial" w:hAnsi="Arial"/>
                <w:sz w:val="29"/>
                <w:szCs w:val="29"/>
                <w:color w:val="auto"/>
                <w:w w:val="91"/>
                <w:vertAlign w:val="superscript"/>
              </w:rPr>
              <w:t>(4)</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97.47</w:t>
            </w:r>
          </w:p>
        </w:tc>
        <w:tc>
          <w:tcPr>
            <w:tcW w:w="260" w:type="dxa"/>
            <w:vAlign w:val="bottom"/>
          </w:tcPr>
          <w:p>
            <w:pPr>
              <w:spacing w:after="0"/>
              <w:rPr>
                <w:sz w:val="24"/>
                <w:szCs w:val="24"/>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005C7D"/>
            </w:tcBorders>
            <w:gridSpan w:val="2"/>
            <w:shd w:val="clear" w:color="auto" w:fill="CDDAE6"/>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005C7D"/>
            </w:tcBorders>
            <w:shd w:val="clear" w:color="auto" w:fill="CDDAE6"/>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005C7D"/>
            </w:tcBorders>
            <w:shd w:val="clear" w:color="auto" w:fill="CDDAE6"/>
          </w:tcPr>
          <w:p>
            <w:pPr>
              <w:spacing w:after="0"/>
              <w:rPr>
                <w:sz w:val="20"/>
                <w:szCs w:val="20"/>
                <w:color w:val="auto"/>
              </w:rPr>
            </w:pPr>
          </w:p>
        </w:tc>
        <w:tc>
          <w:tcPr>
            <w:tcW w:w="160" w:type="dxa"/>
            <w:vAlign w:val="bottom"/>
            <w:tcBorders>
              <w:bottom w:val="single" w:sz="8" w:color="005C7D"/>
            </w:tcBorders>
            <w:shd w:val="clear" w:color="auto" w:fill="CDDAE6"/>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005C7D"/>
            </w:tcBorders>
            <w:shd w:val="clear" w:color="auto" w:fill="CDDAE6"/>
          </w:tcPr>
          <w:p>
            <w:pPr>
              <w:jc w:val="right"/>
              <w:spacing w:after="0"/>
              <w:rPr>
                <w:sz w:val="20"/>
                <w:szCs w:val="20"/>
                <w:color w:val="auto"/>
              </w:rPr>
            </w:pPr>
            <w:r>
              <w:rPr>
                <w:rFonts w:ascii="Arial" w:cs="Arial" w:eastAsia="Arial" w:hAnsi="Arial"/>
                <w:sz w:val="18"/>
                <w:szCs w:val="18"/>
                <w:color w:val="auto"/>
              </w:rPr>
              <w:t>99.55</w:t>
            </w:r>
          </w:p>
        </w:tc>
        <w:tc>
          <w:tcPr>
            <w:tcW w:w="260" w:type="dxa"/>
            <w:vAlign w:val="bottom"/>
            <w:tcBorders>
              <w:bottom w:val="single" w:sz="8" w:color="005C7D"/>
            </w:tcBorders>
            <w:shd w:val="clear" w:color="auto" w:fill="CDDAE6"/>
          </w:tcPr>
          <w:p>
            <w:pPr>
              <w:spacing w:after="0"/>
              <w:rPr>
                <w:sz w:val="20"/>
                <w:szCs w:val="20"/>
                <w:color w:val="auto"/>
              </w:rPr>
            </w:pPr>
          </w:p>
        </w:tc>
        <w:tc>
          <w:tcPr>
            <w:tcW w:w="1600" w:type="dxa"/>
            <w:vAlign w:val="bottom"/>
            <w:tcBorders>
              <w:bottom w:val="single" w:sz="8" w:color="005C7D"/>
            </w:tcBorders>
            <w:shd w:val="clear" w:color="auto" w:fill="CDDAE6"/>
          </w:tcPr>
          <w:p>
            <w:pPr>
              <w:jc w:val="right"/>
              <w:ind w:right="13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75"/>
        </w:trPr>
        <w:tc>
          <w:tcPr>
            <w:tcW w:w="2680" w:type="dxa"/>
            <w:vAlign w:val="bottom"/>
            <w:tcBorders>
              <w:bottom w:val="single" w:sz="8" w:color="auto"/>
            </w:tcBorders>
          </w:tcPr>
          <w:p>
            <w:pPr>
              <w:spacing w:after="0"/>
              <w:rPr>
                <w:sz w:val="15"/>
                <w:szCs w:val="15"/>
                <w:color w:val="auto"/>
              </w:rPr>
            </w:pPr>
          </w:p>
        </w:tc>
        <w:tc>
          <w:tcPr>
            <w:tcW w:w="1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47" w:right="140" w:hanging="347"/>
        <w:spacing w:after="0" w:line="289" w:lineRule="auto"/>
        <w:tabs>
          <w:tab w:leader="none" w:pos="347" w:val="left"/>
        </w:tabs>
        <w:numPr>
          <w:ilvl w:val="0"/>
          <w:numId w:val="94"/>
        </w:numPr>
        <w:rPr>
          <w:rFonts w:ascii="Arial" w:cs="Arial" w:eastAsia="Arial" w:hAnsi="Arial"/>
          <w:sz w:val="15"/>
          <w:szCs w:val="15"/>
          <w:color w:val="auto"/>
        </w:rPr>
      </w:pPr>
      <w:r>
        <w:rPr>
          <w:rFonts w:ascii="Arial" w:cs="Arial" w:eastAsia="Arial" w:hAnsi="Arial"/>
          <w:sz w:val="15"/>
          <w:szCs w:val="15"/>
          <w:color w:val="auto"/>
        </w:rPr>
        <w:t>Represents awards, including stock options, RSUs and performance units issuable under the L3 Technologies, Inc. Amended and Restated 1999 Long Term Performance Plan (the “1999 Plan”), the L3 Technologies, Inc. Amended and Restated 2008 Long Term Performance Plan (the “2008 LTPP”) and the L3 Technologies, Inc. Amended and Restated 2008 Directors Stock Incentive Plan (the “2008 DSIP”). The number of shares of Common Stock to be issued in respect of performance units has been calculated based on the assumption that the maximum levels of performance applicable to the performance units will be achieved.</w:t>
      </w:r>
    </w:p>
    <w:p>
      <w:pPr>
        <w:spacing w:after="0" w:line="1" w:lineRule="exact"/>
        <w:rPr>
          <w:rFonts w:ascii="Arial" w:cs="Arial" w:eastAsia="Arial" w:hAnsi="Arial"/>
          <w:sz w:val="15"/>
          <w:szCs w:val="15"/>
          <w:color w:val="auto"/>
        </w:rPr>
      </w:pPr>
    </w:p>
    <w:p>
      <w:pPr>
        <w:ind w:left="347" w:right="60" w:hanging="347"/>
        <w:spacing w:after="0" w:line="281" w:lineRule="auto"/>
        <w:tabs>
          <w:tab w:leader="none" w:pos="347"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calculation of the weighted average exercise price excludes the effect of the RSU awards and performance unit awards, which have been granted to employees at no cost.</w:t>
      </w:r>
    </w:p>
    <w:p>
      <w:pPr>
        <w:spacing w:after="0" w:line="1" w:lineRule="exact"/>
        <w:rPr>
          <w:rFonts w:ascii="Arial" w:cs="Arial" w:eastAsia="Arial" w:hAnsi="Arial"/>
          <w:sz w:val="16"/>
          <w:szCs w:val="16"/>
          <w:color w:val="auto"/>
        </w:rPr>
      </w:pPr>
    </w:p>
    <w:p>
      <w:pPr>
        <w:ind w:left="347" w:right="40" w:hanging="347"/>
        <w:spacing w:after="0" w:line="271" w:lineRule="auto"/>
        <w:tabs>
          <w:tab w:leader="none" w:pos="347"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Includes 3.7 million and 9.2 million shares available for future issuance under the L3 Technologies, Inc. 2009 Employee Stock Purchase Plan (the “2009 ESPP”) and the 2008 LTPP, respectively. For purposes of calculating the number of shares available for future issuance under the 2008 LTPP, each share of our Common Stock issued under a “full value” award (i.e., awards other than stock options or stock appreciation rights) is counted as 4.26 shares, in the case of awards granted on or after February 23, 2016, or 3.69 shares, in the case of awards granted between February 26, 2013 and February 22, 2016.</w:t>
      </w:r>
    </w:p>
    <w:p>
      <w:pPr>
        <w:spacing w:after="0" w:line="1" w:lineRule="exact"/>
        <w:rPr>
          <w:rFonts w:ascii="Arial" w:cs="Arial" w:eastAsia="Arial" w:hAnsi="Arial"/>
          <w:sz w:val="16"/>
          <w:szCs w:val="16"/>
          <w:color w:val="auto"/>
        </w:rPr>
      </w:pPr>
    </w:p>
    <w:p>
      <w:pPr>
        <w:ind w:left="347" w:right="20" w:hanging="347"/>
        <w:spacing w:after="0" w:line="297" w:lineRule="auto"/>
        <w:tabs>
          <w:tab w:leader="none" w:pos="347" w:val="left"/>
        </w:tabs>
        <w:numPr>
          <w:ilvl w:val="0"/>
          <w:numId w:val="94"/>
        </w:numPr>
        <w:rPr>
          <w:rFonts w:ascii="Arial" w:cs="Arial" w:eastAsia="Arial" w:hAnsi="Arial"/>
          <w:sz w:val="15"/>
          <w:szCs w:val="15"/>
          <w:color w:val="auto"/>
        </w:rPr>
      </w:pPr>
      <w:r>
        <w:rPr>
          <w:rFonts w:ascii="Arial" w:cs="Arial" w:eastAsia="Arial" w:hAnsi="Arial"/>
          <w:sz w:val="15"/>
          <w:szCs w:val="15"/>
          <w:color w:val="auto"/>
        </w:rPr>
        <w:t>Represents stock options outstanding under the Amended and Restated 1998 Directors Stock Option Plan for Non-Employee Directors of L3 Technologies, Inc. (the “Legacy Option Plan”). The stock options granted under the Legacy Option Plan are non-qualified for U.S. income tax regulations, vest ratably over a three-year period on the annual anniversary of the date of grant, expire ten years from the date of grant and have an exercise price based on the closing price of our Common Stock on the date of grant.</w:t>
      </w:r>
    </w:p>
    <w:p>
      <w:pPr>
        <w:spacing w:after="0" w:line="209" w:lineRule="exact"/>
        <w:rPr>
          <w:sz w:val="20"/>
          <w:szCs w:val="20"/>
          <w:color w:val="auto"/>
        </w:rPr>
      </w:pPr>
    </w:p>
    <w:p>
      <w:pPr>
        <w:ind w:left="7827"/>
        <w:spacing w:after="0"/>
        <w:tabs>
          <w:tab w:leader="none" w:pos="9326"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381000</wp:posOffset>
            </wp:positionV>
            <wp:extent cx="6071870" cy="4318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-107315</wp:posOffset>
            </wp:positionV>
            <wp:extent cx="163195" cy="15430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005C7D"/>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149860</wp:posOffset>
            </wp:positionV>
            <wp:extent cx="6071870" cy="2057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071870" cy="205740"/>
                    </a:xfrm>
                    <a:prstGeom prst="rect">
                      <a:avLst/>
                    </a:prstGeom>
                    <a:noFill/>
                  </pic:spPr>
                </pic:pic>
              </a:graphicData>
            </a:graphic>
          </wp:anchor>
        </w:drawing>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005C7D"/>
        </w:rPr>
        <w:t>SECTION 16(a) BENEFICIAL OWNERSHIP REPORTING COMPLIANCE</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Section 16(a) of the Exchange Act requires our officers and directors, and persons who own more than 10% of a registered class of our equity securities, to file reports of ownership and changes in ownership with the SEC and the NYSE. Officers, directors and greater than 10% shareholders are required by SEC regulations to furnish us with copies of all Section 16(a) forms they file. Based on our records and other information, we believe that all Section 16(a) forms required to be filed were filed on a timely basis and in compliance with the requirements of Section 16(a</w:t>
      </w:r>
      <w:r>
        <w:rPr>
          <w:rFonts w:ascii="Arial" w:cs="Arial" w:eastAsia="Arial" w:hAnsi="Arial"/>
          <w:sz w:val="18"/>
          <w:szCs w:val="18"/>
          <w:i w:val="1"/>
          <w:iCs w:val="1"/>
          <w:color w:val="auto"/>
        </w:rPr>
        <w:t>).</w:t>
      </w:r>
    </w:p>
    <w:p>
      <w:pPr>
        <w:spacing w:after="0" w:line="258"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005C7D"/>
        </w:rPr>
        <w:t>86</w:t>
      </w:r>
      <w:r>
        <w:rPr>
          <w:sz w:val="20"/>
          <w:szCs w:val="20"/>
          <w:color w:val="auto"/>
        </w:rPr>
        <w:tab/>
      </w: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6071870" cy="4318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-106045</wp:posOffset>
            </wp:positionV>
            <wp:extent cx="154305" cy="15430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92" w:name="page93"/>
    <w:bookmarkEnd w:id="92"/>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QUESTIONS AND ANSWERS ABOUT BOARD COMMUNICATIONS, COMPANY DOCUMENTS AND 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07187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149860</wp:posOffset>
            </wp:positionV>
            <wp:extent cx="6071870" cy="3600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071870" cy="360045"/>
                    </a:xfrm>
                    <a:prstGeom prst="rect">
                      <a:avLst/>
                    </a:prstGeom>
                    <a:noFill/>
                  </pic:spPr>
                </pic:pic>
              </a:graphicData>
            </a:graphic>
          </wp:anchor>
        </w:drawing>
      </w:r>
    </w:p>
    <w:p>
      <w:pPr>
        <w:spacing w:after="0" w:line="229" w:lineRule="exact"/>
        <w:rPr>
          <w:sz w:val="20"/>
          <w:szCs w:val="20"/>
          <w:color w:val="auto"/>
        </w:rPr>
      </w:pPr>
    </w:p>
    <w:p>
      <w:pPr>
        <w:ind w:left="1407"/>
        <w:spacing w:after="0"/>
        <w:rPr>
          <w:sz w:val="20"/>
          <w:szCs w:val="20"/>
          <w:color w:val="auto"/>
        </w:rPr>
      </w:pPr>
      <w:r>
        <w:rPr>
          <w:rFonts w:ascii="Arial" w:cs="Arial" w:eastAsia="Arial" w:hAnsi="Arial"/>
          <w:sz w:val="22"/>
          <w:szCs w:val="22"/>
          <w:b w:val="1"/>
          <w:bCs w:val="1"/>
          <w:color w:val="005C7D"/>
        </w:rPr>
        <w:t>QUESTIONS AND ANSWERS ABOUT BOARD COMMUNICATIONS,</w:t>
      </w:r>
    </w:p>
    <w:p>
      <w:pPr>
        <w:spacing w:after="0" w:line="14" w:lineRule="exact"/>
        <w:rPr>
          <w:sz w:val="20"/>
          <w:szCs w:val="20"/>
          <w:color w:val="auto"/>
        </w:rPr>
      </w:pPr>
    </w:p>
    <w:p>
      <w:pPr>
        <w:ind w:left="1647"/>
        <w:spacing w:after="0"/>
        <w:rPr>
          <w:sz w:val="20"/>
          <w:szCs w:val="20"/>
          <w:color w:val="auto"/>
        </w:rPr>
      </w:pPr>
      <w:r>
        <w:rPr>
          <w:rFonts w:ascii="Arial" w:cs="Arial" w:eastAsia="Arial" w:hAnsi="Arial"/>
          <w:sz w:val="22"/>
          <w:szCs w:val="22"/>
          <w:b w:val="1"/>
          <w:bCs w:val="1"/>
          <w:color w:val="005C7D"/>
        </w:rPr>
        <w:t>COMPANY DOCUMENTS AND SHAREHOLDER PROPOSALS</w:t>
      </w:r>
    </w:p>
    <w:p>
      <w:pPr>
        <w:spacing w:after="0" w:line="286" w:lineRule="exact"/>
        <w:rPr>
          <w:sz w:val="20"/>
          <w:szCs w:val="20"/>
          <w:color w:val="auto"/>
        </w:rPr>
      </w:pPr>
    </w:p>
    <w:p>
      <w:pPr>
        <w:ind w:left="347" w:hanging="347"/>
        <w:spacing w:after="0"/>
        <w:tabs>
          <w:tab w:leader="none" w:pos="347"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HOW DO I COMMUNICATE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07187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p>
      <w:pPr>
        <w:spacing w:after="0" w:line="189" w:lineRule="exact"/>
        <w:rPr>
          <w:sz w:val="20"/>
          <w:szCs w:val="20"/>
          <w:color w:val="auto"/>
        </w:rPr>
      </w:pPr>
    </w:p>
    <w:p>
      <w:pPr>
        <w:ind w:left="7" w:right="160"/>
        <w:spacing w:after="0" w:line="288" w:lineRule="auto"/>
        <w:rPr>
          <w:sz w:val="20"/>
          <w:szCs w:val="20"/>
          <w:color w:val="auto"/>
        </w:rPr>
      </w:pPr>
      <w:r>
        <w:rPr>
          <w:rFonts w:ascii="Arial" w:cs="Arial" w:eastAsia="Arial" w:hAnsi="Arial"/>
          <w:sz w:val="16"/>
          <w:szCs w:val="16"/>
          <w:color w:val="auto"/>
        </w:rPr>
        <w:t>Anyone who would like to communicate with, or otherwise make his or her concerns known directly to, the full Board of Directors, the Chair of any of the Audit, Compensation, Nominating/Corporate Governance and Executive Committees, to the non-employee directors as a group or to the Lead Independent Director of the Board of Directors, may do so either by email that can be accessed through our website at http://www.L3T.com or by addressing such communications or concerns to the Corporate Secretary of L3 Technologies, Inc., 600 Third Avenue,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New York, New York 10016, who will forward such communications to the appropriate party. The addressed communications may be done confidentially or anonymously. The Corporate Secretary will forward all correspondence to the Board of Directors or the specifically designated party, except for spam, junk mail, mass mailings, product complaints or inquiries, job inquiries, surveys, business solicitations or advertisements or patently offensive or otherwise inappropriate material.</w:t>
      </w:r>
    </w:p>
    <w:p>
      <w:pPr>
        <w:spacing w:after="0" w:line="413" w:lineRule="exact"/>
        <w:rPr>
          <w:sz w:val="20"/>
          <w:szCs w:val="20"/>
          <w:color w:val="auto"/>
        </w:rPr>
      </w:pPr>
    </w:p>
    <w:p>
      <w:pPr>
        <w:sectPr>
          <w:pgSz w:w="11900" w:h="16838" w:orient="portrait"/>
          <w:cols w:equalWidth="0" w:num="2">
            <w:col w:w="4447" w:space="720"/>
            <w:col w:w="4400"/>
          </w:cols>
          <w:pgMar w:left="1173" w:top="279" w:right="1159" w:bottom="1440" w:gutter="0" w:footer="0" w:header="0"/>
          <w:type w:val="continuous"/>
        </w:sectPr>
      </w:pPr>
    </w:p>
    <w:p>
      <w:pPr>
        <w:spacing w:after="0" w:line="19" w:lineRule="exact"/>
        <w:rPr>
          <w:sz w:val="20"/>
          <w:szCs w:val="20"/>
          <w:color w:val="auto"/>
        </w:rPr>
      </w:pPr>
    </w:p>
    <w:p>
      <w:pPr>
        <w:ind w:left="347" w:right="520" w:hanging="347"/>
        <w:spacing w:after="0" w:line="282" w:lineRule="auto"/>
        <w:tabs>
          <w:tab w:leader="none" w:pos="347"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HOW CAN A SHAREHOLDER NOMINATE A DIRECTOR OR SUBMIT A PROPOSAL FOR NEXT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607187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type w:val="continuous"/>
        </w:sectPr>
      </w:pPr>
    </w:p>
    <w:p>
      <w:pPr>
        <w:spacing w:after="0" w:line="125" w:lineRule="exact"/>
        <w:rPr>
          <w:sz w:val="20"/>
          <w:szCs w:val="20"/>
          <w:color w:val="auto"/>
        </w:rPr>
      </w:pPr>
    </w:p>
    <w:p>
      <w:pPr>
        <w:ind w:left="7" w:right="60"/>
        <w:spacing w:after="0" w:line="268" w:lineRule="auto"/>
        <w:rPr>
          <w:sz w:val="20"/>
          <w:szCs w:val="20"/>
          <w:color w:val="auto"/>
        </w:rPr>
      </w:pPr>
      <w:r>
        <w:rPr>
          <w:rFonts w:ascii="Arial" w:cs="Arial" w:eastAsia="Arial" w:hAnsi="Arial"/>
          <w:sz w:val="17"/>
          <w:szCs w:val="17"/>
          <w:color w:val="auto"/>
        </w:rPr>
        <w:t>Under the SEC’s rules and regulations, any shareholder desiring to submit a proposal to be included in our 2018 proxy statement must submit such proposal to us at our principal executive offices located at 600 Third Avenue, New York, New York 10016, to the attention of the Corporate Secretary, no later than the close of business on November 27, 2017. Under Rule 14a-8 under the Exchange Act, a shareholder submitting a proposal to be included in the Company’s proxy statement is required to be a record or beneficial owner of at least 1% or $2,000 in market value of the Common Stock and to have held such Common Stock continuously for at least one year prior to the date of submission of the proposal, and he or she must continue to own such securities through the date on which the meeting is held.</w:t>
      </w:r>
    </w:p>
    <w:p>
      <w:pPr>
        <w:spacing w:after="0" w:line="129" w:lineRule="exact"/>
        <w:rPr>
          <w:sz w:val="20"/>
          <w:szCs w:val="20"/>
          <w:color w:val="auto"/>
        </w:rPr>
      </w:pPr>
    </w:p>
    <w:p>
      <w:pPr>
        <w:ind w:left="7" w:right="100"/>
        <w:spacing w:after="0" w:line="285" w:lineRule="auto"/>
        <w:rPr>
          <w:sz w:val="20"/>
          <w:szCs w:val="20"/>
          <w:color w:val="auto"/>
        </w:rPr>
      </w:pPr>
      <w:r>
        <w:rPr>
          <w:rFonts w:ascii="Arial" w:cs="Arial" w:eastAsia="Arial" w:hAnsi="Arial"/>
          <w:sz w:val="16"/>
          <w:szCs w:val="16"/>
          <w:color w:val="auto"/>
        </w:rPr>
        <w:t>During 2016, we amended our Bylaws to proactively adopt proxy access, which permits a shareholder or a group of up to 20 shareholders, owning shares representing 3% or more of the voting power entitled to vote generally in the election of directors for at least three years, to submit director nominees for up to the greater of 20% of the independent directors on the Board or two shareholder nominees for inclusion in our Proxy Statement if the shareholder(s) and the nominee(s) meet the requirements in our Bylaws. Notice of director nominations submitted under these proxy access Bylaw provisions must be received on or after October 28, 2017 but no later than November 27, 2017. In the event that the date of the 2018 Annual Meeting is advanced by more than 20 days, or delayed by more than 70 days, from the anniversary date of the 2018 Annual Meeting, notice must be received not earlier than 120 days prior to such Annual Meeting and not later than the close of business on the later</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of the 90th day prior to such Annual Meeting or the 10th day following the day on which public announcement of the date of the 2018 Annual Meeting is first made.</w:t>
      </w:r>
    </w:p>
    <w:p>
      <w:pPr>
        <w:spacing w:after="0" w:line="11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Bylaws provide for advance notice provisions. The Bylaws require the timely notice of certain information to be provided by any shareholder who proposes director nominations or any other business for consideration at a shareholders’ meeting. Failure to deliver a proposal in accordance with the procedures discussed below and in the Bylaws may result in the proposal not being deemed timely received. To be timely, notice of a director nomination or any other business for consideration at a shareholders’ meeting must be received by our Corporate Secretary at our principal executive offices no less than 90 days nor more than 120 days prior to the first anniversary of the preceding year’s annual meeting. Therefore, to be presented at the Company’s 2018 Annual Meeting, such a proposal must be received by the Corporate Secretary on or after January 9, 2018 but no later than February 8, 2018. In the event that the date of the 2018 Annual Meeting is advanced by more than 20 days, or delayed by more than 70 days, from the anniversary date of the 2018 Annual Meeting, notice must be received not earlier than 120 days prior to such Annual Meeting and not later than the close of business on the later of the 90th day prior to such Annual Meeting or the 10th day following the day on which public announcement of the date of the 2018 Annual Meeting is first made. All proposals must be sent to our principal executive offices by certified mail, return receipt requested, to the attention of the Corporate Secretary, L3 Technologies, Inc., 600 Third Avenue, New York, New York 10016.</w:t>
      </w:r>
    </w:p>
    <w:p>
      <w:pPr>
        <w:spacing w:after="0" w:line="628" w:lineRule="exact"/>
        <w:rPr>
          <w:sz w:val="20"/>
          <w:szCs w:val="20"/>
          <w:color w:val="auto"/>
        </w:rPr>
      </w:pPr>
    </w:p>
    <w:p>
      <w:pPr>
        <w:sectPr>
          <w:pgSz w:w="11900" w:h="16838" w:orient="portrait"/>
          <w:cols w:equalWidth="0" w:num="2">
            <w:col w:w="4447" w:space="720"/>
            <w:col w:w="4400"/>
          </w:cols>
          <w:pgMar w:left="1173" w:top="279" w:right="1159" w:bottom="1440" w:gutter="0" w:footer="0" w:header="0"/>
          <w:type w:val="continuous"/>
        </w:sectPr>
      </w:pPr>
    </w:p>
    <w:p>
      <w:pPr>
        <w:spacing w:after="0" w:line="16" w:lineRule="exact"/>
        <w:rPr>
          <w:sz w:val="20"/>
          <w:szCs w:val="20"/>
          <w:color w:val="auto"/>
        </w:rPr>
      </w:pPr>
    </w:p>
    <w:p>
      <w:pPr>
        <w:ind w:left="7827"/>
        <w:spacing w:after="0"/>
        <w:tabs>
          <w:tab w:leader="none" w:pos="9326"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381000</wp:posOffset>
            </wp:positionV>
            <wp:extent cx="6071870" cy="4318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-107315</wp:posOffset>
            </wp:positionV>
            <wp:extent cx="163195" cy="1543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type w:val="continuous"/>
        </w:sectPr>
      </w:pPr>
    </w:p>
    <w:bookmarkStart w:id="93" w:name="page94"/>
    <w:bookmarkEnd w:id="93"/>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7"/>
        <w:spacing w:after="0"/>
        <w:rPr>
          <w:sz w:val="20"/>
          <w:szCs w:val="20"/>
          <w:color w:val="auto"/>
        </w:rPr>
      </w:pPr>
      <w:r>
        <w:rPr>
          <w:rFonts w:ascii="Arial" w:cs="Arial" w:eastAsia="Arial" w:hAnsi="Arial"/>
          <w:sz w:val="13"/>
          <w:szCs w:val="13"/>
          <w:color w:val="005C7D"/>
        </w:rPr>
        <w:t>QUESTIONS AND ANSWERS ABOUT BOARD COMMUNICATIONS, COMPANY DOCUMENTS AND 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607187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p>
      <w:pPr>
        <w:spacing w:after="0" w:line="395" w:lineRule="exact"/>
        <w:rPr>
          <w:sz w:val="20"/>
          <w:szCs w:val="20"/>
          <w:color w:val="auto"/>
        </w:rPr>
      </w:pPr>
    </w:p>
    <w:p>
      <w:pPr>
        <w:ind w:left="7" w:right="60"/>
        <w:spacing w:after="0" w:line="273" w:lineRule="auto"/>
        <w:rPr>
          <w:sz w:val="20"/>
          <w:szCs w:val="20"/>
          <w:color w:val="auto"/>
        </w:rPr>
      </w:pPr>
      <w:r>
        <w:rPr>
          <w:rFonts w:ascii="Arial" w:cs="Arial" w:eastAsia="Arial" w:hAnsi="Arial"/>
          <w:sz w:val="17"/>
          <w:szCs w:val="17"/>
          <w:color w:val="auto"/>
        </w:rPr>
        <w:t>Shareholders may, subject to and in accordance with the Bylaws, recommend director candidates for consideration by the Nominating/Corporate Governance Committee. The recommendation must be delivered to the Corporate Secretary, who will forward the recommendation to the Nominating/Corporate Governance Committee for</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consideration. The Bylaws contain certain informational and other requirements that must be followed in connection with submitting director nominations and any other business for consideration at a shareholders’ meeting. The Bylaws are posted on our website at http://www.L3T.com.</w:t>
      </w:r>
    </w:p>
    <w:p>
      <w:pPr>
        <w:spacing w:after="0" w:line="395" w:lineRule="exact"/>
        <w:rPr>
          <w:sz w:val="20"/>
          <w:szCs w:val="20"/>
          <w:color w:val="auto"/>
        </w:rPr>
      </w:pPr>
    </w:p>
    <w:p>
      <w:pPr>
        <w:sectPr>
          <w:pgSz w:w="11900" w:h="16838" w:orient="portrait"/>
          <w:cols w:equalWidth="0" w:num="2">
            <w:col w:w="4447" w:space="720"/>
            <w:col w:w="4380"/>
          </w:cols>
          <w:pgMar w:left="1173" w:top="279" w:right="1179" w:bottom="1440" w:gutter="0" w:footer="0" w:header="0"/>
          <w:type w:val="continuous"/>
        </w:sectPr>
      </w:pPr>
    </w:p>
    <w:p>
      <w:pPr>
        <w:spacing w:after="0" w:line="28" w:lineRule="exact"/>
        <w:rPr>
          <w:sz w:val="20"/>
          <w:szCs w:val="20"/>
          <w:color w:val="auto"/>
        </w:rPr>
      </w:pPr>
    </w:p>
    <w:p>
      <w:pPr>
        <w:ind w:left="347" w:hanging="347"/>
        <w:spacing w:after="0"/>
        <w:tabs>
          <w:tab w:leader="none" w:pos="347"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WHAT IS 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07187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type w:val="continuous"/>
        </w:sectPr>
      </w:pPr>
    </w:p>
    <w:p>
      <w:pPr>
        <w:spacing w:after="0" w:line="189" w:lineRule="exact"/>
        <w:rPr>
          <w:sz w:val="20"/>
          <w:szCs w:val="20"/>
          <w:color w:val="auto"/>
        </w:rPr>
      </w:pPr>
    </w:p>
    <w:p>
      <w:pPr>
        <w:ind w:left="7" w:right="60"/>
        <w:spacing w:after="0" w:line="287" w:lineRule="auto"/>
        <w:rPr>
          <w:sz w:val="20"/>
          <w:szCs w:val="20"/>
          <w:color w:val="auto"/>
        </w:rPr>
      </w:pPr>
      <w:r>
        <w:rPr>
          <w:rFonts w:ascii="Arial" w:cs="Arial" w:eastAsia="Arial" w:hAnsi="Arial"/>
          <w:sz w:val="16"/>
          <w:szCs w:val="16"/>
          <w:color w:val="auto"/>
        </w:rPr>
        <w:t>SEC rules permit companies and intermediaries such as brokers to satisfy delivery requirements for proxy statements and notices with respect to two or more shareholders sharing the same address by delivering a single proxy statement or a single notice addressed to those shareholders. This process, which is commonly referred to as “householding,” provides cost savings for companies. Some brokers household proxy materials, delivering a single proxy statement or notice to multiple shareholders sharing an address unless contrary instructions have been received from the affected shareholders. Once you have received notice from your broker that they will be householding materials to your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request prompt delivery of a copy of the Proxy Materials by writing to: Corporate Secretary, L3 Technologies, Inc., 600 Third Avenue, New York, New York 10016 or by calling (212) 697-1111.</w:t>
      </w:r>
    </w:p>
    <w:p>
      <w:pPr>
        <w:spacing w:after="0" w:line="430" w:lineRule="exact"/>
        <w:rPr>
          <w:sz w:val="20"/>
          <w:szCs w:val="20"/>
          <w:color w:val="auto"/>
        </w:rPr>
      </w:pPr>
    </w:p>
    <w:p>
      <w:pPr>
        <w:sectPr>
          <w:pgSz w:w="11900" w:h="16838" w:orient="portrait"/>
          <w:cols w:equalWidth="0" w:num="2">
            <w:col w:w="4447" w:space="720"/>
            <w:col w:w="4380"/>
          </w:cols>
          <w:pgMar w:left="1173" w:top="279" w:right="1179" w:bottom="1440" w:gutter="0" w:footer="0" w:header="0"/>
          <w:type w:val="continuous"/>
        </w:sectPr>
      </w:pPr>
    </w:p>
    <w:p>
      <w:pPr>
        <w:spacing w:after="0" w:line="19" w:lineRule="exact"/>
        <w:rPr>
          <w:sz w:val="20"/>
          <w:szCs w:val="20"/>
          <w:color w:val="auto"/>
        </w:rPr>
      </w:pPr>
    </w:p>
    <w:p>
      <w:pPr>
        <w:ind w:left="347" w:right="960" w:hanging="347"/>
        <w:spacing w:after="0" w:line="282" w:lineRule="auto"/>
        <w:tabs>
          <w:tab w:leader="none" w:pos="347"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THE COMPANY’S CORPORATE GOVERNANCE GUIDELINES, COMMITTEE CHARTERS, CODES OF CONDUCT OR OTHER GOVERNANCE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607187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type w:val="continuous"/>
        </w:sectPr>
      </w:pPr>
    </w:p>
    <w:p>
      <w:pPr>
        <w:spacing w:after="0" w:line="125" w:lineRule="exact"/>
        <w:rPr>
          <w:sz w:val="20"/>
          <w:szCs w:val="20"/>
          <w:color w:val="auto"/>
        </w:rPr>
      </w:pPr>
    </w:p>
    <w:p>
      <w:pPr>
        <w:ind w:left="7" w:right="140"/>
        <w:spacing w:after="0" w:line="253" w:lineRule="auto"/>
        <w:rPr>
          <w:sz w:val="20"/>
          <w:szCs w:val="20"/>
          <w:color w:val="auto"/>
        </w:rPr>
      </w:pPr>
      <w:r>
        <w:rPr>
          <w:rFonts w:ascii="Arial" w:cs="Arial" w:eastAsia="Arial" w:hAnsi="Arial"/>
          <w:sz w:val="18"/>
          <w:szCs w:val="18"/>
          <w:b w:val="1"/>
          <w:bCs w:val="1"/>
          <w:i w:val="1"/>
          <w:iCs w:val="1"/>
          <w:color w:val="auto"/>
        </w:rPr>
        <w:t xml:space="preserve">Committee Charters and Corporate Governance Guidelines: </w:t>
      </w:r>
      <w:r>
        <w:rPr>
          <w:rFonts w:ascii="Arial" w:cs="Arial" w:eastAsia="Arial" w:hAnsi="Arial"/>
          <w:sz w:val="18"/>
          <w:szCs w:val="18"/>
          <w:color w:val="auto"/>
        </w:rPr>
        <w:t>The Board of Directors has adopted a charter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each of the Audit, Nominating/Corporate Governance and Compensation Committees as well as Corporate Governance Guidelines that address the Board of Directors’ make-up and functioning. You can find links to these materials on our website at http://www.L3T.com under the “Investor Relations” tab by selecting “Corporate Governance.”</w:t>
      </w:r>
    </w:p>
    <w:p>
      <w:pPr>
        <w:spacing w:after="0" w:line="143" w:lineRule="exact"/>
        <w:rPr>
          <w:sz w:val="20"/>
          <w:szCs w:val="20"/>
          <w:color w:val="auto"/>
        </w:rPr>
      </w:pPr>
    </w:p>
    <w:p>
      <w:pPr>
        <w:ind w:left="7" w:right="140"/>
        <w:spacing w:after="0" w:line="340" w:lineRule="auto"/>
        <w:rPr>
          <w:sz w:val="20"/>
          <w:szCs w:val="20"/>
          <w:color w:val="auto"/>
        </w:rPr>
      </w:pPr>
      <w:r>
        <w:rPr>
          <w:rFonts w:ascii="Arial" w:cs="Arial" w:eastAsia="Arial" w:hAnsi="Arial"/>
          <w:sz w:val="15"/>
          <w:szCs w:val="15"/>
          <w:b w:val="1"/>
          <w:bCs w:val="1"/>
          <w:i w:val="1"/>
          <w:iCs w:val="1"/>
          <w:color w:val="auto"/>
        </w:rPr>
        <w:t xml:space="preserve">Code of Ethics and Business Conduct: </w:t>
      </w:r>
      <w:r>
        <w:rPr>
          <w:rFonts w:ascii="Arial" w:cs="Arial" w:eastAsia="Arial" w:hAnsi="Arial"/>
          <w:sz w:val="15"/>
          <w:szCs w:val="15"/>
          <w:color w:val="auto"/>
        </w:rPr>
        <w:t>The Board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Directors has adopted a code of ethics and business conduct that applies to all of our directors, officers and employees.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You can find a link to such code on our website at http://www.L3T.com. In accordance with, and to the extent required by, the rules and regulations of the SEC, we intend to post on our Web site waivers or implicit waivers (as such terms are defined in Item 5.05 of Form 8-K of the Exchange Act) and amendments of the code of ethics and business conduct that apply to any of our directors and executive officers, including our Chairman and Chief Executive Officer, President and Chief Operating Officer, Senior Vice President and Chief Financial Officer, and Vice President, Controller and Principal Accounting Officer or other persons performing similar functions.</w:t>
      </w:r>
    </w:p>
    <w:p>
      <w:pPr>
        <w:spacing w:after="0" w:line="410" w:lineRule="exact"/>
        <w:rPr>
          <w:sz w:val="20"/>
          <w:szCs w:val="20"/>
          <w:color w:val="auto"/>
        </w:rPr>
      </w:pPr>
    </w:p>
    <w:p>
      <w:pPr>
        <w:sectPr>
          <w:pgSz w:w="11900" w:h="16838" w:orient="portrait"/>
          <w:cols w:equalWidth="0" w:num="2">
            <w:col w:w="4447" w:space="720"/>
            <w:col w:w="4380"/>
          </w:cols>
          <w:pgMar w:left="1173" w:top="279" w:right="1179" w:bottom="1440" w:gutter="0" w:footer="0" w:header="0"/>
          <w:type w:val="continuous"/>
        </w:sectPr>
      </w:pPr>
    </w:p>
    <w:p>
      <w:pPr>
        <w:spacing w:after="0" w:line="26" w:lineRule="exact"/>
        <w:rPr>
          <w:sz w:val="20"/>
          <w:szCs w:val="20"/>
          <w:color w:val="auto"/>
        </w:rPr>
      </w:pPr>
    </w:p>
    <w:p>
      <w:pPr>
        <w:ind w:left="47"/>
        <w:spacing w:after="0"/>
        <w:tabs>
          <w:tab w:leader="none" w:pos="666" w:val="left"/>
        </w:tabs>
        <w:rPr>
          <w:sz w:val="20"/>
          <w:szCs w:val="20"/>
          <w:color w:val="auto"/>
        </w:rPr>
      </w:pPr>
      <w:r>
        <w:rPr>
          <w:rFonts w:ascii="Arial" w:cs="Arial" w:eastAsia="Arial" w:hAnsi="Arial"/>
          <w:sz w:val="15"/>
          <w:szCs w:val="15"/>
          <w:color w:val="005C7D"/>
        </w:rPr>
        <w:t>88</w:t>
      </w:r>
      <w:r>
        <w:rPr>
          <w:sz w:val="20"/>
          <w:szCs w:val="20"/>
          <w:color w:val="auto"/>
        </w:rPr>
        <w:tab/>
      </w:r>
      <w:r>
        <w:rPr>
          <w:rFonts w:ascii="Arial" w:cs="Arial" w:eastAsia="Arial" w:hAnsi="Arial"/>
          <w:sz w:val="12"/>
          <w:szCs w:val="12"/>
          <w:color w:val="005C7D"/>
        </w:rPr>
        <w:t xml:space="preserve">– </w:t>
      </w:r>
      <w:r>
        <w:rPr>
          <w:rFonts w:ascii="Arial" w:cs="Arial" w:eastAsia="Arial" w:hAnsi="Arial"/>
          <w:sz w:val="12"/>
          <w:szCs w:val="12"/>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388620</wp:posOffset>
            </wp:positionV>
            <wp:extent cx="6071870" cy="4318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-99695</wp:posOffset>
            </wp:positionV>
            <wp:extent cx="154305" cy="1543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type w:val="continuous"/>
        </w:sectPr>
      </w:pPr>
    </w:p>
    <w:bookmarkStart w:id="94" w:name="page95"/>
    <w:bookmarkEnd w:id="9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GENERAL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149860</wp:posOffset>
            </wp:positionV>
            <wp:extent cx="6071870" cy="2057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071870" cy="205740"/>
                    </a:xfrm>
                    <a:prstGeom prst="rect">
                      <a:avLst/>
                    </a:prstGeom>
                    <a:noFill/>
                  </pic:spPr>
                </pic:pic>
              </a:graphicData>
            </a:graphic>
          </wp:anchor>
        </w:drawing>
      </w:r>
    </w:p>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005C7D"/>
        </w:rPr>
        <w:t>GENERAL AND OTHER MATTERS</w:t>
      </w:r>
    </w:p>
    <w:p>
      <w:pPr>
        <w:spacing w:after="0" w:line="20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the date of this proxy statement, we know of no business that will be brought before the Annual Meeting other than the matters set forth above. However, if any further business properly comes before the Annual Meeting or any adjournments or postponements of the Annual Meeting, the Proxyholders will vote all shares underlying proxies delivered pursuant to this solicitation in accordance with their discretion on such matters.</w:t>
      </w:r>
    </w:p>
    <w:p>
      <w:pPr>
        <w:spacing w:after="0" w:line="13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have provided each shareholder whose proxy is being solicited hereby access to a copy of our Summary Annual Report and our Annual Report on Form 10-K filed with the SEC for the year ended December 31, 2016. Written requests for additional copies should be directed to: Corporate Communications, L3 Technologies, Inc., 600 Third Avenue, New York, New York 10016.</w:t>
      </w:r>
    </w:p>
    <w:p>
      <w:pPr>
        <w:spacing w:after="0" w:line="143"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b w:val="1"/>
          <w:bCs w:val="1"/>
          <w:color w:val="auto"/>
        </w:rPr>
        <w:t>Please vote over the Internet or telephone, or (if you received a paper copy of the Proxy Materials) complete, date, sign and promptly mail the paper proxy card in the reply envelope accompanying the Proxy Materials sent to you. No postage is required if returned in the envelope provided, and mailed in the United States.</w:t>
      </w:r>
    </w:p>
    <w:p>
      <w:pPr>
        <w:spacing w:after="0" w:line="12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2512695</wp:posOffset>
            </wp:positionH>
            <wp:positionV relativeFrom="paragraph">
              <wp:posOffset>17780</wp:posOffset>
            </wp:positionV>
            <wp:extent cx="1620520" cy="2914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6205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Ann D. Davidson</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Senior Vice President, General Counsel and</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Corporate Secretary</w:t>
      </w:r>
    </w:p>
    <w:p>
      <w:pPr>
        <w:spacing w:after="0" w:line="153" w:lineRule="exact"/>
        <w:rPr>
          <w:sz w:val="20"/>
          <w:szCs w:val="20"/>
          <w:color w:val="auto"/>
        </w:rPr>
      </w:pPr>
    </w:p>
    <w:p>
      <w:pPr>
        <w:ind w:left="940" w:hanging="92"/>
        <w:spacing w:after="0"/>
        <w:tabs>
          <w:tab w:leader="none" w:pos="9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2017</w:t>
      </w:r>
    </w:p>
    <w:p>
      <w:pPr>
        <w:spacing w:after="0" w:line="2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6071870" cy="141478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071870" cy="1414780"/>
                    </a:xfrm>
                    <a:prstGeom prst="rect">
                      <a:avLst/>
                    </a:prstGeom>
                    <a:noFill/>
                  </pic:spPr>
                </pic:pic>
              </a:graphicData>
            </a:graphic>
          </wp:anchor>
        </w:drawing>
      </w:r>
    </w:p>
    <w:p>
      <w:pPr>
        <w:spacing w:after="0" w:line="106" w:lineRule="exact"/>
        <w:rPr>
          <w:sz w:val="20"/>
          <w:szCs w:val="20"/>
          <w:color w:val="auto"/>
        </w:rPr>
      </w:pPr>
    </w:p>
    <w:p>
      <w:pPr>
        <w:ind w:left="80" w:right="160"/>
        <w:spacing w:after="0" w:line="258" w:lineRule="auto"/>
        <w:rPr>
          <w:sz w:val="20"/>
          <w:szCs w:val="20"/>
          <w:color w:val="auto"/>
        </w:rPr>
      </w:pPr>
      <w:r>
        <w:rPr>
          <w:rFonts w:ascii="Arial" w:cs="Arial" w:eastAsia="Arial" w:hAnsi="Arial"/>
          <w:sz w:val="18"/>
          <w:szCs w:val="18"/>
          <w:b w:val="1"/>
          <w:bCs w:val="1"/>
          <w:color w:val="auto"/>
        </w:rPr>
        <w:t>We make available, free of charge on our website, all of our filings that are made electronically with the SEC, including Forms 10-K, 10-Q and 8-K. To access these filings, go to our website, http://www.L3T.com, and click on “SEC Filings” under the “Investor Relations” heading. Copies of our Annual Report on Form 10-K for the year ended December 31, 2016, including financial statements and schedules thereto, are also available without charge to shareholders upon written request addressed to:</w:t>
      </w:r>
    </w:p>
    <w:p>
      <w:pPr>
        <w:spacing w:after="0" w:line="13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Corporate Secretary</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L3 Technologies, Inc.</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600 Third Avenue</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New York, New York 10016</w:t>
      </w:r>
    </w:p>
    <w:p>
      <w:pPr>
        <w:spacing w:after="0" w:line="332" w:lineRule="exact"/>
        <w:rPr>
          <w:sz w:val="20"/>
          <w:szCs w:val="20"/>
          <w:color w:val="auto"/>
        </w:rPr>
      </w:pPr>
    </w:p>
    <w:p>
      <w:pPr>
        <w:ind w:left="7820"/>
        <w:spacing w:after="0"/>
        <w:tabs>
          <w:tab w:leader="none" w:pos="932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6"/>
          <w:szCs w:val="16"/>
          <w:color w:val="005C7D"/>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6071870" cy="4318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-107315</wp:posOffset>
            </wp:positionV>
            <wp:extent cx="163195" cy="15430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149860</wp:posOffset>
            </wp:positionV>
            <wp:extent cx="6071870" cy="2057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071870" cy="205740"/>
                    </a:xfrm>
                    <a:prstGeom prst="rect">
                      <a:avLst/>
                    </a:prstGeom>
                    <a:noFill/>
                  </pic:spPr>
                </pic:pic>
              </a:graphicData>
            </a:graphic>
          </wp:anchor>
        </w:drawing>
      </w:r>
    </w:p>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005C7D"/>
        </w:rPr>
        <w:t>ANNEX A</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L3 TECHNOLOGIES, INC. RESTATED CERTIFICATE OF INCORPORATION</w:t>
      </w:r>
    </w:p>
    <w:p>
      <w:pPr>
        <w:spacing w:after="0" w:line="17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TENTH: </w:t>
      </w:r>
      <w:r>
        <w:rPr>
          <w:rFonts w:ascii="Arial" w:cs="Arial" w:eastAsia="Arial" w:hAnsi="Arial"/>
          <w:sz w:val="17"/>
          <w:szCs w:val="17"/>
          <w:color w:val="auto"/>
          <w:strike w:val="1"/>
        </w:rPr>
        <w:t>Notwithstanding the provisions of Section 228 of the General Corporation Law of the State of Delaware, the</w:t>
      </w:r>
      <w:r>
        <w:rPr>
          <w:rFonts w:ascii="Arial" w:cs="Arial" w:eastAsia="Arial" w:hAnsi="Arial"/>
          <w:sz w:val="17"/>
          <w:szCs w:val="17"/>
          <w:u w:val="single" w:color="auto"/>
          <w:color w:val="auto"/>
        </w:rPr>
        <w:t>The</w:t>
      </w:r>
      <w:r>
        <w:rPr>
          <w:rFonts w:ascii="Arial" w:cs="Arial" w:eastAsia="Arial" w:hAnsi="Arial"/>
          <w:sz w:val="17"/>
          <w:szCs w:val="17"/>
          <w:color w:val="auto"/>
        </w:rPr>
        <w:t xml:space="preserve"> shareholders of the Corporation may take action by written consent only if </w:t>
      </w:r>
      <w:r>
        <w:rPr>
          <w:rFonts w:ascii="Arial" w:cs="Arial" w:eastAsia="Arial" w:hAnsi="Arial"/>
          <w:sz w:val="17"/>
          <w:szCs w:val="17"/>
          <w:color w:val="auto"/>
          <w:strike w:val="1"/>
        </w:rPr>
        <w:t>all</w:t>
      </w:r>
      <w:r>
        <w:rPr>
          <w:rFonts w:ascii="Arial" w:cs="Arial" w:eastAsia="Arial" w:hAnsi="Arial"/>
          <w:sz w:val="17"/>
          <w:szCs w:val="17"/>
          <w:u w:val="single" w:color="auto"/>
          <w:color w:val="auto"/>
        </w:rPr>
        <w:t>a majority</w:t>
      </w:r>
      <w:r>
        <w:rPr>
          <w:rFonts w:ascii="Arial" w:cs="Arial" w:eastAsia="Arial" w:hAnsi="Arial"/>
          <w:sz w:val="17"/>
          <w:szCs w:val="17"/>
          <w:color w:val="auto"/>
        </w:rPr>
        <w:t xml:space="preserve"> of the </w:t>
      </w:r>
      <w:r>
        <w:rPr>
          <w:rFonts w:ascii="Arial" w:cs="Arial" w:eastAsia="Arial" w:hAnsi="Arial"/>
          <w:sz w:val="17"/>
          <w:szCs w:val="17"/>
          <w:color w:val="auto"/>
          <w:strike w:val="1"/>
        </w:rPr>
        <w:t>shareholders</w:t>
      </w:r>
      <w:r>
        <w:rPr>
          <w:rFonts w:ascii="Arial" w:cs="Arial" w:eastAsia="Arial" w:hAnsi="Arial"/>
          <w:sz w:val="17"/>
          <w:szCs w:val="17"/>
          <w:u w:val="single" w:color="auto"/>
          <w:color w:val="auto"/>
        </w:rPr>
        <w:t>outstanding shares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capital stock of the Corporation</w:t>
      </w:r>
      <w:r>
        <w:rPr>
          <w:rFonts w:ascii="Arial" w:cs="Arial" w:eastAsia="Arial" w:hAnsi="Arial"/>
          <w:sz w:val="17"/>
          <w:szCs w:val="17"/>
          <w:color w:val="auto"/>
        </w:rPr>
        <w:t xml:space="preserve"> entitled to vote on the matter sign such consent. </w:t>
      </w:r>
      <w:r>
        <w:rPr>
          <w:rFonts w:ascii="Arial" w:cs="Arial" w:eastAsia="Arial" w:hAnsi="Arial"/>
          <w:sz w:val="17"/>
          <w:szCs w:val="17"/>
          <w:color w:val="auto"/>
          <w:strike w:val="1"/>
        </w:rPr>
        <w:t>This Article TENTH may not be amended without</w:t>
      </w:r>
      <w:r>
        <w:rPr>
          <w:rFonts w:ascii="Arial" w:cs="Arial" w:eastAsia="Arial" w:hAnsi="Arial"/>
          <w:sz w:val="17"/>
          <w:szCs w:val="17"/>
          <w:color w:val="auto"/>
        </w:rPr>
        <w:t xml:space="preserve"> </w:t>
      </w:r>
      <w:r>
        <w:rPr>
          <w:rFonts w:ascii="Arial" w:cs="Arial" w:eastAsia="Arial" w:hAnsi="Arial"/>
          <w:sz w:val="17"/>
          <w:szCs w:val="17"/>
          <w:color w:val="auto"/>
          <w:strike w:val="1"/>
        </w:rPr>
        <w:t>the unanimous consent of all shareholders entitled to vote on the matter.</w:t>
      </w:r>
    </w:p>
    <w:p>
      <w:pPr>
        <w:spacing w:after="0" w:line="212" w:lineRule="exact"/>
        <w:rPr>
          <w:sz w:val="20"/>
          <w:szCs w:val="20"/>
          <w:color w:val="auto"/>
        </w:rPr>
      </w:pPr>
    </w:p>
    <w:p>
      <w:pPr>
        <w:ind w:left="7680"/>
        <w:spacing w:after="0"/>
        <w:tabs>
          <w:tab w:leader="none" w:pos="922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7"/>
          <w:szCs w:val="17"/>
          <w:color w:val="005C7D"/>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374015</wp:posOffset>
            </wp:positionV>
            <wp:extent cx="6071870" cy="4318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-114300</wp:posOffset>
            </wp:positionV>
            <wp:extent cx="163195" cy="15430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07187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149860</wp:posOffset>
            </wp:positionV>
            <wp:extent cx="6071870" cy="2057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071870" cy="205740"/>
                    </a:xfrm>
                    <a:prstGeom prst="rect">
                      <a:avLst/>
                    </a:prstGeom>
                    <a:noFill/>
                  </pic:spPr>
                </pic:pic>
              </a:graphicData>
            </a:graphic>
          </wp:anchor>
        </w:drawing>
      </w:r>
    </w:p>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005C7D"/>
        </w:rPr>
        <w:t>ANNEX B</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L3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2012 CASH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through February 21, 2017)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Purpose of the Plan</w:t>
      </w:r>
    </w:p>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purpose of the Plan is to enable the Company and its Subsidiaries to attract, retain, motivate and reward executive officers and key employees by providing them with the opportunity to earn competitive compensation directly linked to the Company’s performance or otherwise.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Definitions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capitalized terms used in the Plan have the respective meanings set forth in this Section:</w:t>
      </w:r>
    </w:p>
    <w:p>
      <w:pPr>
        <w:spacing w:after="0" w:line="117" w:lineRule="exact"/>
        <w:rPr>
          <w:sz w:val="20"/>
          <w:szCs w:val="20"/>
          <w:color w:val="auto"/>
        </w:rPr>
      </w:pPr>
    </w:p>
    <w:p>
      <w:pPr>
        <w:ind w:right="500" w:firstLine="353"/>
        <w:spacing w:after="0" w:line="277" w:lineRule="auto"/>
        <w:tabs>
          <w:tab w:leader="none" w:pos="69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entity, any entity directly or indirectly controlling, controlled by, or under common control with, such entity.</w:t>
      </w:r>
    </w:p>
    <w:p>
      <w:pPr>
        <w:spacing w:after="0" w:line="62" w:lineRule="exact"/>
        <w:rPr>
          <w:rFonts w:ascii="Arial" w:cs="Arial" w:eastAsia="Arial" w:hAnsi="Arial"/>
          <w:sz w:val="18"/>
          <w:szCs w:val="18"/>
          <w:color w:val="auto"/>
        </w:rPr>
      </w:pPr>
    </w:p>
    <w:p>
      <w:pPr>
        <w:ind w:left="700" w:hanging="347"/>
        <w:spacing w:after="0"/>
        <w:tabs>
          <w:tab w:leader="none" w:pos="7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117" w:lineRule="exact"/>
        <w:rPr>
          <w:rFonts w:ascii="Arial" w:cs="Arial" w:eastAsia="Arial" w:hAnsi="Arial"/>
          <w:sz w:val="18"/>
          <w:szCs w:val="18"/>
          <w:color w:val="auto"/>
        </w:rPr>
      </w:pPr>
    </w:p>
    <w:p>
      <w:pPr>
        <w:ind w:right="40" w:firstLine="353"/>
        <w:spacing w:after="0" w:line="257" w:lineRule="auto"/>
        <w:tabs>
          <w:tab w:leader="none" w:pos="69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shall mean the Participant’s (1) intentional failure to perform reasonably assigned duties, (2) dishonesty or willful misconduct in the performance of duties, (3) engaging in a transaction in connection with the performance of duties to the Company or its Subsidiaries which transaction is adverse to the interests of the Company and is engaged in for personal profit or (4) willful violation of any law, rule or regulation in connection with the performance of duties (other than traffic violations or similar offenses).</w:t>
      </w:r>
    </w:p>
    <w:p>
      <w:pPr>
        <w:spacing w:after="0" w:line="80" w:lineRule="exact"/>
        <w:rPr>
          <w:rFonts w:ascii="Arial" w:cs="Arial" w:eastAsia="Arial" w:hAnsi="Arial"/>
          <w:sz w:val="18"/>
          <w:szCs w:val="18"/>
          <w:color w:val="auto"/>
        </w:rPr>
      </w:pPr>
    </w:p>
    <w:p>
      <w:pPr>
        <w:ind w:left="700" w:hanging="347"/>
        <w:spacing w:after="0"/>
        <w:tabs>
          <w:tab w:leader="none" w:pos="7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assigned to such term under the Company’s Equity Plan.</w:t>
      </w:r>
    </w:p>
    <w:p>
      <w:pPr>
        <w:spacing w:after="0" w:line="117" w:lineRule="exact"/>
        <w:rPr>
          <w:rFonts w:ascii="Arial" w:cs="Arial" w:eastAsia="Arial" w:hAnsi="Arial"/>
          <w:sz w:val="18"/>
          <w:szCs w:val="18"/>
          <w:color w:val="auto"/>
        </w:rPr>
      </w:pPr>
    </w:p>
    <w:p>
      <w:pPr>
        <w:ind w:right="420" w:firstLine="353"/>
        <w:spacing w:after="0" w:line="277" w:lineRule="auto"/>
        <w:tabs>
          <w:tab w:leader="none" w:pos="69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or any successor thereto, and the regulations and guidance promulgated thereunder.</w:t>
      </w:r>
    </w:p>
    <w:p>
      <w:pPr>
        <w:spacing w:after="0" w:line="62" w:lineRule="exact"/>
        <w:rPr>
          <w:rFonts w:ascii="Arial" w:cs="Arial" w:eastAsia="Arial" w:hAnsi="Arial"/>
          <w:sz w:val="18"/>
          <w:szCs w:val="18"/>
          <w:color w:val="auto"/>
        </w:rPr>
      </w:pPr>
    </w:p>
    <w:p>
      <w:pPr>
        <w:ind w:right="80" w:firstLine="353"/>
        <w:spacing w:after="0" w:line="312" w:lineRule="auto"/>
        <w:tabs>
          <w:tab w:leader="none" w:pos="67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shall mean the Compensation Committee of the Board (or a subcommittee thereof), or such other committee of the Board consisting solely of at least two individuals who are intended to qualify as “outside directors” within the meaning of Section 162(m) of the Code, to which the Board has delegated power to act under or pursuant to the provisions of the Plan.</w:t>
      </w:r>
    </w:p>
    <w:p>
      <w:pPr>
        <w:spacing w:after="0" w:line="38" w:lineRule="exact"/>
        <w:rPr>
          <w:rFonts w:ascii="Arial" w:cs="Arial" w:eastAsia="Arial" w:hAnsi="Arial"/>
          <w:sz w:val="16"/>
          <w:szCs w:val="16"/>
          <w:color w:val="auto"/>
        </w:rPr>
      </w:pPr>
    </w:p>
    <w:p>
      <w:pPr>
        <w:ind w:left="700" w:hanging="347"/>
        <w:spacing w:after="0"/>
        <w:tabs>
          <w:tab w:leader="none" w:pos="7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L3 Technologies, Inc., a Delaware corporation.</w:t>
      </w:r>
    </w:p>
    <w:p>
      <w:pPr>
        <w:spacing w:after="0" w:line="117" w:lineRule="exact"/>
        <w:rPr>
          <w:rFonts w:ascii="Arial" w:cs="Arial" w:eastAsia="Arial" w:hAnsi="Arial"/>
          <w:sz w:val="18"/>
          <w:szCs w:val="18"/>
          <w:color w:val="auto"/>
        </w:rPr>
      </w:pPr>
    </w:p>
    <w:p>
      <w:pPr>
        <w:ind w:left="700" w:hanging="347"/>
        <w:spacing w:after="0"/>
        <w:tabs>
          <w:tab w:leader="none" w:pos="7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Employee</w:t>
      </w:r>
      <w:r>
        <w:rPr>
          <w:rFonts w:ascii="Arial" w:cs="Arial" w:eastAsia="Arial" w:hAnsi="Arial"/>
          <w:sz w:val="18"/>
          <w:szCs w:val="18"/>
          <w:color w:val="auto"/>
        </w:rPr>
        <w:t>” shall have the meaning set forth in Section 162(m) of the Code.</w:t>
      </w:r>
    </w:p>
    <w:p>
      <w:pPr>
        <w:spacing w:after="0" w:line="117" w:lineRule="exact"/>
        <w:rPr>
          <w:rFonts w:ascii="Arial" w:cs="Arial" w:eastAsia="Arial" w:hAnsi="Arial"/>
          <w:sz w:val="18"/>
          <w:szCs w:val="18"/>
          <w:color w:val="auto"/>
        </w:rPr>
      </w:pPr>
    </w:p>
    <w:p>
      <w:pPr>
        <w:ind w:right="40" w:firstLine="353"/>
        <w:spacing w:after="0" w:line="279" w:lineRule="auto"/>
        <w:tabs>
          <w:tab w:leader="none" w:pos="66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or “</w:t>
      </w:r>
      <w:r>
        <w:rPr>
          <w:rFonts w:ascii="Arial" w:cs="Arial" w:eastAsia="Arial" w:hAnsi="Arial"/>
          <w:sz w:val="17"/>
          <w:szCs w:val="17"/>
          <w:u w:val="single" w:color="auto"/>
          <w:color w:val="auto"/>
        </w:rPr>
        <w:t>Disabled</w:t>
      </w:r>
      <w:r>
        <w:rPr>
          <w:rFonts w:ascii="Arial" w:cs="Arial" w:eastAsia="Arial" w:hAnsi="Arial"/>
          <w:sz w:val="17"/>
          <w:szCs w:val="17"/>
          <w:color w:val="auto"/>
        </w:rPr>
        <w:t>” shall mean, unless otherwise agreed by the Company (or any of its Subsidiaries) in a written agreement or employment letter with such Participant, that the Participant, as a result of incapacity due to physical or mental illness, becomes eligible for benefits under the long-term disability plan or policy of the Company or a Subsidiary in which the Participant is eligible to participate. The Disability determination shall be in the sole discretion of the Committee.</w:t>
      </w:r>
    </w:p>
    <w:p>
      <w:pPr>
        <w:spacing w:after="0" w:line="63" w:lineRule="exact"/>
        <w:rPr>
          <w:rFonts w:ascii="Arial" w:cs="Arial" w:eastAsia="Arial" w:hAnsi="Arial"/>
          <w:sz w:val="17"/>
          <w:szCs w:val="17"/>
          <w:color w:val="auto"/>
        </w:rPr>
      </w:pPr>
    </w:p>
    <w:p>
      <w:pPr>
        <w:ind w:right="180" w:firstLine="353"/>
        <w:spacing w:after="0" w:line="277" w:lineRule="auto"/>
        <w:tabs>
          <w:tab w:leader="none" w:pos="66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Plan</w:t>
      </w:r>
      <w:r>
        <w:rPr>
          <w:rFonts w:ascii="Arial" w:cs="Arial" w:eastAsia="Arial" w:hAnsi="Arial"/>
          <w:sz w:val="18"/>
          <w:szCs w:val="18"/>
          <w:color w:val="auto"/>
        </w:rPr>
        <w:t>” shall mean the Company’s Amended and Restated 2008 Long Term Performance Plan, as amended, or any successor plan thereto.</w:t>
      </w:r>
    </w:p>
    <w:p>
      <w:pPr>
        <w:spacing w:after="0" w:line="62" w:lineRule="exact"/>
        <w:rPr>
          <w:rFonts w:ascii="Arial" w:cs="Arial" w:eastAsia="Arial" w:hAnsi="Arial"/>
          <w:sz w:val="18"/>
          <w:szCs w:val="18"/>
          <w:color w:val="auto"/>
        </w:rPr>
      </w:pPr>
    </w:p>
    <w:p>
      <w:pPr>
        <w:ind w:right="180" w:firstLine="353"/>
        <w:spacing w:after="0" w:line="277" w:lineRule="auto"/>
        <w:tabs>
          <w:tab w:leader="none" w:pos="70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Quarter</w:t>
      </w:r>
      <w:r>
        <w:rPr>
          <w:rFonts w:ascii="Arial" w:cs="Arial" w:eastAsia="Arial" w:hAnsi="Arial"/>
          <w:sz w:val="18"/>
          <w:szCs w:val="18"/>
          <w:color w:val="auto"/>
        </w:rPr>
        <w:t>” shall mean the period of calendar days during a given Performance Period that is equal to the lesser of (i) 25% of the full number of calendar days falling within such Performance Period or (ii) 90 days.</w:t>
      </w:r>
    </w:p>
    <w:p>
      <w:pPr>
        <w:spacing w:after="0" w:line="62" w:lineRule="exact"/>
        <w:rPr>
          <w:rFonts w:ascii="Arial" w:cs="Arial" w:eastAsia="Arial" w:hAnsi="Arial"/>
          <w:sz w:val="18"/>
          <w:szCs w:val="18"/>
          <w:color w:val="auto"/>
        </w:rPr>
      </w:pPr>
    </w:p>
    <w:p>
      <w:pPr>
        <w:ind w:right="240" w:firstLine="353"/>
        <w:spacing w:after="0" w:line="277" w:lineRule="auto"/>
        <w:tabs>
          <w:tab w:leader="none" w:pos="66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shall mean each officer of the Company and other key employee of the Company or any of its Subsidiaries whom the Committee designates as a participant under the Plan.</w:t>
      </w:r>
    </w:p>
    <w:p>
      <w:pPr>
        <w:spacing w:after="0" w:line="62" w:lineRule="exact"/>
        <w:rPr>
          <w:rFonts w:ascii="Arial" w:cs="Arial" w:eastAsia="Arial" w:hAnsi="Arial"/>
          <w:sz w:val="18"/>
          <w:szCs w:val="18"/>
          <w:color w:val="auto"/>
        </w:rPr>
      </w:pPr>
    </w:p>
    <w:p>
      <w:pPr>
        <w:ind w:right="120" w:firstLine="353"/>
        <w:spacing w:after="0" w:line="277" w:lineRule="auto"/>
        <w:tabs>
          <w:tab w:leader="none" w:pos="7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mean each fiscal year of the Company or such shorter or longer period, as determined by the Committee.</w:t>
      </w:r>
    </w:p>
    <w:p>
      <w:pPr>
        <w:spacing w:after="0" w:line="62" w:lineRule="exact"/>
        <w:rPr>
          <w:rFonts w:ascii="Arial" w:cs="Arial" w:eastAsia="Arial" w:hAnsi="Arial"/>
          <w:sz w:val="18"/>
          <w:szCs w:val="18"/>
          <w:color w:val="auto"/>
        </w:rPr>
      </w:pPr>
    </w:p>
    <w:p>
      <w:pPr>
        <w:ind w:right="160" w:firstLine="353"/>
        <w:spacing w:after="0" w:line="277" w:lineRule="auto"/>
        <w:tabs>
          <w:tab w:leader="none" w:pos="70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shall mean this L3 Technologies, Inc. Amended and Restated 2012 Cash Incentive Plan, as set forth herein and as may be amended and in effect from time to time.</w:t>
      </w:r>
    </w:p>
    <w:p>
      <w:pPr>
        <w:spacing w:after="0" w:line="211" w:lineRule="exact"/>
        <w:rPr>
          <w:sz w:val="20"/>
          <w:szCs w:val="20"/>
          <w:color w:val="auto"/>
        </w:rPr>
      </w:pPr>
    </w:p>
    <w:p>
      <w:pPr>
        <w:ind w:left="7680"/>
        <w:spacing w:after="0"/>
        <w:tabs>
          <w:tab w:leader="none" w:pos="9220"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7"/>
          <w:szCs w:val="17"/>
          <w:color w:val="005C7D"/>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374015</wp:posOffset>
            </wp:positionV>
            <wp:extent cx="6071870" cy="4318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-114300</wp:posOffset>
            </wp:positionV>
            <wp:extent cx="163195" cy="15430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7" w:name="page98"/>
    <w:bookmarkEnd w:id="97"/>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7"/>
        <w:spacing w:after="0"/>
        <w:rPr>
          <w:sz w:val="20"/>
          <w:szCs w:val="20"/>
          <w:color w:val="auto"/>
        </w:rPr>
      </w:pPr>
      <w:r>
        <w:rPr>
          <w:rFonts w:ascii="Arial" w:cs="Arial" w:eastAsia="Arial" w:hAnsi="Arial"/>
          <w:sz w:val="14"/>
          <w:szCs w:val="14"/>
          <w:color w:val="005C7D"/>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07187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2" w:lineRule="exact"/>
        <w:rPr>
          <w:sz w:val="20"/>
          <w:szCs w:val="20"/>
          <w:color w:val="auto"/>
        </w:rPr>
      </w:pPr>
    </w:p>
    <w:p>
      <w:pPr>
        <w:ind w:left="7" w:right="60" w:firstLine="353"/>
        <w:spacing w:after="0" w:line="297" w:lineRule="auto"/>
        <w:tabs>
          <w:tab w:leader="none" w:pos="712" w:val="left"/>
        </w:tabs>
        <w:numPr>
          <w:ilvl w:val="1"/>
          <w:numId w:val="1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Retirement</w:t>
      </w:r>
      <w:r>
        <w:rPr>
          <w:rFonts w:ascii="Arial" w:cs="Arial" w:eastAsia="Arial" w:hAnsi="Arial"/>
          <w:sz w:val="16"/>
          <w:szCs w:val="16"/>
          <w:color w:val="auto"/>
        </w:rPr>
        <w:t>” shall mean that the Participant (1) terminates employment with the Company and its Subsidiaries other than for Cause (and is not subject to termination for Cause at the time of such termination), (2) is available for consultation with the Company or its Subsidiaries at the reasonable request of the Company or its Subsidiaries and (3) terminates employment on or after attaining age 65 and completing at least five years of service in the aggregate with the Company and its Subsidiaries (which service must be continuous through the date of termination except for a single break in service that does not exceed one year in length).</w:t>
      </w:r>
    </w:p>
    <w:p>
      <w:pPr>
        <w:spacing w:after="0" w:line="50" w:lineRule="exact"/>
        <w:rPr>
          <w:rFonts w:ascii="Arial" w:cs="Arial" w:eastAsia="Arial" w:hAnsi="Arial"/>
          <w:sz w:val="16"/>
          <w:szCs w:val="16"/>
          <w:color w:val="auto"/>
        </w:rPr>
      </w:pPr>
    </w:p>
    <w:p>
      <w:pPr>
        <w:ind w:left="7" w:right="140" w:firstLine="353"/>
        <w:spacing w:after="0" w:line="277" w:lineRule="auto"/>
        <w:tabs>
          <w:tab w:leader="none" w:pos="71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409A</w:t>
      </w:r>
      <w:r>
        <w:rPr>
          <w:rFonts w:ascii="Arial" w:cs="Arial" w:eastAsia="Arial" w:hAnsi="Arial"/>
          <w:sz w:val="18"/>
          <w:szCs w:val="18"/>
          <w:color w:val="auto"/>
        </w:rPr>
        <w:t>” shall mean Section 409A of the Code and any rules, regulations and other official guidance promulgated thereunder.</w:t>
      </w:r>
    </w:p>
    <w:p>
      <w:pPr>
        <w:spacing w:after="0" w:line="62" w:lineRule="exact"/>
        <w:rPr>
          <w:rFonts w:ascii="Arial" w:cs="Arial" w:eastAsia="Arial" w:hAnsi="Arial"/>
          <w:sz w:val="18"/>
          <w:szCs w:val="18"/>
          <w:color w:val="auto"/>
        </w:rPr>
      </w:pPr>
    </w:p>
    <w:p>
      <w:pPr>
        <w:ind w:left="7" w:right="20" w:firstLine="353"/>
        <w:spacing w:after="0" w:line="312" w:lineRule="auto"/>
        <w:tabs>
          <w:tab w:leader="none" w:pos="712" w:val="left"/>
        </w:tabs>
        <w:numPr>
          <w:ilvl w:val="1"/>
          <w:numId w:val="1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 Recipient</w:t>
      </w:r>
      <w:r>
        <w:rPr>
          <w:rFonts w:ascii="Arial" w:cs="Arial" w:eastAsia="Arial" w:hAnsi="Arial"/>
          <w:sz w:val="16"/>
          <w:szCs w:val="16"/>
          <w:color w:val="auto"/>
        </w:rPr>
        <w:t>” shall mean the Company, any of its Subsidiaries, or any of its Affiliates that satisfies the definition of “service recipient” within the meaning of Treasury Regulation Section 1.409A-1 (or any successor regulation), with respect to which the person is a “service provider” (within the meaning of Treasury Regulation Section 1.409A-1(or any successor regulation).</w:t>
      </w:r>
    </w:p>
    <w:p>
      <w:pPr>
        <w:spacing w:after="0" w:line="38" w:lineRule="exact"/>
        <w:rPr>
          <w:rFonts w:ascii="Arial" w:cs="Arial" w:eastAsia="Arial" w:hAnsi="Arial"/>
          <w:sz w:val="16"/>
          <w:szCs w:val="16"/>
          <w:color w:val="auto"/>
        </w:rPr>
      </w:pPr>
    </w:p>
    <w:p>
      <w:pPr>
        <w:ind w:left="667" w:hanging="307"/>
        <w:spacing w:after="0"/>
        <w:tabs>
          <w:tab w:leader="none" w:pos="66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shall mean a share of common stock of the Company.</w:t>
      </w:r>
    </w:p>
    <w:p>
      <w:pPr>
        <w:spacing w:after="0" w:line="117" w:lineRule="exact"/>
        <w:rPr>
          <w:rFonts w:ascii="Arial" w:cs="Arial" w:eastAsia="Arial" w:hAnsi="Arial"/>
          <w:sz w:val="18"/>
          <w:szCs w:val="18"/>
          <w:color w:val="auto"/>
        </w:rPr>
      </w:pPr>
    </w:p>
    <w:p>
      <w:pPr>
        <w:ind w:left="7" w:right="120" w:firstLine="353"/>
        <w:spacing w:after="0" w:line="312" w:lineRule="auto"/>
        <w:tabs>
          <w:tab w:leader="none" w:pos="692" w:val="left"/>
        </w:tabs>
        <w:numPr>
          <w:ilvl w:val="1"/>
          <w:numId w:val="1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as to any person, any corporation, association, partnership, joint venture or other business entity of which 50% or more of the voting stock or other equity interests (in the case of entities other than corporations) is owned or controlled (directly or indirectly) by that entity, or by one or more of the Subsidiaries of that entity, or by a combination thereof.</w:t>
      </w:r>
    </w:p>
    <w:p>
      <w:pPr>
        <w:spacing w:after="0" w:line="142" w:lineRule="exact"/>
        <w:rPr>
          <w:rFonts w:ascii="Arial" w:cs="Arial" w:eastAsia="Arial" w:hAnsi="Arial"/>
          <w:sz w:val="16"/>
          <w:szCs w:val="16"/>
          <w:color w:val="auto"/>
        </w:rPr>
      </w:pPr>
    </w:p>
    <w:p>
      <w:pPr>
        <w:ind w:left="267" w:hanging="267"/>
        <w:spacing w:after="0"/>
        <w:tabs>
          <w:tab w:leader="none" w:pos="267"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121" w:lineRule="exact"/>
        <w:rPr>
          <w:rFonts w:ascii="Arial" w:cs="Arial" w:eastAsia="Arial" w:hAnsi="Arial"/>
          <w:sz w:val="18"/>
          <w:szCs w:val="18"/>
          <w:b w:val="1"/>
          <w:bCs w:val="1"/>
          <w:color w:val="auto"/>
        </w:rPr>
      </w:pPr>
    </w:p>
    <w:p>
      <w:pPr>
        <w:ind w:left="7" w:right="40" w:firstLine="353"/>
        <w:spacing w:after="0" w:line="291" w:lineRule="auto"/>
        <w:tabs>
          <w:tab w:leader="none" w:pos="698" w:val="left"/>
        </w:tabs>
        <w:numPr>
          <w:ilvl w:val="1"/>
          <w:numId w:val="102"/>
        </w:numPr>
        <w:rPr>
          <w:rFonts w:ascii="Arial" w:cs="Arial" w:eastAsia="Arial" w:hAnsi="Arial"/>
          <w:sz w:val="16"/>
          <w:szCs w:val="16"/>
          <w:color w:val="auto"/>
        </w:rPr>
      </w:pPr>
      <w:r>
        <w:rPr>
          <w:rFonts w:ascii="Arial" w:cs="Arial" w:eastAsia="Arial" w:hAnsi="Arial"/>
          <w:sz w:val="16"/>
          <w:szCs w:val="16"/>
          <w:color w:val="auto"/>
        </w:rPr>
        <w:t xml:space="preserve">The Plan shall be administered and interpreted by the Committee;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may, in its sole discretion, take any action delegated to the Committee under this Plan as it may deem necessary; provided that the Plan shall, to the extent reasonably possible, be administered and interpreted by the Committee in a manner which would be expected to cause any award intended to be qualified as performance-based compensation under Section 162(m) of the Code to so qualify. The Committee shall establish the performance objective(s) for any Performance Period in accordance with Section 4 and certify whether and to what extent such performance objective(s) have been obtained. Any determination made by the Committee under the Plan shall be final, conclusive and binding on the Company, any of its Subsidiaries, any Participant and any other person dealing with the Plan.</w:t>
      </w:r>
    </w:p>
    <w:p>
      <w:pPr>
        <w:spacing w:after="0" w:line="59" w:lineRule="exact"/>
        <w:rPr>
          <w:rFonts w:ascii="Arial" w:cs="Arial" w:eastAsia="Arial" w:hAnsi="Arial"/>
          <w:sz w:val="16"/>
          <w:szCs w:val="16"/>
          <w:color w:val="auto"/>
        </w:rPr>
      </w:pPr>
    </w:p>
    <w:p>
      <w:pPr>
        <w:ind w:left="7" w:firstLine="353"/>
        <w:spacing w:after="0" w:line="255" w:lineRule="auto"/>
        <w:tabs>
          <w:tab w:leader="none" w:pos="70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Committee may employ such legal counsel, consultants and agents (including counsel or agents who are employees of the Company or any of its Subsidiaries) as it may deem desirable for the administration of the Plan and may rely upon any opinion received from any such counsel or consultant or agent and any computation received from such consultant or agent. All expenses incurred in the administration of the Plan, including, without limitation, for the engagement of any counsel, consultant or agent, shall be paid by the Company. No member or former member of the Board or the Committee shall be liable for any act, omission, interpretation, construction or determination made in connection with the Plan other than as a result of such individual’s willful misconduct.</w:t>
      </w:r>
    </w:p>
    <w:p>
      <w:pPr>
        <w:spacing w:after="0" w:line="81" w:lineRule="exact"/>
        <w:rPr>
          <w:rFonts w:ascii="Arial" w:cs="Arial" w:eastAsia="Arial" w:hAnsi="Arial"/>
          <w:sz w:val="18"/>
          <w:szCs w:val="18"/>
          <w:color w:val="auto"/>
        </w:rPr>
      </w:pPr>
    </w:p>
    <w:p>
      <w:pPr>
        <w:ind w:left="7" w:firstLine="353"/>
        <w:spacing w:after="0" w:line="255" w:lineRule="auto"/>
        <w:tabs>
          <w:tab w:leader="none" w:pos="69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Committee may delegate to the officers or employees of the Company the authority to make grants under the Plan and execute and deliver those instruments and documents, to do all acts and things, and to take all other steps deemed necessary, advisable or convenient for the effective administration of this Plan in accordance with its terms and purpose, except that the Committee may not delegate any discretionary authority to grant or amend an award or with respect to substantive decisions or functions regarding this Plan as these relate to any grants made to an “executive officer” as defined in Rule 3b-7 under the Securities Exchange Act of 1934, as amended.</w:t>
      </w:r>
    </w:p>
    <w:p>
      <w:pPr>
        <w:spacing w:after="0" w:line="189" w:lineRule="exact"/>
        <w:rPr>
          <w:rFonts w:ascii="Arial" w:cs="Arial" w:eastAsia="Arial" w:hAnsi="Arial"/>
          <w:sz w:val="18"/>
          <w:szCs w:val="18"/>
          <w:color w:val="auto"/>
        </w:rPr>
      </w:pPr>
    </w:p>
    <w:p>
      <w:pPr>
        <w:ind w:left="267" w:hanging="267"/>
        <w:spacing w:after="0"/>
        <w:tabs>
          <w:tab w:leader="none" w:pos="267"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Compensation</w:t>
      </w:r>
    </w:p>
    <w:p>
      <w:pPr>
        <w:spacing w:after="0" w:line="121" w:lineRule="exact"/>
        <w:rPr>
          <w:rFonts w:ascii="Arial" w:cs="Arial" w:eastAsia="Arial" w:hAnsi="Arial"/>
          <w:sz w:val="18"/>
          <w:szCs w:val="18"/>
          <w:b w:val="1"/>
          <w:bCs w:val="1"/>
          <w:color w:val="auto"/>
        </w:rPr>
      </w:pPr>
    </w:p>
    <w:p>
      <w:pPr>
        <w:ind w:left="7" w:right="60" w:firstLine="353"/>
        <w:spacing w:after="0" w:line="270" w:lineRule="auto"/>
        <w:tabs>
          <w:tab w:leader="none" w:pos="701" w:val="left"/>
        </w:tabs>
        <w:numPr>
          <w:ilvl w:val="1"/>
          <w:numId w:val="102"/>
        </w:numPr>
        <w:rPr>
          <w:rFonts w:ascii="Arial" w:cs="Arial" w:eastAsia="Arial" w:hAnsi="Arial"/>
          <w:sz w:val="17"/>
          <w:szCs w:val="17"/>
          <w:color w:val="auto"/>
        </w:rPr>
      </w:pPr>
      <w:r>
        <w:rPr>
          <w:rFonts w:ascii="Arial" w:cs="Arial" w:eastAsia="Arial" w:hAnsi="Arial"/>
          <w:sz w:val="17"/>
          <w:szCs w:val="17"/>
          <w:u w:val="single" w:color="auto"/>
          <w:color w:val="auto"/>
        </w:rPr>
        <w:t>Performance Criteria</w:t>
      </w:r>
      <w:r>
        <w:rPr>
          <w:rFonts w:ascii="Arial" w:cs="Arial" w:eastAsia="Arial" w:hAnsi="Arial"/>
          <w:sz w:val="17"/>
          <w:szCs w:val="17"/>
          <w:color w:val="auto"/>
        </w:rPr>
        <w:t>. No later than the last day of the First Quarter of a given Performance Period (or such other date as may be required or permitted under Section 162(m) of the Code), the Committee shall establish the performance objective or objectives that must be satisfied in order for a Participant to receive incentive compensation for each such Performance Period. The Committee may establish different performance objectives for each Performance Period, and may provide for multiple, overlapping Performance Periods hereunder. Any performance objective(s) established hereunder will be based upon the achievement of one or more of the following criteria or any combination thereof, as determined by the Committee: (i) consolidated income before or after taxes (including income before interest, taxes, depreciation and amortization); (ii) EBIT or EBITDA; (iii) operating income or operating margin; (iv) net income; (v) net income or earnings per Share; (vi) book value per Share; (vii) return on equity; (viii) expense management</w:t>
      </w:r>
    </w:p>
    <w:p>
      <w:pPr>
        <w:spacing w:after="0" w:line="252" w:lineRule="exact"/>
        <w:rPr>
          <w:sz w:val="20"/>
          <w:szCs w:val="20"/>
          <w:color w:val="auto"/>
        </w:rPr>
      </w:pPr>
    </w:p>
    <w:p>
      <w:pPr>
        <w:ind w:left="47"/>
        <w:spacing w:after="0"/>
        <w:rPr>
          <w:sz w:val="20"/>
          <w:szCs w:val="20"/>
          <w:color w:val="auto"/>
        </w:rPr>
      </w:pPr>
      <w:r>
        <w:rPr>
          <w:rFonts w:ascii="Arial" w:cs="Arial" w:eastAsia="Arial" w:hAnsi="Arial"/>
          <w:sz w:val="18"/>
          <w:szCs w:val="18"/>
          <w:color w:val="005C7D"/>
        </w:rPr>
        <w:t xml:space="preserve">B-2  </w:t>
      </w:r>
      <w:r>
        <w:rPr>
          <w:sz w:val="1"/>
          <w:szCs w:val="1"/>
          <w:color w:val="auto"/>
        </w:rPr>
        <w:drawing>
          <wp:inline distT="0" distB="0" distL="0" distR="0">
            <wp:extent cx="154305" cy="154305"/>
            <wp:effectExtent l="0" t="0" r="0" b="0"/>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r>
        <w:rPr>
          <w:rFonts w:ascii="Arial" w:cs="Arial" w:eastAsia="Arial" w:hAnsi="Arial"/>
          <w:sz w:val="14"/>
          <w:szCs w:val="14"/>
          <w:color w:val="005C7D"/>
        </w:rPr>
        <w:t xml:space="preserve">  –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334645</wp:posOffset>
            </wp:positionV>
            <wp:extent cx="6071870" cy="4318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98" w:name="page99"/>
    <w:bookmarkEnd w:id="98"/>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07187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2" w:lineRule="exact"/>
        <w:rPr>
          <w:sz w:val="20"/>
          <w:szCs w:val="20"/>
          <w:color w:val="auto"/>
        </w:rPr>
      </w:pPr>
    </w:p>
    <w:p>
      <w:pPr>
        <w:ind w:left="7"/>
        <w:spacing w:after="0"/>
        <w:rPr>
          <w:sz w:val="20"/>
          <w:szCs w:val="20"/>
          <w:color w:val="auto"/>
        </w:rPr>
      </w:pPr>
      <w:r>
        <w:rPr>
          <w:rFonts w:ascii="Arial" w:cs="Arial" w:eastAsia="Arial" w:hAnsi="Arial"/>
          <w:sz w:val="16"/>
          <w:szCs w:val="16"/>
          <w:color w:val="auto"/>
        </w:rPr>
        <w:t>(including without limitation, total general and administrative expense percentages); (ix) return on investment or on invested capital;</w:t>
      </w:r>
    </w:p>
    <w:p>
      <w:pPr>
        <w:spacing w:after="0" w:line="46" w:lineRule="exact"/>
        <w:rPr>
          <w:sz w:val="20"/>
          <w:szCs w:val="20"/>
          <w:color w:val="auto"/>
        </w:rPr>
      </w:pPr>
    </w:p>
    <w:p>
      <w:pPr>
        <w:ind w:left="7" w:right="40" w:hanging="7"/>
        <w:spacing w:after="0" w:line="281" w:lineRule="auto"/>
        <w:tabs>
          <w:tab w:leader="none" w:pos="26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improvements in capital structure; (xi) profitability of an identifiable business unit or product; (xii) maintenance or improvement of profit margins; (xiii) stock price; (xiv) market share; (xv) revenue or sales (including, without limitation, net loans charged off and average finance receivables); (xvi) costs (including, without limitation, total general and administrative expense percentage);</w:t>
      </w:r>
    </w:p>
    <w:p>
      <w:pPr>
        <w:spacing w:after="0" w:line="2" w:lineRule="exact"/>
        <w:rPr>
          <w:rFonts w:ascii="Arial" w:cs="Arial" w:eastAsia="Arial" w:hAnsi="Arial"/>
          <w:sz w:val="16"/>
          <w:szCs w:val="16"/>
          <w:color w:val="auto"/>
        </w:rPr>
      </w:pPr>
    </w:p>
    <w:p>
      <w:pPr>
        <w:ind w:left="7" w:right="40" w:hanging="7"/>
        <w:spacing w:after="0" w:line="267" w:lineRule="auto"/>
        <w:tabs>
          <w:tab w:leader="none" w:pos="452"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cash flow or net funds provided; (xviii) working capital; (xix) total debt (including, without limitation, total debt as a multiple of EBIT or EBITDA), (xx) orders and (xxi) total stockholder return. The foregoing criteria may relate to the Company, one or more of its Subsidiaries, one or more of their respective divisions or business units, or any combination of the foregoing, and may be applied on an absolute basis and/or be relative to one or more peer group companies or indices, or any combination thereof, all as the Committee shall determine. The Committee may provide, at the time when performance objectives are established with respect to a Performance Period (or at such later date as may be permitted under Section 162(m) of the Code), for the adjustment of such performance objectives as it deems equitable in recognition of unusual or non-recurring events affecting the Company, changes in applicable tax laws or accounting principles, or such other factors as the Committee may determine to be appropriate, including, without limitation, the gain or loss on disposal of a business segment. In the event of an equity restructuring, as defined in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Standards Board Accounting Standards Codification 718-10 </w:t>
      </w:r>
      <w:r>
        <w:rPr>
          <w:rFonts w:ascii="Arial" w:cs="Arial" w:eastAsia="Arial" w:hAnsi="Arial"/>
          <w:sz w:val="17"/>
          <w:szCs w:val="17"/>
          <w:color w:val="auto"/>
        </w:rPr>
        <w:t>(formerly</w:t>
      </w:r>
      <w:r>
        <w:rPr>
          <w:rFonts w:ascii="Arial" w:cs="Arial" w:eastAsia="Arial" w:hAnsi="Arial"/>
          <w:sz w:val="17"/>
          <w:szCs w:val="17"/>
          <w:i w:val="1"/>
          <w:iCs w:val="1"/>
          <w:color w:val="auto"/>
        </w:rPr>
        <w:t xml:space="preserve"> Statement of Financial Accounting Standards 123R</w:t>
      </w:r>
      <w:r>
        <w:rPr>
          <w:rFonts w:ascii="Arial" w:cs="Arial" w:eastAsia="Arial" w:hAnsi="Arial"/>
          <w:sz w:val="17"/>
          <w:szCs w:val="17"/>
          <w:color w:val="auto"/>
        </w:rPr>
        <w:t>), that affects the Shares, the Committee shall adjust any and all previously established Share-based performance objectives</w:t>
      </w:r>
      <w:r>
        <w:rPr>
          <w:rFonts w:ascii="Arial" w:cs="Arial" w:eastAsia="Arial" w:hAnsi="Arial"/>
          <w:sz w:val="17"/>
          <w:szCs w:val="17"/>
          <w:i w:val="1"/>
          <w:iCs w:val="1"/>
          <w:color w:val="auto"/>
        </w:rPr>
        <w:t xml:space="preserve"> </w:t>
      </w:r>
      <w:r>
        <w:rPr>
          <w:rFonts w:ascii="Arial" w:cs="Arial" w:eastAsia="Arial" w:hAnsi="Arial"/>
          <w:sz w:val="17"/>
          <w:szCs w:val="17"/>
          <w:color w:val="auto"/>
        </w:rPr>
        <w:t>affected by such restructuring (including without limitation any performance objectives based on stock price) so as to preserve (without enlarging) such Participant’s incentive compensation opportunity in respect thereof, with the manner of such adjustment to be determined by the Committee in its sole discretion and in a manner consistent with Section 162(m) of the Code, to the extent applicable.</w:t>
      </w:r>
    </w:p>
    <w:p>
      <w:pPr>
        <w:spacing w:after="0" w:line="73" w:lineRule="exact"/>
        <w:rPr>
          <w:rFonts w:ascii="Arial" w:cs="Arial" w:eastAsia="Arial" w:hAnsi="Arial"/>
          <w:sz w:val="17"/>
          <w:szCs w:val="17"/>
          <w:color w:val="auto"/>
        </w:rPr>
      </w:pPr>
    </w:p>
    <w:p>
      <w:pPr>
        <w:ind w:left="707" w:hanging="347"/>
        <w:spacing w:after="0"/>
        <w:tabs>
          <w:tab w:leader="none" w:pos="707"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Incentive Compensation Targets; Discretionary Compensation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67" w:right="40" w:firstLine="353"/>
        <w:spacing w:after="0" w:line="279" w:lineRule="auto"/>
        <w:tabs>
          <w:tab w:leader="none" w:pos="1032" w:val="left"/>
        </w:tabs>
        <w:numPr>
          <w:ilvl w:val="2"/>
          <w:numId w:val="104"/>
        </w:numPr>
        <w:rPr>
          <w:rFonts w:ascii="Arial" w:cs="Arial" w:eastAsia="Arial" w:hAnsi="Arial"/>
          <w:sz w:val="17"/>
          <w:szCs w:val="17"/>
          <w:color w:val="auto"/>
        </w:rPr>
      </w:pPr>
      <w:r>
        <w:rPr>
          <w:rFonts w:ascii="Arial" w:cs="Arial" w:eastAsia="Arial" w:hAnsi="Arial"/>
          <w:sz w:val="17"/>
          <w:szCs w:val="17"/>
          <w:color w:val="auto"/>
        </w:rPr>
        <w:t>No later than the last day of the First Quarter of a given Performance Period (or such other date as may be required or permitted under Section 162(m) of the Code), the Committee shall establish target incentive compensation amounts for each individual Participant, representing each such Participant’s incentive compensation opportunity to the extent that the applicable performance objectives for such Performance Period are achieved.</w:t>
      </w:r>
    </w:p>
    <w:p>
      <w:pPr>
        <w:spacing w:after="0" w:line="63" w:lineRule="exact"/>
        <w:rPr>
          <w:rFonts w:ascii="Arial" w:cs="Arial" w:eastAsia="Arial" w:hAnsi="Arial"/>
          <w:sz w:val="17"/>
          <w:szCs w:val="17"/>
          <w:color w:val="auto"/>
        </w:rPr>
      </w:pPr>
    </w:p>
    <w:p>
      <w:pPr>
        <w:jc w:val="both"/>
        <w:ind w:left="367" w:right="40" w:firstLine="353"/>
        <w:spacing w:after="0" w:line="264" w:lineRule="auto"/>
        <w:tabs>
          <w:tab w:leader="none" w:pos="1078" w:val="left"/>
        </w:tabs>
        <w:numPr>
          <w:ilvl w:val="2"/>
          <w:numId w:val="104"/>
        </w:numPr>
        <w:rPr>
          <w:rFonts w:ascii="Arial" w:cs="Arial" w:eastAsia="Arial" w:hAnsi="Arial"/>
          <w:sz w:val="18"/>
          <w:szCs w:val="18"/>
          <w:color w:val="auto"/>
        </w:rPr>
      </w:pPr>
      <w:r>
        <w:rPr>
          <w:rFonts w:ascii="Arial" w:cs="Arial" w:eastAsia="Arial" w:hAnsi="Arial"/>
          <w:sz w:val="18"/>
          <w:szCs w:val="18"/>
          <w:color w:val="auto"/>
        </w:rPr>
        <w:t>The Committee may, in its sole discretion, grant such discretionary compensation, if any, to such Participants, if any, as the Committee may determine, in respect of any given Performance Period, that is not subject to the requirements of Section 4(a) and (c) of this Plan.</w:t>
      </w:r>
    </w:p>
    <w:p>
      <w:pPr>
        <w:spacing w:after="0" w:line="73" w:lineRule="exact"/>
        <w:rPr>
          <w:rFonts w:ascii="Arial" w:cs="Arial" w:eastAsia="Arial" w:hAnsi="Arial"/>
          <w:sz w:val="18"/>
          <w:szCs w:val="18"/>
          <w:color w:val="auto"/>
        </w:rPr>
      </w:pPr>
    </w:p>
    <w:p>
      <w:pPr>
        <w:ind w:left="7" w:right="60" w:firstLine="353"/>
        <w:spacing w:after="0" w:line="285" w:lineRule="auto"/>
        <w:tabs>
          <w:tab w:leader="none" w:pos="701"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Determination of Incentive Compensation Earned/Maximum Amount Payable</w:t>
      </w:r>
      <w:r>
        <w:rPr>
          <w:rFonts w:ascii="Arial" w:cs="Arial" w:eastAsia="Arial" w:hAnsi="Arial"/>
          <w:sz w:val="16"/>
          <w:szCs w:val="16"/>
          <w:color w:val="auto"/>
        </w:rPr>
        <w:t>. As soon as practicable after the applicable Performance Period ends, the Committee shall (x) determine (i) whether and to what extent any of the performance objective(s) established for the relevant Performance Period under Section 4(a) have been satisfied and certify to such determination, and (ii) the actual amount of incentive compensation to which such Participant shall be entitled, taking into consideration the extent to which the performance objective(s) have been met and such other factors as the Committee may deem appropriate pursuant to Section</w:t>
      </w:r>
    </w:p>
    <w:p>
      <w:pPr>
        <w:spacing w:after="0" w:line="2" w:lineRule="exact"/>
        <w:rPr>
          <w:rFonts w:ascii="Arial" w:cs="Arial" w:eastAsia="Arial" w:hAnsi="Arial"/>
          <w:sz w:val="16"/>
          <w:szCs w:val="16"/>
          <w:color w:val="auto"/>
        </w:rPr>
      </w:pPr>
    </w:p>
    <w:p>
      <w:pPr>
        <w:ind w:left="7" w:right="100"/>
        <w:spacing w:after="0" w:line="271" w:lineRule="auto"/>
        <w:rPr>
          <w:rFonts w:ascii="Arial" w:cs="Arial" w:eastAsia="Arial" w:hAnsi="Arial"/>
          <w:sz w:val="16"/>
          <w:szCs w:val="16"/>
          <w:color w:val="auto"/>
        </w:rPr>
      </w:pPr>
      <w:r>
        <w:rPr>
          <w:rFonts w:ascii="Arial" w:cs="Arial" w:eastAsia="Arial" w:hAnsi="Arial"/>
          <w:sz w:val="17"/>
          <w:szCs w:val="17"/>
          <w:color w:val="auto"/>
        </w:rPr>
        <w:t>4(d), and (y) cause such incentive compensation to be paid to such Participant in accordance with Section 5. Any provision of this Plan notwithstanding, in no event shall any Participant earn incentive compensation under this Plan in respect of any fiscal year in excess of $10,000,000 (such maximum incentive compensation amount to be proportionately adjusted for Performance Periods that are shorter or longer than one year, with multiple incentive opportunities considered in the aggregate in the case where multiple, overlapping Performance Periods are established hereunder).</w:t>
      </w:r>
    </w:p>
    <w:p>
      <w:pPr>
        <w:spacing w:after="0" w:line="70" w:lineRule="exact"/>
        <w:rPr>
          <w:rFonts w:ascii="Arial" w:cs="Arial" w:eastAsia="Arial" w:hAnsi="Arial"/>
          <w:sz w:val="16"/>
          <w:szCs w:val="16"/>
          <w:color w:val="auto"/>
        </w:rPr>
      </w:pPr>
    </w:p>
    <w:p>
      <w:pPr>
        <w:ind w:left="7" w:right="120" w:firstLine="353"/>
        <w:spacing w:after="0" w:line="255" w:lineRule="auto"/>
        <w:tabs>
          <w:tab w:leader="none" w:pos="712"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Negative Discretion</w:t>
      </w:r>
      <w:r>
        <w:rPr>
          <w:rFonts w:ascii="Arial" w:cs="Arial" w:eastAsia="Arial" w:hAnsi="Arial"/>
          <w:sz w:val="18"/>
          <w:szCs w:val="18"/>
          <w:color w:val="auto"/>
        </w:rPr>
        <w:t>. Notwithstanding anything else contained in Section 4(c), 4(e) or 4(h) to the contrary, the Committee shall have the right, to the extent it so provides at the time when performance objectives are established with respect to a Performance Period, (i) to reduce or eliminate the amount otherwise payable to any Participant under Section 4(c) based on individual performance or any other factors that the Committee, in its sole discretion, shall deem appropriate and (ii) to establish rules or procedures that have the effect of limiting the amount payable to each Participant to an amount that is less than the maximum amount otherwise authorized under Section 4(c).</w:t>
      </w:r>
    </w:p>
    <w:p>
      <w:pPr>
        <w:spacing w:after="0" w:line="85" w:lineRule="exact"/>
        <w:rPr>
          <w:rFonts w:ascii="Arial" w:cs="Arial" w:eastAsia="Arial" w:hAnsi="Arial"/>
          <w:sz w:val="18"/>
          <w:szCs w:val="18"/>
          <w:color w:val="auto"/>
        </w:rPr>
      </w:pPr>
    </w:p>
    <w:p>
      <w:pPr>
        <w:ind w:left="7" w:right="120" w:firstLine="353"/>
        <w:spacing w:after="0" w:line="273" w:lineRule="auto"/>
        <w:tabs>
          <w:tab w:leader="none" w:pos="701" w:val="left"/>
        </w:tabs>
        <w:numPr>
          <w:ilvl w:val="1"/>
          <w:numId w:val="104"/>
        </w:numPr>
        <w:rPr>
          <w:rFonts w:ascii="Arial" w:cs="Arial" w:eastAsia="Arial" w:hAnsi="Arial"/>
          <w:sz w:val="17"/>
          <w:szCs w:val="17"/>
          <w:color w:val="auto"/>
        </w:rPr>
      </w:pPr>
      <w:r>
        <w:rPr>
          <w:rFonts w:ascii="Arial" w:cs="Arial" w:eastAsia="Arial" w:hAnsi="Arial"/>
          <w:sz w:val="17"/>
          <w:szCs w:val="17"/>
          <w:u w:val="single" w:color="auto"/>
          <w:color w:val="auto"/>
        </w:rPr>
        <w:t>Qualified Termination of Employment</w:t>
      </w:r>
      <w:r>
        <w:rPr>
          <w:rFonts w:ascii="Arial" w:cs="Arial" w:eastAsia="Arial" w:hAnsi="Arial"/>
          <w:sz w:val="17"/>
          <w:szCs w:val="17"/>
          <w:color w:val="auto"/>
        </w:rPr>
        <w:t>. Unless otherwise specified by the Committee at the time when performance objectives are established with respect to a Performance Period, if prior to the last day of any Performance Period for which a Participant is eligible to receive incentive compensation hereunder, the Participant’s employment is terminated: (1) by reason of death or Disability, (2) by Retirement at least one year after the first day of the Performance Period, or (3) by the Company without Cause (each, a “</w:t>
      </w:r>
      <w:r>
        <w:rPr>
          <w:rFonts w:ascii="Arial" w:cs="Arial" w:eastAsia="Arial" w:hAnsi="Arial"/>
          <w:sz w:val="17"/>
          <w:szCs w:val="17"/>
          <w:u w:val="single" w:color="auto"/>
          <w:color w:val="auto"/>
        </w:rPr>
        <w:t>Qualified Termination</w:t>
      </w:r>
      <w:r>
        <w:rPr>
          <w:rFonts w:ascii="Arial" w:cs="Arial" w:eastAsia="Arial" w:hAnsi="Arial"/>
          <w:sz w:val="17"/>
          <w:szCs w:val="17"/>
          <w:color w:val="auto"/>
        </w:rPr>
        <w:t>”), then subject to Section 4(d), such Participant shall receive an amount of incentive compensation equal to the incentive compensation otherwise payable to</w:t>
      </w:r>
    </w:p>
    <w:p>
      <w:pPr>
        <w:spacing w:after="0" w:line="219" w:lineRule="exact"/>
        <w:rPr>
          <w:sz w:val="20"/>
          <w:szCs w:val="20"/>
          <w:color w:val="auto"/>
        </w:rPr>
      </w:pPr>
    </w:p>
    <w:p>
      <w:pPr>
        <w:ind w:left="7687"/>
        <w:spacing w:after="0"/>
        <w:tabs>
          <w:tab w:leader="none" w:pos="9226"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7"/>
          <w:szCs w:val="17"/>
          <w:color w:val="005C7D"/>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374015</wp:posOffset>
            </wp:positionV>
            <wp:extent cx="6071870" cy="4318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-114300</wp:posOffset>
            </wp:positionV>
            <wp:extent cx="163195" cy="15430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99" w:name="page100"/>
    <w:bookmarkEnd w:id="99"/>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7"/>
        <w:spacing w:after="0"/>
        <w:rPr>
          <w:sz w:val="20"/>
          <w:szCs w:val="20"/>
          <w:color w:val="auto"/>
        </w:rPr>
      </w:pPr>
      <w:r>
        <w:rPr>
          <w:rFonts w:ascii="Arial" w:cs="Arial" w:eastAsia="Arial" w:hAnsi="Arial"/>
          <w:sz w:val="14"/>
          <w:szCs w:val="14"/>
          <w:color w:val="005C7D"/>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07187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2" w:lineRule="exact"/>
        <w:rPr>
          <w:sz w:val="20"/>
          <w:szCs w:val="20"/>
          <w:color w:val="auto"/>
        </w:rPr>
      </w:pPr>
    </w:p>
    <w:p>
      <w:pPr>
        <w:ind w:left="7" w:right="160"/>
        <w:spacing w:after="0" w:line="257" w:lineRule="auto"/>
        <w:rPr>
          <w:sz w:val="20"/>
          <w:szCs w:val="20"/>
          <w:color w:val="auto"/>
        </w:rPr>
      </w:pPr>
      <w:r>
        <w:rPr>
          <w:rFonts w:ascii="Arial" w:cs="Arial" w:eastAsia="Arial" w:hAnsi="Arial"/>
          <w:sz w:val="18"/>
          <w:szCs w:val="18"/>
          <w:color w:val="auto"/>
        </w:rPr>
        <w:t>such Participant based upon actual Company performance for the applicable Performance Period, multiplied by a fraction, the numerator of which is the number of days (or, in the case of Performance Periods exceeding one year in length, the number of completed months) that have elapsed during the Performance Period prior to and including the date of the Qualified Termination, and the denominator of which is the total number of days (or, in the case of Performance Periods exceeding one year in length, the total number of months) in the Performance Period.</w:t>
      </w:r>
    </w:p>
    <w:p>
      <w:pPr>
        <w:spacing w:after="0" w:line="80" w:lineRule="exact"/>
        <w:rPr>
          <w:sz w:val="20"/>
          <w:szCs w:val="20"/>
          <w:color w:val="auto"/>
        </w:rPr>
      </w:pPr>
    </w:p>
    <w:p>
      <w:pPr>
        <w:ind w:left="7" w:right="240" w:firstLine="353"/>
        <w:spacing w:after="0" w:line="259" w:lineRule="auto"/>
        <w:tabs>
          <w:tab w:leader="none" w:pos="681"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Other Termination of Employment</w:t>
      </w:r>
      <w:r>
        <w:rPr>
          <w:rFonts w:ascii="Arial" w:cs="Arial" w:eastAsia="Arial" w:hAnsi="Arial"/>
          <w:sz w:val="18"/>
          <w:szCs w:val="18"/>
          <w:color w:val="auto"/>
        </w:rPr>
        <w:t>. Unless otherwise determined by the Committee in a manner consistent with Section 162(m) of the Code (to the extent applicable) and except as may otherwise be provided in Section 4(e) above, no incentive compensation shall be payable under this Plan in respect of any Performance Period to any Participant whose employment terminates prior to the last day of such Performance Period.</w:t>
      </w:r>
    </w:p>
    <w:p>
      <w:pPr>
        <w:spacing w:after="0" w:line="78" w:lineRule="exact"/>
        <w:rPr>
          <w:rFonts w:ascii="Arial" w:cs="Arial" w:eastAsia="Arial" w:hAnsi="Arial"/>
          <w:sz w:val="18"/>
          <w:szCs w:val="18"/>
          <w:color w:val="auto"/>
        </w:rPr>
      </w:pPr>
    </w:p>
    <w:p>
      <w:pPr>
        <w:ind w:left="7" w:firstLine="353"/>
        <w:spacing w:after="0" w:line="253" w:lineRule="auto"/>
        <w:tabs>
          <w:tab w:leader="none" w:pos="712"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Partial Performance Period</w:t>
      </w:r>
      <w:r>
        <w:rPr>
          <w:rFonts w:ascii="Arial" w:cs="Arial" w:eastAsia="Arial" w:hAnsi="Arial"/>
          <w:sz w:val="18"/>
          <w:szCs w:val="18"/>
          <w:color w:val="auto"/>
        </w:rPr>
        <w:t>. To the extent permitted under Section 162(m) of the Code, if a Participant is hired or rehired by the Company (or any of its Subsidiaries) after the beginning of a Performance Period for which incentive compensation is payable hereunder, such Participant may, if determined by the Committee, receive an amount of incentive compensation equal to the incentive compensation otherwise payable to such Participant based upon actual Company performance for the applicable Performance Period, multiplied by a fraction, the numerator of which is the number of days (or, in the case of Performance Periods exceeding one year in length, the number of completed months) of active employment with the Company (or any of its Subsidiaries) during the Performance Period and the denominator of which is the total number of days (or, in the case of Performance Periods exceeding one year in length, the total number of months) in the Performance Period or such other amount as the Committee may deem appropriate.</w:t>
      </w:r>
    </w:p>
    <w:p>
      <w:pPr>
        <w:spacing w:after="0" w:line="89" w:lineRule="exact"/>
        <w:rPr>
          <w:rFonts w:ascii="Arial" w:cs="Arial" w:eastAsia="Arial" w:hAnsi="Arial"/>
          <w:sz w:val="18"/>
          <w:szCs w:val="18"/>
          <w:color w:val="auto"/>
        </w:rPr>
      </w:pPr>
    </w:p>
    <w:p>
      <w:pPr>
        <w:ind w:left="7" w:right="20" w:firstLine="353"/>
        <w:spacing w:after="0" w:line="288" w:lineRule="auto"/>
        <w:tabs>
          <w:tab w:leader="none" w:pos="712"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Unless otherwise specified by the Committee at the time when performance objectives are established with respect to a Performance Period, in the event of a Change in Control prior to the last day of any Performance Period hereunder, then subject to Section 4(d), each Participant eligible to receive incentive compensation thereunder shall receive an amount of incentive compensation based upon achievement at the “target” level of the applicable performance objectives (or, if otherwise determined in the sole discretion of the Committee as constituted immediately prior to the Change in Control, an amount of incentive compensation based upon such higher level of Company performance actually achieved when considered in light of the reduced Performance Period), multiplied by a fraction, the numerator of which is the number of days (or, in the case of Performance Periods exceeding one year in length, the number of completed months) that have elapsed during the Performance Period prior to and including the date of the Change in Control, and the denominator of which is the total number of days (or, in the case of Performance Periods exceeding one year in length, the total number of months) in the Performance Period.</w:t>
      </w:r>
    </w:p>
    <w:p>
      <w:pPr>
        <w:spacing w:after="0" w:line="61" w:lineRule="exact"/>
        <w:rPr>
          <w:rFonts w:ascii="Arial" w:cs="Arial" w:eastAsia="Arial" w:hAnsi="Arial"/>
          <w:sz w:val="16"/>
          <w:szCs w:val="16"/>
          <w:color w:val="auto"/>
        </w:rPr>
      </w:pPr>
    </w:p>
    <w:p>
      <w:pPr>
        <w:ind w:left="7" w:right="280" w:firstLine="353"/>
        <w:spacing w:after="0" w:line="291" w:lineRule="auto"/>
        <w:tabs>
          <w:tab w:leader="none" w:pos="671"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Forfeiture/Clawback</w:t>
      </w:r>
      <w:r>
        <w:rPr>
          <w:rFonts w:ascii="Arial" w:cs="Arial" w:eastAsia="Arial" w:hAnsi="Arial"/>
          <w:sz w:val="16"/>
          <w:szCs w:val="16"/>
          <w:color w:val="auto"/>
        </w:rPr>
        <w:t>. The Committee may, in its sole discretion, specify that the Participant’s rights, payments, and benefits with respect to any payment of incentive compensation made hereunder shall be subject to reduction, cancellation, forfeiture or recoupment upon the occurrence of certain specified events, in addition to any otherwise applicable vesting or performance conditions of such incentive compensation. Such events may include, but shall not be limited to, termination of employment for cause, termination of the Participant’s provision of services to the Company or any of its Subsidiaries, breach of noncompetition, confidentiality, or other restrictive covenants that may apply to the Participant, or restatement of the Company’s financial statements to reflect adverse results from those previously released financial statements.</w:t>
      </w:r>
    </w:p>
    <w:p>
      <w:pPr>
        <w:spacing w:after="0" w:line="163" w:lineRule="exact"/>
        <w:rPr>
          <w:rFonts w:ascii="Arial" w:cs="Arial" w:eastAsia="Arial" w:hAnsi="Arial"/>
          <w:sz w:val="16"/>
          <w:szCs w:val="16"/>
          <w:color w:val="auto"/>
        </w:rPr>
      </w:pPr>
    </w:p>
    <w:p>
      <w:pPr>
        <w:ind w:left="267" w:hanging="267"/>
        <w:spacing w:after="0"/>
        <w:tabs>
          <w:tab w:leader="none" w:pos="267"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Payment</w:t>
      </w:r>
    </w:p>
    <w:p>
      <w:pPr>
        <w:spacing w:after="0" w:line="121" w:lineRule="exact"/>
        <w:rPr>
          <w:rFonts w:ascii="Arial" w:cs="Arial" w:eastAsia="Arial" w:hAnsi="Arial"/>
          <w:sz w:val="18"/>
          <w:szCs w:val="18"/>
          <w:b w:val="1"/>
          <w:bCs w:val="1"/>
          <w:color w:val="auto"/>
        </w:rPr>
      </w:pPr>
    </w:p>
    <w:p>
      <w:pPr>
        <w:ind w:left="7" w:right="140" w:firstLine="353"/>
        <w:spacing w:after="0" w:line="297" w:lineRule="auto"/>
        <w:tabs>
          <w:tab w:leader="none" w:pos="701"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xml:space="preserve">. Except as otherwise provided hereunder, payment of any incentive compensation amount determined under Section 4 shall be made to each Participant as soon as practicable after the Committee certifies that one or more of the applicable performance objectives have been attained or, in the case of any incentive compensation payable under the provisions of Section 4(d) or 4(h), after the Committee determines the amount of any such incentive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event all payments made hereunder shall be in accordance with or exempt from the requirements of Section 409A.</w:t>
      </w:r>
    </w:p>
    <w:p>
      <w:pPr>
        <w:spacing w:after="0" w:line="50" w:lineRule="exact"/>
        <w:rPr>
          <w:rFonts w:ascii="Arial" w:cs="Arial" w:eastAsia="Arial" w:hAnsi="Arial"/>
          <w:sz w:val="16"/>
          <w:szCs w:val="16"/>
          <w:color w:val="auto"/>
        </w:rPr>
      </w:pPr>
    </w:p>
    <w:p>
      <w:pPr>
        <w:ind w:left="707" w:hanging="347"/>
        <w:spacing w:after="0"/>
        <w:tabs>
          <w:tab w:leader="none" w:pos="707"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Form of Payment</w:t>
      </w:r>
      <w:r>
        <w:rPr>
          <w:rFonts w:ascii="Arial" w:cs="Arial" w:eastAsia="Arial" w:hAnsi="Arial"/>
          <w:sz w:val="18"/>
          <w:szCs w:val="18"/>
          <w:color w:val="auto"/>
        </w:rPr>
        <w:t>. All incentive compensation payable under this Plan shall be payable in cash.</w:t>
      </w:r>
    </w:p>
    <w:p>
      <w:pPr>
        <w:spacing w:after="0" w:line="296" w:lineRule="exact"/>
        <w:rPr>
          <w:sz w:val="20"/>
          <w:szCs w:val="20"/>
          <w:color w:val="auto"/>
        </w:rPr>
      </w:pPr>
    </w:p>
    <w:p>
      <w:pPr>
        <w:ind w:left="47"/>
        <w:spacing w:after="0"/>
        <w:rPr>
          <w:sz w:val="20"/>
          <w:szCs w:val="20"/>
          <w:color w:val="auto"/>
        </w:rPr>
      </w:pPr>
      <w:r>
        <w:rPr>
          <w:rFonts w:ascii="Arial" w:cs="Arial" w:eastAsia="Arial" w:hAnsi="Arial"/>
          <w:sz w:val="18"/>
          <w:szCs w:val="18"/>
          <w:color w:val="005C7D"/>
        </w:rPr>
        <w:t xml:space="preserve">B-4  </w:t>
      </w:r>
      <w:r>
        <w:rPr>
          <w:sz w:val="1"/>
          <w:szCs w:val="1"/>
          <w:color w:val="auto"/>
        </w:rPr>
        <w:drawing>
          <wp:inline distT="0" distB="0" distL="0" distR="0">
            <wp:extent cx="154305" cy="154305"/>
            <wp:effectExtent l="0" t="0" r="0"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r>
        <w:rPr>
          <w:rFonts w:ascii="Arial" w:cs="Arial" w:eastAsia="Arial" w:hAnsi="Arial"/>
          <w:sz w:val="14"/>
          <w:szCs w:val="14"/>
          <w:color w:val="005C7D"/>
        </w:rPr>
        <w:t xml:space="preserve">  – </w:t>
      </w:r>
      <w:r>
        <w:rPr>
          <w:rFonts w:ascii="Arial" w:cs="Arial" w:eastAsia="Arial" w:hAnsi="Arial"/>
          <w:sz w:val="14"/>
          <w:szCs w:val="14"/>
          <w:i w:val="1"/>
          <w:iCs w:val="1"/>
          <w:color w:val="005C7D"/>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334645</wp:posOffset>
            </wp:positionV>
            <wp:extent cx="6071870" cy="4318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00" w:name="page101"/>
    <w:bookmarkEnd w:id="100"/>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005C7D"/>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07187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98" w:lineRule="exact"/>
        <w:rPr>
          <w:sz w:val="20"/>
          <w:szCs w:val="20"/>
          <w:color w:val="auto"/>
        </w:rPr>
      </w:pPr>
    </w:p>
    <w:p>
      <w:pPr>
        <w:ind w:left="267" w:hanging="267"/>
        <w:spacing w:after="0"/>
        <w:tabs>
          <w:tab w:leader="none" w:pos="267"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121" w:lineRule="exact"/>
        <w:rPr>
          <w:rFonts w:ascii="Arial" w:cs="Arial" w:eastAsia="Arial" w:hAnsi="Arial"/>
          <w:sz w:val="18"/>
          <w:szCs w:val="18"/>
          <w:b w:val="1"/>
          <w:bCs w:val="1"/>
          <w:color w:val="auto"/>
        </w:rPr>
      </w:pPr>
    </w:p>
    <w:p>
      <w:pPr>
        <w:ind w:left="7" w:right="100" w:firstLine="353"/>
        <w:spacing w:after="0" w:line="273" w:lineRule="auto"/>
        <w:tabs>
          <w:tab w:leader="none" w:pos="701" w:val="left"/>
        </w:tabs>
        <w:numPr>
          <w:ilvl w:val="1"/>
          <w:numId w:val="107"/>
        </w:numPr>
        <w:rPr>
          <w:rFonts w:ascii="Arial" w:cs="Arial" w:eastAsia="Arial" w:hAnsi="Arial"/>
          <w:sz w:val="17"/>
          <w:szCs w:val="17"/>
          <w:color w:val="auto"/>
        </w:rPr>
      </w:pPr>
      <w:r>
        <w:rPr>
          <w:rFonts w:ascii="Arial" w:cs="Arial" w:eastAsia="Arial" w:hAnsi="Arial"/>
          <w:sz w:val="17"/>
          <w:szCs w:val="17"/>
          <w:u w:val="single" w:color="auto"/>
          <w:color w:val="auto"/>
        </w:rPr>
        <w:t>Effectiveness of the Plan</w:t>
      </w:r>
      <w:r>
        <w:rPr>
          <w:rFonts w:ascii="Arial" w:cs="Arial" w:eastAsia="Arial" w:hAnsi="Arial"/>
          <w:sz w:val="17"/>
          <w:szCs w:val="17"/>
          <w:color w:val="auto"/>
        </w:rPr>
        <w:t>. The Plan (prior to the amendment and restatement thereof) was originally adopted by the Board of Directors of L-3 Communications Holdings, Inc. (“</w:t>
      </w:r>
      <w:r>
        <w:rPr>
          <w:rFonts w:ascii="Arial" w:cs="Arial" w:eastAsia="Arial" w:hAnsi="Arial"/>
          <w:sz w:val="17"/>
          <w:szCs w:val="17"/>
          <w:u w:val="single" w:color="auto"/>
          <w:color w:val="auto"/>
        </w:rPr>
        <w:t>Holdings</w:t>
      </w:r>
      <w:r>
        <w:rPr>
          <w:rFonts w:ascii="Arial" w:cs="Arial" w:eastAsia="Arial" w:hAnsi="Arial"/>
          <w:sz w:val="17"/>
          <w:szCs w:val="17"/>
          <w:color w:val="auto"/>
        </w:rPr>
        <w:t>”) and became effective upon approval by the shareholders of Holdings on April 24, 2012. The Plan (as amended and restated effective February 21, 2017) is being submitted for shareholder approval at the Company’s 2017 shareholders meeting. If the Company’s shareholders approve the Plan at the Company’s 2017 shareholders meeting, it is anticipated that shareholders will again vote to re-approve the Plan no later than the day of the first meeting of shareholders of the Company that occurs in 2022.</w:t>
      </w:r>
    </w:p>
    <w:p>
      <w:pPr>
        <w:spacing w:after="0" w:line="70" w:lineRule="exact"/>
        <w:rPr>
          <w:rFonts w:ascii="Arial" w:cs="Arial" w:eastAsia="Arial" w:hAnsi="Arial"/>
          <w:sz w:val="17"/>
          <w:szCs w:val="17"/>
          <w:color w:val="auto"/>
        </w:rPr>
      </w:pPr>
    </w:p>
    <w:p>
      <w:pPr>
        <w:ind w:left="7" w:right="40" w:firstLine="353"/>
        <w:spacing w:after="0" w:line="255" w:lineRule="auto"/>
        <w:tabs>
          <w:tab w:leader="none" w:pos="712"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xml:space="preserve">. The Board or the Committee may at any time amend, suspend, discontinue or terminate the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amendment, suspension, discontinuance or termination shall adversely affect the rights of any Participant in respect of any Performance Period that has already commenced, and no such action shall be effective without approval by the shareholders of the Company to the extent necessary to continue to qualify the amounts payable hereunder to Covered Employees as under Section 162(m) of the Code, if such amounts are otherwise intended by the Committee to be so qualified.</w:t>
      </w:r>
    </w:p>
    <w:p>
      <w:pPr>
        <w:spacing w:after="0" w:line="85" w:lineRule="exact"/>
        <w:rPr>
          <w:rFonts w:ascii="Arial" w:cs="Arial" w:eastAsia="Arial" w:hAnsi="Arial"/>
          <w:sz w:val="18"/>
          <w:szCs w:val="18"/>
          <w:color w:val="auto"/>
        </w:rPr>
      </w:pPr>
    </w:p>
    <w:p>
      <w:pPr>
        <w:ind w:left="7" w:right="60" w:firstLine="353"/>
        <w:spacing w:after="0" w:line="257" w:lineRule="auto"/>
        <w:tabs>
          <w:tab w:leader="none" w:pos="701"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 or Awards</w:t>
      </w:r>
      <w:r>
        <w:rPr>
          <w:rFonts w:ascii="Arial" w:cs="Arial" w:eastAsia="Arial" w:hAnsi="Arial"/>
          <w:sz w:val="18"/>
          <w:szCs w:val="18"/>
          <w:color w:val="auto"/>
        </w:rPr>
        <w:t>. Nothing in this Plan shall be construed as conferring upon any Participant any right to continue in the employment of the Company or any of its Subsidiaries. No Participant shall have any claim to be granted any award, and there is no obligation for uniformity of treatment of Participants or beneficiaries. The terms and conditions of awards and the Committee’s determinations and interpretations with respect thereto need not be the same with respect to each Participant (whether or not the Participants are similarly situated).</w:t>
      </w:r>
    </w:p>
    <w:p>
      <w:pPr>
        <w:spacing w:after="0" w:line="80" w:lineRule="exact"/>
        <w:rPr>
          <w:rFonts w:ascii="Arial" w:cs="Arial" w:eastAsia="Arial" w:hAnsi="Arial"/>
          <w:sz w:val="18"/>
          <w:szCs w:val="18"/>
          <w:color w:val="auto"/>
        </w:rPr>
      </w:pPr>
    </w:p>
    <w:p>
      <w:pPr>
        <w:jc w:val="both"/>
        <w:ind w:left="7" w:right="160" w:firstLine="353"/>
        <w:spacing w:after="0" w:line="279" w:lineRule="auto"/>
        <w:tabs>
          <w:tab w:leader="none" w:pos="712" w:val="left"/>
        </w:tabs>
        <w:numPr>
          <w:ilvl w:val="1"/>
          <w:numId w:val="107"/>
        </w:numPr>
        <w:rPr>
          <w:rFonts w:ascii="Arial" w:cs="Arial" w:eastAsia="Arial" w:hAnsi="Arial"/>
          <w:sz w:val="17"/>
          <w:szCs w:val="17"/>
          <w:color w:val="auto"/>
        </w:rPr>
      </w:pPr>
      <w:r>
        <w:rPr>
          <w:rFonts w:ascii="Arial" w:cs="Arial" w:eastAsia="Arial" w:hAnsi="Arial"/>
          <w:sz w:val="17"/>
          <w:szCs w:val="17"/>
          <w:u w:val="single" w:color="auto"/>
          <w:color w:val="auto"/>
        </w:rPr>
        <w:t>No Limitation on Corporate Actions</w:t>
      </w:r>
      <w:r>
        <w:rPr>
          <w:rFonts w:ascii="Arial" w:cs="Arial" w:eastAsia="Arial" w:hAnsi="Arial"/>
          <w:sz w:val="17"/>
          <w:szCs w:val="17"/>
          <w:color w:val="auto"/>
        </w:rPr>
        <w:t>. Nothing contained in the Plan shall be construed to prevent the Company or any of its Subsidiaries from taking any corporate action which is deemed by it to be appropriate or in its best interest, whether or not such action would have an adverse effect on any awards made under the Plan. No employee, beneficiary or other person shall have any claim against the Company or any of its Subsidiaries as a result of any such action.</w:t>
      </w:r>
    </w:p>
    <w:p>
      <w:pPr>
        <w:spacing w:after="0" w:line="63" w:lineRule="exact"/>
        <w:rPr>
          <w:rFonts w:ascii="Arial" w:cs="Arial" w:eastAsia="Arial" w:hAnsi="Arial"/>
          <w:sz w:val="17"/>
          <w:szCs w:val="17"/>
          <w:color w:val="auto"/>
        </w:rPr>
      </w:pPr>
    </w:p>
    <w:p>
      <w:pPr>
        <w:ind w:left="7" w:right="180" w:firstLine="353"/>
        <w:spacing w:after="0" w:line="276" w:lineRule="auto"/>
        <w:tabs>
          <w:tab w:leader="none" w:pos="701" w:val="left"/>
        </w:tabs>
        <w:numPr>
          <w:ilvl w:val="1"/>
          <w:numId w:val="107"/>
        </w:numPr>
        <w:rPr>
          <w:rFonts w:ascii="Arial" w:cs="Arial" w:eastAsia="Arial" w:hAnsi="Arial"/>
          <w:sz w:val="17"/>
          <w:szCs w:val="17"/>
          <w:color w:val="auto"/>
        </w:rPr>
      </w:pPr>
      <w:r>
        <w:rPr>
          <w:rFonts w:ascii="Arial" w:cs="Arial" w:eastAsia="Arial" w:hAnsi="Arial"/>
          <w:sz w:val="17"/>
          <w:szCs w:val="17"/>
          <w:u w:val="single" w:color="auto"/>
          <w:color w:val="auto"/>
        </w:rPr>
        <w:t>Nonalienation of Benefits</w:t>
      </w:r>
      <w:r>
        <w:rPr>
          <w:rFonts w:ascii="Arial" w:cs="Arial" w:eastAsia="Arial" w:hAnsi="Arial"/>
          <w:sz w:val="17"/>
          <w:szCs w:val="17"/>
          <w:color w:val="auto"/>
        </w:rPr>
        <w:t>. No Participant or beneficiary shall have the power or right to transfer, anticipate, or otherwise encumber the Participant’s interest under the Plan. The Company’s obligations under this Plan are not assignable or transferable except to (i) a corporation which acquires all or substantially all of the Company’s assets or (ii) any corporation into which the Company may be merged or consolidated. The provisions of the Plan shall inure to the benefit of each Participant and the Participant’s beneficiaries, heirs, executors, administrators or successors in interest.</w:t>
      </w:r>
    </w:p>
    <w:p>
      <w:pPr>
        <w:spacing w:after="0" w:line="64" w:lineRule="exact"/>
        <w:rPr>
          <w:rFonts w:ascii="Arial" w:cs="Arial" w:eastAsia="Arial" w:hAnsi="Arial"/>
          <w:sz w:val="17"/>
          <w:szCs w:val="17"/>
          <w:color w:val="auto"/>
        </w:rPr>
      </w:pPr>
    </w:p>
    <w:p>
      <w:pPr>
        <w:ind w:left="7" w:right="80" w:firstLine="353"/>
        <w:spacing w:after="0" w:line="257" w:lineRule="auto"/>
        <w:tabs>
          <w:tab w:leader="none" w:pos="681"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 Participant may be required to pay to the Company or any of its Subsidiaries, and the Company or any of its Subsidiaries shall have the right and is hereby authorized to withhold from any payment due under this Plan or from any compensation or other payment otherwise owing to the Participant, applicable withholding taxes with respect to any payment under this Plan, and to take any such actions as may be deemed necessary in the opinion of the Company to satisfy all obligations for the payment of such withholding taxes.</w:t>
      </w:r>
    </w:p>
    <w:p>
      <w:pPr>
        <w:spacing w:after="0" w:line="80" w:lineRule="exact"/>
        <w:rPr>
          <w:rFonts w:ascii="Arial" w:cs="Arial" w:eastAsia="Arial" w:hAnsi="Arial"/>
          <w:sz w:val="18"/>
          <w:szCs w:val="18"/>
          <w:color w:val="auto"/>
        </w:rPr>
      </w:pPr>
    </w:p>
    <w:p>
      <w:pPr>
        <w:ind w:left="7" w:right="20" w:firstLine="353"/>
        <w:spacing w:after="0" w:line="264" w:lineRule="auto"/>
        <w:tabs>
          <w:tab w:leader="none" w:pos="712"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Plan is held unenforceable, the remainder of the Plan shall continue in full force and effect without regard to such unenforceable provision and shall be applied as though the unenforceable provision were not contained in the Plan.</w:t>
      </w:r>
    </w:p>
    <w:p>
      <w:pPr>
        <w:spacing w:after="0" w:line="73" w:lineRule="exact"/>
        <w:rPr>
          <w:rFonts w:ascii="Arial" w:cs="Arial" w:eastAsia="Arial" w:hAnsi="Arial"/>
          <w:sz w:val="18"/>
          <w:szCs w:val="18"/>
          <w:color w:val="auto"/>
        </w:rPr>
      </w:pPr>
    </w:p>
    <w:p>
      <w:pPr>
        <w:ind w:left="7" w:right="520" w:firstLine="353"/>
        <w:spacing w:after="0" w:line="277" w:lineRule="auto"/>
        <w:tabs>
          <w:tab w:leader="none" w:pos="712"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shall be governed by and construed in accordance with the laws of the State of New York without regard to conflicts of laws.</w:t>
      </w:r>
    </w:p>
    <w:p>
      <w:pPr>
        <w:spacing w:after="0" w:line="62" w:lineRule="exact"/>
        <w:rPr>
          <w:rFonts w:ascii="Arial" w:cs="Arial" w:eastAsia="Arial" w:hAnsi="Arial"/>
          <w:sz w:val="18"/>
          <w:szCs w:val="18"/>
          <w:color w:val="auto"/>
        </w:rPr>
      </w:pPr>
    </w:p>
    <w:p>
      <w:pPr>
        <w:ind w:left="7" w:right="240" w:firstLine="353"/>
        <w:spacing w:after="0" w:line="277" w:lineRule="auto"/>
        <w:tabs>
          <w:tab w:leader="none" w:pos="671"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Headings are inserted in this Plan for convenience of reference only and are to be ignored in a construction of the provisions of the Plan.</w:t>
      </w:r>
    </w:p>
    <w:p>
      <w:pPr>
        <w:spacing w:after="0" w:line="62" w:lineRule="exact"/>
        <w:rPr>
          <w:rFonts w:ascii="Arial" w:cs="Arial" w:eastAsia="Arial" w:hAnsi="Arial"/>
          <w:sz w:val="18"/>
          <w:szCs w:val="18"/>
          <w:color w:val="auto"/>
        </w:rPr>
      </w:pPr>
    </w:p>
    <w:p>
      <w:pPr>
        <w:ind w:left="7" w:right="20" w:firstLine="353"/>
        <w:spacing w:after="0" w:line="270" w:lineRule="auto"/>
        <w:tabs>
          <w:tab w:leader="none" w:pos="671" w:val="left"/>
        </w:tabs>
        <w:numPr>
          <w:ilvl w:val="1"/>
          <w:numId w:val="107"/>
        </w:numPr>
        <w:rPr>
          <w:rFonts w:ascii="Arial" w:cs="Arial" w:eastAsia="Arial" w:hAnsi="Arial"/>
          <w:sz w:val="17"/>
          <w:szCs w:val="17"/>
          <w:color w:val="auto"/>
        </w:rPr>
      </w:pPr>
      <w:r>
        <w:rPr>
          <w:rFonts w:ascii="Arial" w:cs="Arial" w:eastAsia="Arial" w:hAnsi="Arial"/>
          <w:sz w:val="17"/>
          <w:szCs w:val="17"/>
          <w:u w:val="single" w:color="auto"/>
          <w:color w:val="auto"/>
        </w:rPr>
        <w:t>Compliance with Section 409A</w:t>
      </w:r>
      <w:r>
        <w:rPr>
          <w:rFonts w:ascii="Arial" w:cs="Arial" w:eastAsia="Arial" w:hAnsi="Arial"/>
          <w:sz w:val="17"/>
          <w:szCs w:val="17"/>
          <w:color w:val="auto"/>
        </w:rPr>
        <w:t>. The Plan is intended to comply with or be exempt from Section 409A and will be interpreted in a manner intended to comply with Section 409A. Notwithstanding anything herein to the contrary, if at the time of the Participant’s separation from service with any Service Recipient the Participant is a “specified employee” as defined in Section 409A, and the deferral of the commencement of any payments or benefits otherwise payable hereunder as a result of such separation from service is necessary in order to prevent the imposition of any accelerated or additional tax under Section 409A, then the Company will defer the commencement of the payment of any such payments or benefits hereunder (without any reduction in such payments or benefits ultimately paid or provided to the Participant) until the date that is six months and one day following the Participant’s separation from service with all Service Recipients (or the earliest date as is permitted under Section 409A), if such payment or benefit is payable upon a separation from service with any Service Recipient. Each payment made under the Plan shall be designated as a “separate payment” within the meaning of Section 409A.</w:t>
      </w:r>
    </w:p>
    <w:p>
      <w:pPr>
        <w:spacing w:after="0" w:line="218" w:lineRule="exact"/>
        <w:rPr>
          <w:sz w:val="20"/>
          <w:szCs w:val="20"/>
          <w:color w:val="auto"/>
        </w:rPr>
      </w:pPr>
    </w:p>
    <w:p>
      <w:pPr>
        <w:ind w:left="7687"/>
        <w:spacing w:after="0"/>
        <w:tabs>
          <w:tab w:leader="none" w:pos="9226" w:val="left"/>
        </w:tabs>
        <w:rPr>
          <w:sz w:val="20"/>
          <w:szCs w:val="20"/>
          <w:color w:val="auto"/>
        </w:rPr>
      </w:pPr>
      <w:r>
        <w:rPr>
          <w:rFonts w:ascii="Arial" w:cs="Arial" w:eastAsia="Arial" w:hAnsi="Arial"/>
          <w:sz w:val="14"/>
          <w:szCs w:val="14"/>
          <w:color w:val="005C7D"/>
        </w:rPr>
        <w:t xml:space="preserve">– </w:t>
      </w:r>
      <w:r>
        <w:rPr>
          <w:rFonts w:ascii="Arial" w:cs="Arial" w:eastAsia="Arial" w:hAnsi="Arial"/>
          <w:sz w:val="14"/>
          <w:szCs w:val="14"/>
          <w:i w:val="1"/>
          <w:iCs w:val="1"/>
          <w:color w:val="005C7D"/>
        </w:rPr>
        <w:t>2017 Proxy Statement</w:t>
      </w:r>
      <w:r>
        <w:rPr>
          <w:sz w:val="20"/>
          <w:szCs w:val="20"/>
          <w:color w:val="auto"/>
        </w:rPr>
        <w:tab/>
      </w:r>
      <w:r>
        <w:rPr>
          <w:rFonts w:ascii="Arial" w:cs="Arial" w:eastAsia="Arial" w:hAnsi="Arial"/>
          <w:sz w:val="17"/>
          <w:szCs w:val="17"/>
          <w:color w:val="005C7D"/>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374015</wp:posOffset>
            </wp:positionV>
            <wp:extent cx="6071870" cy="4318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-114300</wp:posOffset>
            </wp:positionV>
            <wp:extent cx="163195" cy="15430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2082165</wp:posOffset>
            </wp:positionV>
            <wp:extent cx="6071870" cy="4318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2195195</wp:posOffset>
            </wp:positionH>
            <wp:positionV relativeFrom="paragraph">
              <wp:posOffset>109220</wp:posOffset>
            </wp:positionV>
            <wp:extent cx="1646555" cy="16554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646555" cy="165544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071870" cy="80010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071870" cy="800100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6071870" cy="76752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071870" cy="7675245"/>
                    </a:xfrm>
                    <a:prstGeom prst="rect">
                      <a:avLst/>
                    </a:prstGeom>
                    <a:noFill/>
                  </pic:spPr>
                </pic:pic>
              </a:graphicData>
            </a:graphic>
          </wp:anchor>
        </w:drawing>
      </w:r>
    </w:p>
    <w:sectPr>
      <w:pgSz w:w="11900" w:h="16838" w:orient="portrait"/>
      <w:cols w:equalWidth="0" w:num="1">
        <w:col w:w="9279"/>
      </w:cols>
      <w:pgMar w:left="1180" w:top="2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o"/>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o"/>
      <w:numFmt w:val="bullet"/>
      <w:start w:val="1"/>
    </w:lvl>
    <w:lvl w:ilvl="1">
      <w:lvlJc w:val="left"/>
      <w:lvlText w:val="(%2)"/>
      <w:numFmt w:val="decimal"/>
      <w:start w:val="1"/>
    </w:lvl>
  </w:abstractNum>
  <w:abstractNum w:abstractNumId="4">
    <w:nsid w:val="275AC794"/>
    <w:multiLevelType w:val="hybridMultilevel"/>
    <w:lvl w:ilvl="0">
      <w:lvlJc w:val="left"/>
      <w:lvlText w:val="(%1)"/>
      <w:numFmt w:val="decimal"/>
      <w:start w:val="2"/>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1."/>
      <w:numFmt w:val="decimal"/>
      <w:start w:val="1"/>
    </w:lvl>
  </w:abstractNum>
  <w:abstractNum w:abstractNumId="10">
    <w:nsid w:val="354FE9F9"/>
    <w:multiLevelType w:val="hybridMultilevel"/>
    <w:lvl w:ilvl="0">
      <w:lvlJc w:val="left"/>
      <w:lvlText w:val="%1."/>
      <w:numFmt w:val="decimal"/>
      <w:start w:val="2"/>
    </w:lvl>
  </w:abstractNum>
  <w:abstractNum w:abstractNumId="11">
    <w:nsid w:val="15B5AF5C"/>
    <w:multiLevelType w:val="hybridMultilevel"/>
    <w:lvl w:ilvl="0">
      <w:lvlJc w:val="left"/>
      <w:lvlText w:val="%1."/>
      <w:numFmt w:val="decimal"/>
      <w:start w:val="3"/>
    </w:lvl>
  </w:abstractNum>
  <w:abstractNum w:abstractNumId="12">
    <w:nsid w:val="741226BB"/>
    <w:multiLevelType w:val="hybridMultilevel"/>
    <w:lvl w:ilvl="0">
      <w:lvlJc w:val="left"/>
      <w:lvlText w:val="%1."/>
      <w:numFmt w:val="decimal"/>
      <w:start w:val="4"/>
    </w:lvl>
  </w:abstractNum>
  <w:abstractNum w:abstractNumId="13">
    <w:nsid w:val="D34B6A8"/>
    <w:multiLevelType w:val="hybridMultilevel"/>
    <w:lvl w:ilvl="0">
      <w:lvlJc w:val="left"/>
      <w:lvlText w:val="%1."/>
      <w:numFmt w:val="decimal"/>
      <w:start w:val="5"/>
    </w:lvl>
  </w:abstractNum>
  <w:abstractNum w:abstractNumId="14">
    <w:nsid w:val="10233C99"/>
    <w:multiLevelType w:val="hybridMultilevel"/>
    <w:lvl w:ilvl="0">
      <w:lvlJc w:val="left"/>
      <w:lvlText w:val="%1."/>
      <w:numFmt w:val="decimal"/>
      <w:start w:val="6"/>
    </w:lvl>
  </w:abstractNum>
  <w:abstractNum w:abstractNumId="15">
    <w:nsid w:val="3F6AB60F"/>
    <w:multiLevelType w:val="hybridMultilevel"/>
    <w:lvl w:ilvl="0">
      <w:lvlJc w:val="left"/>
      <w:lvlText w:val="%1."/>
      <w:numFmt w:val="decimal"/>
      <w:start w:val="7"/>
    </w:lvl>
  </w:abstractNum>
  <w:abstractNum w:abstractNumId="16">
    <w:nsid w:val="61574095"/>
    <w:multiLevelType w:val="hybridMultilevel"/>
    <w:lvl w:ilvl="0">
      <w:lvlJc w:val="left"/>
      <w:lvlText w:val="%1."/>
      <w:numFmt w:val="decimal"/>
      <w:start w:val="8"/>
    </w:lvl>
  </w:abstractNum>
  <w:abstractNum w:abstractNumId="17">
    <w:nsid w:val="7E0C57B1"/>
    <w:multiLevelType w:val="hybridMultilevel"/>
    <w:lvl w:ilvl="0">
      <w:lvlJc w:val="left"/>
      <w:lvlText w:val="%1."/>
      <w:numFmt w:val="decimal"/>
      <w:start w:val="9"/>
    </w:lvl>
  </w:abstractNum>
  <w:abstractNum w:abstractNumId="18">
    <w:nsid w:val="77AE35EB"/>
    <w:multiLevelType w:val="hybridMultilevel"/>
    <w:lvl w:ilvl="0">
      <w:lvlJc w:val="left"/>
      <w:lvlText w:val="▪"/>
      <w:numFmt w:val="bullet"/>
      <w:start w:val="1"/>
    </w:lvl>
    <w:lvl w:ilvl="1">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lvl w:ilvl="1">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1)"/>
      <w:numFmt w:val="decimal"/>
      <w:start w:val="1"/>
    </w:lvl>
  </w:abstractNum>
  <w:abstractNum w:abstractNumId="46">
    <w:nsid w:val="11447B73"/>
    <w:multiLevelType w:val="hybridMultilevel"/>
    <w:lvl w:ilvl="0">
      <w:lvlJc w:val="left"/>
      <w:lvlText w:val="(%1)"/>
      <w:numFmt w:val="decimal"/>
      <w:start w:val="1"/>
    </w:lvl>
  </w:abstractNum>
  <w:abstractNum w:abstractNumId="47">
    <w:nsid w:val="42963E5A"/>
    <w:multiLevelType w:val="hybridMultilevel"/>
    <w:lvl w:ilvl="0">
      <w:lvlJc w:val="left"/>
      <w:lvlText w:val="(%1)"/>
      <w:numFmt w:val="decimal"/>
      <w:start w:val="1"/>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
      <w:numFmt w:val="bullet"/>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
      <w:numFmt w:val="bullet"/>
      <w:start w:val="1"/>
    </w:lvl>
  </w:abstractNum>
  <w:abstractNum w:abstractNumId="53">
    <w:nsid w:val="4962813B"/>
    <w:multiLevelType w:val="hybridMultilevel"/>
    <w:lvl w:ilvl="0">
      <w:lvlJc w:val="left"/>
      <w:lvlText w:val="(%1)"/>
      <w:numFmt w:val="decimal"/>
      <w:start w:val="1"/>
    </w:lvl>
  </w:abstractNum>
  <w:abstractNum w:abstractNumId="54">
    <w:nsid w:val="60B6DF70"/>
    <w:multiLevelType w:val="hybridMultilevel"/>
    <w:lvl w:ilvl="0">
      <w:lvlJc w:val="left"/>
      <w:lvlText w:val="▪"/>
      <w:numFmt w:val="bullet"/>
      <w:start w:val="1"/>
    </w:lvl>
  </w:abstractNum>
  <w:abstractNum w:abstractNumId="55">
    <w:nsid w:val="6A5EE64"/>
    <w:multiLevelType w:val="hybridMultilevel"/>
    <w:lvl w:ilvl="0">
      <w:lvlJc w:val="left"/>
      <w:lvlText w:val="•"/>
      <w:numFmt w:val="bullet"/>
      <w:start w:val="1"/>
    </w:lvl>
    <w:lvl w:ilvl="1">
      <w:lvlJc w:val="left"/>
      <w:lvlText w:val="○"/>
      <w:numFmt w:val="bullet"/>
      <w:start w:val="1"/>
    </w:lvl>
  </w:abstractNum>
  <w:abstractNum w:abstractNumId="56">
    <w:nsid w:val="14330624"/>
    <w:multiLevelType w:val="hybridMultilevel"/>
    <w:lvl w:ilvl="0">
      <w:lvlJc w:val="left"/>
      <w:lvlText w:val="•"/>
      <w:numFmt w:val="bullet"/>
      <w:start w:val="1"/>
    </w:lvl>
  </w:abstractNum>
  <w:abstractNum w:abstractNumId="57">
    <w:nsid w:val="7FFFCA11"/>
    <w:multiLevelType w:val="hybridMultilevel"/>
    <w:lvl w:ilvl="0">
      <w:lvlJc w:val="left"/>
      <w:lvlText w:val="•"/>
      <w:numFmt w:val="bullet"/>
      <w:start w:val="1"/>
    </w:lvl>
  </w:abstractNum>
  <w:abstractNum w:abstractNumId="58">
    <w:nsid w:val="1A27709E"/>
    <w:multiLevelType w:val="hybridMultilevel"/>
    <w:lvl w:ilvl="0">
      <w:lvlJc w:val="left"/>
      <w:lvlText w:val="•"/>
      <w:numFmt w:val="bullet"/>
      <w:start w:val="1"/>
    </w:lvl>
  </w:abstractNum>
  <w:abstractNum w:abstractNumId="59">
    <w:nsid w:val="71EA1109"/>
    <w:multiLevelType w:val="hybridMultilevel"/>
    <w:lvl w:ilvl="0">
      <w:lvlJc w:val="left"/>
      <w:lvlText w:val="•"/>
      <w:numFmt w:val="bullet"/>
      <w:start w:val="1"/>
    </w:lvl>
  </w:abstractNum>
  <w:abstractNum w:abstractNumId="60">
    <w:nsid w:val="100F59DC"/>
    <w:multiLevelType w:val="hybridMultilevel"/>
    <w:lvl w:ilvl="0">
      <w:lvlJc w:val="left"/>
      <w:lvlText w:val="▪"/>
      <w:numFmt w:val="bullet"/>
      <w:start w:val="1"/>
    </w:lvl>
  </w:abstractNum>
  <w:abstractNum w:abstractNumId="61">
    <w:nsid w:val="7FB7E0AA"/>
    <w:multiLevelType w:val="hybridMultilevel"/>
    <w:lvl w:ilvl="0">
      <w:lvlJc w:val="left"/>
      <w:lvlText w:val="(%1)"/>
      <w:numFmt w:val="decimal"/>
      <w:start w:val="1"/>
    </w:lvl>
  </w:abstractNum>
  <w:abstractNum w:abstractNumId="62">
    <w:nsid w:val="6EB5BD4"/>
    <w:multiLevelType w:val="hybridMultilevel"/>
    <w:lvl w:ilvl="0">
      <w:lvlJc w:val="left"/>
      <w:lvlText w:val="▪"/>
      <w:numFmt w:val="bullet"/>
      <w:start w:val="1"/>
    </w:lvl>
  </w:abstractNum>
  <w:abstractNum w:abstractNumId="63">
    <w:nsid w:val="6F6DD9AC"/>
    <w:multiLevelType w:val="hybridMultilevel"/>
    <w:lvl w:ilvl="0">
      <w:lvlJc w:val="left"/>
      <w:lvlText w:val="▪"/>
      <w:numFmt w:val="bullet"/>
      <w:start w:val="1"/>
    </w:lvl>
  </w:abstractNum>
  <w:abstractNum w:abstractNumId="64">
    <w:nsid w:val="94211F2"/>
    <w:multiLevelType w:val="hybridMultilevel"/>
    <w:lvl w:ilvl="0">
      <w:lvlJc w:val="left"/>
      <w:lvlText w:val="▪"/>
      <w:numFmt w:val="bullet"/>
      <w:start w:val="1"/>
    </w:lvl>
  </w:abstractNum>
  <w:abstractNum w:abstractNumId="65">
    <w:nsid w:val="885E1B"/>
    <w:multiLevelType w:val="hybridMultilevel"/>
    <w:lvl w:ilvl="0">
      <w:lvlJc w:val="left"/>
      <w:lvlText w:val="▪"/>
      <w:numFmt w:val="bullet"/>
      <w:start w:val="1"/>
    </w:lvl>
  </w:abstractNum>
  <w:abstractNum w:abstractNumId="66">
    <w:nsid w:val="76272110"/>
    <w:multiLevelType w:val="hybridMultilevel"/>
    <w:lvl w:ilvl="0">
      <w:lvlJc w:val="left"/>
      <w:lvlText w:val="▪"/>
      <w:numFmt w:val="bullet"/>
      <w:start w:val="1"/>
    </w:lvl>
  </w:abstractNum>
  <w:abstractNum w:abstractNumId="67">
    <w:nsid w:val="4C04A8AF"/>
    <w:multiLevelType w:val="hybridMultilevel"/>
    <w:lvl w:ilvl="0">
      <w:lvlJc w:val="left"/>
      <w:lvlText w:val="(%1)"/>
      <w:numFmt w:val="decimal"/>
      <w:start w:val="1"/>
    </w:lvl>
  </w:abstractNum>
  <w:abstractNum w:abstractNumId="68">
    <w:nsid w:val="1716703B"/>
    <w:multiLevelType w:val="hybridMultilevel"/>
    <w:lvl w:ilvl="0">
      <w:lvlJc w:val="left"/>
      <w:lvlText w:val="(%1)"/>
      <w:numFmt w:val="decimal"/>
      <w:start w:val="2"/>
    </w:lvl>
  </w:abstractNum>
  <w:abstractNum w:abstractNumId="69">
    <w:nsid w:val="14E17E33"/>
    <w:multiLevelType w:val="hybridMultilevel"/>
    <w:lvl w:ilvl="0">
      <w:lvlJc w:val="left"/>
      <w:lvlText w:val="(%1)"/>
      <w:numFmt w:val="decimal"/>
      <w:start w:val="3"/>
    </w:lvl>
  </w:abstractNum>
  <w:abstractNum w:abstractNumId="70">
    <w:nsid w:val="3222E7CD"/>
    <w:multiLevelType w:val="hybridMultilevel"/>
    <w:lvl w:ilvl="0">
      <w:lvlJc w:val="left"/>
      <w:lvlText w:val="%1"/>
      <w:numFmt w:val="decimal"/>
      <w:start w:val="1"/>
    </w:lvl>
    <w:lvl w:ilvl="1">
      <w:lvlJc w:val="left"/>
      <w:lvlText w:val="(%2)"/>
      <w:numFmt w:val="lowerLetter"/>
      <w:start w:val="1"/>
    </w:lvl>
  </w:abstractNum>
  <w:abstractNum w:abstractNumId="71">
    <w:nsid w:val="74DE0EE3"/>
    <w:multiLevelType w:val="hybridMultilevel"/>
    <w:lvl w:ilvl="0">
      <w:lvlJc w:val="left"/>
      <w:lvlText w:val="(%1)"/>
      <w:numFmt w:val="decimal"/>
      <w:start w:val="7"/>
    </w:lvl>
    <w:lvl w:ilvl="1">
      <w:lvlJc w:val="left"/>
      <w:lvlText w:val="%2"/>
      <w:numFmt w:val="lowerLetter"/>
      <w:start w:val="1"/>
    </w:lvl>
  </w:abstractNum>
  <w:abstractNum w:abstractNumId="72">
    <w:nsid w:val="68EBC550"/>
    <w:multiLevelType w:val="hybridMultilevel"/>
    <w:lvl w:ilvl="0">
      <w:lvlJc w:val="left"/>
      <w:lvlText w:val="(%1)"/>
      <w:numFmt w:val="decimal"/>
      <w:start w:val="8"/>
    </w:lvl>
  </w:abstractNum>
  <w:abstractNum w:abstractNumId="73">
    <w:nsid w:val="2DF6D648"/>
    <w:multiLevelType w:val="hybridMultilevel"/>
    <w:lvl w:ilvl="0">
      <w:lvlJc w:val="left"/>
      <w:lvlText w:val="(%1)"/>
      <w:numFmt w:val="decimal"/>
      <w:start w:val="1"/>
    </w:lvl>
  </w:abstractNum>
  <w:abstractNum w:abstractNumId="74">
    <w:nsid w:val="46B7D447"/>
    <w:multiLevelType w:val="hybridMultilevel"/>
    <w:lvl w:ilvl="0">
      <w:lvlJc w:val="left"/>
      <w:lvlText w:val="(%1)"/>
      <w:numFmt w:val="decimal"/>
      <w:start w:val="4"/>
    </w:lvl>
  </w:abstractNum>
  <w:abstractNum w:abstractNumId="75">
    <w:nsid w:val="4A2AC315"/>
    <w:multiLevelType w:val="hybridMultilevel"/>
    <w:lvl w:ilvl="0">
      <w:lvlJc w:val="left"/>
      <w:lvlText w:val="(%1)"/>
      <w:numFmt w:val="decimal"/>
      <w:start w:val="1"/>
    </w:lvl>
  </w:abstractNum>
  <w:abstractNum w:abstractNumId="76">
    <w:nsid w:val="39EE015C"/>
    <w:multiLevelType w:val="hybridMultilevel"/>
    <w:lvl w:ilvl="0">
      <w:lvlJc w:val="left"/>
      <w:lvlText w:val="(%1)"/>
      <w:numFmt w:val="decimal"/>
      <w:start w:val="3"/>
    </w:lvl>
  </w:abstractNum>
  <w:abstractNum w:abstractNumId="77">
    <w:nsid w:val="57FC4FBB"/>
    <w:multiLevelType w:val="hybridMultilevel"/>
    <w:lvl w:ilvl="0">
      <w:lvlJc w:val="left"/>
      <w:lvlText w:val="(%1)"/>
      <w:numFmt w:val="decimal"/>
      <w:start w:val="1"/>
    </w:lvl>
  </w:abstractNum>
  <w:abstractNum w:abstractNumId="78">
    <w:nsid w:val="CC1016F"/>
    <w:multiLevelType w:val="hybridMultilevel"/>
    <w:lvl w:ilvl="0">
      <w:lvlJc w:val="left"/>
      <w:lvlText w:val="(%1)"/>
      <w:numFmt w:val="decimal"/>
      <w:start w:val="1"/>
    </w:lvl>
  </w:abstractNum>
  <w:abstractNum w:abstractNumId="79">
    <w:nsid w:val="43F18422"/>
    <w:multiLevelType w:val="hybridMultilevel"/>
    <w:lvl w:ilvl="0">
      <w:lvlJc w:val="left"/>
      <w:lvlText w:val="(%1)"/>
      <w:numFmt w:val="decimal"/>
      <w:start w:val="5"/>
    </w:lvl>
  </w:abstractNum>
  <w:abstractNum w:abstractNumId="80">
    <w:nsid w:val="60EF0119"/>
    <w:multiLevelType w:val="hybridMultilevel"/>
    <w:lvl w:ilvl="0">
      <w:lvlJc w:val="left"/>
      <w:lvlText w:val="(%1)"/>
      <w:numFmt w:val="decimal"/>
      <w:start w:val="1"/>
    </w:lvl>
  </w:abstractNum>
  <w:abstractNum w:abstractNumId="81">
    <w:nsid w:val="26F324BA"/>
    <w:multiLevelType w:val="hybridMultilevel"/>
    <w:lvl w:ilvl="0">
      <w:lvlJc w:val="left"/>
      <w:lvlText w:val="(%1)"/>
      <w:numFmt w:val="decimal"/>
      <w:start w:val="8"/>
    </w:lvl>
  </w:abstractNum>
  <w:abstractNum w:abstractNumId="82">
    <w:nsid w:val="7F01579B"/>
    <w:multiLevelType w:val="hybridMultilevel"/>
    <w:lvl w:ilvl="0">
      <w:lvlJc w:val="left"/>
      <w:lvlText w:val="%1"/>
      <w:numFmt w:val="decimal"/>
      <w:start w:val="1"/>
    </w:lvl>
    <w:lvl w:ilvl="1">
      <w:lvlJc w:val="left"/>
      <w:lvlText w:val="(%2)"/>
      <w:numFmt w:val="lowerLetter"/>
      <w:start w:val="1"/>
    </w:lvl>
  </w:abstractNum>
  <w:abstractNum w:abstractNumId="83">
    <w:nsid w:val="49DA307D"/>
    <w:multiLevelType w:val="hybridMultilevel"/>
    <w:lvl w:ilvl="0">
      <w:lvlJc w:val="left"/>
      <w:lvlText w:val="(%1)"/>
      <w:numFmt w:val="decimal"/>
      <w:start w:val="9"/>
    </w:lvl>
    <w:lvl w:ilvl="1">
      <w:lvlJc w:val="left"/>
      <w:lvlText w:val="%2"/>
      <w:numFmt w:val="lowerLetter"/>
      <w:start w:val="1"/>
    </w:lvl>
  </w:abstractNum>
  <w:abstractNum w:abstractNumId="84">
    <w:nsid w:val="7055A5F5"/>
    <w:multiLevelType w:val="hybridMultilevel"/>
    <w:lvl w:ilvl="0">
      <w:lvlJc w:val="left"/>
      <w:lvlText w:val="▪"/>
      <w:numFmt w:val="bullet"/>
      <w:start w:val="1"/>
    </w:lvl>
  </w:abstractNum>
  <w:abstractNum w:abstractNumId="85">
    <w:nsid w:val="5FB8370B"/>
    <w:multiLevelType w:val="hybridMultilevel"/>
    <w:lvl w:ilvl="0">
      <w:lvlJc w:val="left"/>
      <w:lvlText w:val="(%1)"/>
      <w:numFmt w:val="decimal"/>
      <w:start w:val="1"/>
    </w:lvl>
  </w:abstractNum>
  <w:abstractNum w:abstractNumId="86">
    <w:nsid w:val="50801EE1"/>
    <w:multiLevelType w:val="hybridMultilevel"/>
    <w:lvl w:ilvl="0">
      <w:lvlJc w:val="left"/>
      <w:lvlText w:val="(%1)"/>
      <w:numFmt w:val="decimal"/>
      <w:start w:val="1"/>
    </w:lvl>
  </w:abstractNum>
  <w:abstractNum w:abstractNumId="87">
    <w:nsid w:val="488AC1A"/>
    <w:multiLevelType w:val="hybridMultilevel"/>
    <w:lvl w:ilvl="0">
      <w:lvlJc w:val="left"/>
      <w:lvlText w:val="(%1)"/>
      <w:numFmt w:val="decimal"/>
      <w:start w:val="5"/>
    </w:lvl>
  </w:abstractNum>
  <w:abstractNum w:abstractNumId="88">
    <w:nsid w:val="5FB8011C"/>
    <w:multiLevelType w:val="hybridMultilevel"/>
    <w:lvl w:ilvl="0">
      <w:lvlJc w:val="left"/>
      <w:lvlText w:val="(%1)"/>
      <w:numFmt w:val="decimal"/>
      <w:start w:val="1"/>
    </w:lvl>
  </w:abstractNum>
  <w:abstractNum w:abstractNumId="89">
    <w:nsid w:val="6AA78F7F"/>
    <w:multiLevelType w:val="hybridMultilevel"/>
    <w:lvl w:ilvl="0">
      <w:lvlJc w:val="left"/>
      <w:lvlText w:val="(%1)"/>
      <w:numFmt w:val="decimal"/>
      <w:start w:val="1"/>
    </w:lvl>
  </w:abstractNum>
  <w:abstractNum w:abstractNumId="90">
    <w:nsid w:val="7672BD23"/>
    <w:multiLevelType w:val="hybridMultilevel"/>
    <w:lvl w:ilvl="0">
      <w:lvlJc w:val="left"/>
      <w:lvlText w:val="(%1)"/>
      <w:numFmt w:val="decimal"/>
      <w:start w:val="1"/>
    </w:lvl>
  </w:abstractNum>
  <w:abstractNum w:abstractNumId="91">
    <w:nsid w:val="6FC75AF8"/>
    <w:multiLevelType w:val="hybridMultilevel"/>
    <w:lvl w:ilvl="0">
      <w:lvlJc w:val="left"/>
      <w:lvlText w:val="▪"/>
      <w:numFmt w:val="bullet"/>
      <w:start w:val="1"/>
    </w:lvl>
  </w:abstractNum>
  <w:abstractNum w:abstractNumId="92">
    <w:nsid w:val="6A5F7029"/>
    <w:multiLevelType w:val="hybridMultilevel"/>
    <w:lvl w:ilvl="0">
      <w:lvlJc w:val="left"/>
      <w:lvlText w:val="▪"/>
      <w:numFmt w:val="bullet"/>
      <w:start w:val="1"/>
    </w:lvl>
  </w:abstractNum>
  <w:abstractNum w:abstractNumId="93">
    <w:nsid w:val="7D5E18F8"/>
    <w:multiLevelType w:val="hybridMultilevel"/>
    <w:lvl w:ilvl="0">
      <w:lvlJc w:val="left"/>
      <w:lvlText w:val="(%1)"/>
      <w:numFmt w:val="decimal"/>
      <w:start w:val="1"/>
    </w:lvl>
  </w:abstractNum>
  <w:abstractNum w:abstractNumId="94">
    <w:nsid w:val="5F3534A4"/>
    <w:multiLevelType w:val="hybridMultilevel"/>
    <w:lvl w:ilvl="0">
      <w:lvlJc w:val="left"/>
      <w:lvlText w:val="%1."/>
      <w:numFmt w:val="decimal"/>
      <w:start w:val="1"/>
    </w:lvl>
  </w:abstractNum>
  <w:abstractNum w:abstractNumId="95">
    <w:nsid w:val="73A1821B"/>
    <w:multiLevelType w:val="hybridMultilevel"/>
    <w:lvl w:ilvl="0">
      <w:lvlJc w:val="left"/>
      <w:lvlText w:val="%1."/>
      <w:numFmt w:val="decimal"/>
      <w:start w:val="2"/>
    </w:lvl>
  </w:abstractNum>
  <w:abstractNum w:abstractNumId="96">
    <w:nsid w:val="7DE67713"/>
    <w:multiLevelType w:val="hybridMultilevel"/>
    <w:lvl w:ilvl="0">
      <w:lvlJc w:val="left"/>
      <w:lvlText w:val="%1."/>
      <w:numFmt w:val="decimal"/>
      <w:start w:val="3"/>
    </w:lvl>
  </w:abstractNum>
  <w:abstractNum w:abstractNumId="97">
    <w:nsid w:val="555C55B5"/>
    <w:multiLevelType w:val="hybridMultilevel"/>
    <w:lvl w:ilvl="0">
      <w:lvlJc w:val="left"/>
      <w:lvlText w:val="%1."/>
      <w:numFmt w:val="decimal"/>
      <w:start w:val="4"/>
    </w:lvl>
  </w:abstractNum>
  <w:abstractNum w:abstractNumId="98">
    <w:nsid w:val="3FA62ACA"/>
    <w:multiLevelType w:val="hybridMultilevel"/>
    <w:lvl w:ilvl="0">
      <w:lvlJc w:val="left"/>
      <w:lvlText w:val=","/>
      <w:numFmt w:val="bullet"/>
      <w:start w:val="1"/>
    </w:lvl>
  </w:abstractNum>
  <w:abstractNum w:abstractNumId="99">
    <w:nsid w:val="14FCE74E"/>
    <w:multiLevelType w:val="hybridMultilevel"/>
    <w:lvl w:ilvl="0">
      <w:lvlJc w:val="left"/>
      <w:lvlText w:val="(%1)"/>
      <w:numFmt w:val="lowerLetter"/>
      <w:start w:val="1"/>
    </w:lvl>
  </w:abstractNum>
  <w:abstractNum w:abstractNumId="100">
    <w:nsid w:val="6A3DD3E8"/>
    <w:multiLevelType w:val="hybridMultilevel"/>
    <w:lvl w:ilvl="0">
      <w:lvlJc w:val="left"/>
      <w:lvlText w:val="%1"/>
      <w:numFmt w:val="decimal"/>
      <w:start w:val="1"/>
    </w:lvl>
    <w:lvl w:ilvl="1">
      <w:lvlJc w:val="left"/>
      <w:lvlText w:val="(%2)"/>
      <w:numFmt w:val="lowerLetter"/>
      <w:start w:val="15"/>
    </w:lvl>
  </w:abstractNum>
  <w:abstractNum w:abstractNumId="101">
    <w:nsid w:val="71C91298"/>
    <w:multiLevelType w:val="hybridMultilevel"/>
    <w:lvl w:ilvl="0">
      <w:lvlJc w:val="left"/>
      <w:lvlText w:val="%1."/>
      <w:numFmt w:val="decimal"/>
      <w:start w:val="3"/>
    </w:lvl>
    <w:lvl w:ilvl="1">
      <w:lvlJc w:val="left"/>
      <w:lvlText w:val="(%2)"/>
      <w:numFmt w:val="lowerLetter"/>
      <w:start w:val="1"/>
    </w:lvl>
  </w:abstractNum>
  <w:abstractNum w:abstractNumId="102">
    <w:nsid w:val="9DAF632"/>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103">
    <w:nsid w:val="53299938"/>
    <w:multiLevelType w:val="hybridMultilevel"/>
    <w:lvl w:ilvl="0">
      <w:lvlJc w:val="left"/>
      <w:lvlText w:val="(%1)"/>
      <w:numFmt w:val="lowerRoman"/>
      <w:start w:val="17"/>
    </w:lvl>
    <w:lvl w:ilvl="1">
      <w:lvlJc w:val="left"/>
      <w:lvlText w:val="(%2)"/>
      <w:numFmt w:val="lowerLetter"/>
      <w:start w:val="2"/>
    </w:lvl>
    <w:lvl w:ilvl="2">
      <w:lvlJc w:val="left"/>
      <w:lvlText w:val="(%3)"/>
      <w:numFmt w:val="lowerRoman"/>
      <w:start w:val="1"/>
    </w:lvl>
  </w:abstractNum>
  <w:abstractNum w:abstractNumId="104">
    <w:nsid w:val="1FBFE8E0"/>
    <w:multiLevelType w:val="hybridMultilevel"/>
    <w:lvl w:ilvl="0">
      <w:lvlJc w:val="left"/>
      <w:lvlText w:val="%1"/>
      <w:numFmt w:val="decimal"/>
      <w:start w:val="1"/>
    </w:lvl>
    <w:lvl w:ilvl="1">
      <w:lvlJc w:val="left"/>
      <w:lvlText w:val="(%2)"/>
      <w:numFmt w:val="lowerLetter"/>
      <w:start w:val="6"/>
    </w:lvl>
  </w:abstractNum>
  <w:abstractNum w:abstractNumId="105">
    <w:nsid w:val="5092CA79"/>
    <w:multiLevelType w:val="hybridMultilevel"/>
    <w:lvl w:ilvl="0">
      <w:lvlJc w:val="left"/>
      <w:lvlText w:val="%1."/>
      <w:numFmt w:val="decimal"/>
      <w:start w:val="5"/>
    </w:lvl>
    <w:lvl w:ilvl="1">
      <w:lvlJc w:val="left"/>
      <w:lvlText w:val="(%2)"/>
      <w:numFmt w:val="lowerLetter"/>
      <w:start w:val="1"/>
    </w:lvl>
  </w:abstractNum>
  <w:abstractNum w:abstractNumId="106">
    <w:nsid w:val="1D545C4D"/>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2019-12-06T06:52:00Z</dcterms:created>
  <dcterms:modified xsi:type="dcterms:W3CDTF">2019-12-06T06:52:00Z</dcterms:modified>
</cp:coreProperties>
</file>